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11849-18</w:t>
      </w:r>
    </w:p>
    <w:p>
      <w:pPr>
        <w:pStyle w:val="Heading2"/>
      </w:pPr>
      <w:r>
        <w:t>Indications</w:t>
      </w:r>
    </w:p>
    <w:p>
      <w:r>
        <w:t>63-year-old male with history of coronary artery disease status post-PCI in 2018, hyperlipidemia, anxiety, PTSD, who presented with weight loss, weakness, and fatigue.</w:t>
      </w:r>
    </w:p>
    <w:p>
      <w:pPr>
        <w:pStyle w:val="Heading2"/>
      </w:pPr>
      <w:r>
        <w:t>EGD Findings</w:t>
      </w:r>
    </w:p>
    <w:p>
      <w:r>
        <w:t>A high-definition endoscope was advanced to the second portion of the duodenum</w:t>
      </w:r>
    </w:p>
    <w:p>
      <w:r>
        <w:rPr>
          <w:b/>
        </w:rPr>
        <w:t>Esophagus:</w:t>
      </w:r>
    </w:p>
    <w:p>
      <w:r>
        <w:t>Small grade A esophagitis was seen in the distal esophagus upon withdrawal of the scope.</w:t>
      </w:r>
    </w:p>
    <w:p>
      <w:r>
        <w:rPr>
          <w:b/>
        </w:rPr>
        <w:t>Stomach:</w:t>
      </w:r>
    </w:p>
    <w:p>
      <w:r>
        <w:t>There was some hematin material in the stomach, particularly in the cardia and fundus. A possible ulcer was noted in the pre-pyloric antrum near the incisura along the lesser curve of the antrum. A second small ulcer was seen on the posterior wall of the antrum. A linear ulcer was visualized in the fundus on retroflexion, which was clean based.</w:t>
      </w:r>
    </w:p>
    <w:p>
      <w:r>
        <w:rPr>
          <w:b/>
        </w:rPr>
        <w:t>Duodenum:</w:t>
      </w:r>
    </w:p>
    <w:p>
      <w:r>
        <w:t>The duodenal bulb and the second portion of the duodenum appeared normal. No AVMs were seen.</w:t>
      </w:r>
    </w:p>
    <w:p>
      <w:r>
        <w:rPr>
          <w:b/>
        </w:rPr>
        <w:t>EGD Findings</w:t>
      </w:r>
    </w:p>
    <w:p>
      <w:r>
        <w:t>Biopsies were taken to rule out H. pylori, though they are suspicious for NSAID-induced ulcer disease. The patient needs to stop NSAIDs, tobacco cessation, alcohol cessation, take PPI once daily, and repeat EGD as clinically indicated.</w:t>
      </w:r>
    </w:p>
    <w:p>
      <w:pPr>
        <w:pStyle w:val="Heading2"/>
      </w:pPr>
      <w:r>
        <w:t>Impressions</w:t>
      </w:r>
    </w:p>
    <w:p>
      <w:pPr>
        <w:spacing w:after="0"/>
      </w:pPr>
      <w:r>
        <w:t>1. Small grade A esophagitis in the distal esophagus.</w:t>
      </w:r>
    </w:p>
    <w:p>
      <w:pPr>
        <w:spacing w:after="0"/>
      </w:pPr>
      <w:r>
        <w:t>2. Hematins in the stomach, particularly in the cardia and fundus.</w:t>
      </w:r>
    </w:p>
    <w:p>
      <w:pPr>
        <w:spacing w:after="0"/>
      </w:pPr>
      <w:r>
        <w:t>3. Possible NSAID-induced ulcers in the stomach.</w:t>
      </w:r>
    </w:p>
    <w:p>
      <w:pPr>
        <w:spacing w:after="0"/>
      </w:pPr>
      <w:r>
        <w:t>4. Biopsies taken to rule out H. pylori.</w:t>
      </w:r>
    </w:p>
    <w:p>
      <w:pPr>
        <w:pStyle w:val="Heading2"/>
      </w:pPr>
      <w:r>
        <w:t>Recommendations</w:t>
      </w:r>
    </w:p>
    <w:p>
      <w:pPr>
        <w:spacing w:after="0"/>
      </w:pPr>
      <w:r>
        <w:t>1. Follow up pathology results.</w:t>
      </w:r>
    </w:p>
    <w:p>
      <w:pPr>
        <w:spacing w:after="0"/>
      </w:pPr>
      <w:r>
        <w:t>2. Avoid non-steroidal anti-inflammatory drugs.</w:t>
      </w:r>
    </w:p>
    <w:p>
      <w:pPr>
        <w:spacing w:after="0"/>
      </w:pPr>
      <w:r>
        <w:t>3. Advance diet as tolerated.</w:t>
      </w:r>
    </w:p>
    <w:p>
      <w:pPr>
        <w:spacing w:after="0"/>
      </w:pPr>
      <w:r>
        <w:t>4. Resume current medications.</w:t>
      </w:r>
    </w:p>
    <w:p>
      <w:pPr>
        <w:spacing w:after="0"/>
      </w:pPr>
      <w:r>
        <w:t>5. Follow up with referring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