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11849-3</w:t>
      </w:r>
    </w:p>
    <w:p>
      <w:pPr>
        <w:pStyle w:val="Heading2"/>
      </w:pPr>
      <w:r>
        <w:t>Indications</w:t>
      </w:r>
    </w:p>
    <w:p>
      <w:r>
        <w:t>Female with history of nausea and vomiting</w:t>
      </w:r>
    </w:p>
    <w:p>
      <w:pPr>
        <w:pStyle w:val="Heading2"/>
      </w:pPr>
      <w:r>
        <w:t>EGD Findings</w:t>
      </w:r>
    </w:p>
    <w:p>
      <w:r>
        <w:t>A high-definition endoscope was advanced to the second portion of the duodenum</w:t>
      </w:r>
    </w:p>
    <w:p>
      <w:r>
        <w:rPr>
          <w:b/>
        </w:rPr>
        <w:t>Esophagus:</w:t>
      </w:r>
    </w:p>
    <w:p>
      <w:r>
        <w:t>Esophagus appeared normal.</w:t>
      </w:r>
    </w:p>
    <w:p>
      <w:r>
        <w:rPr>
          <w:b/>
        </w:rPr>
        <w:t>Stomach:</w:t>
      </w:r>
    </w:p>
    <w:p>
      <w:r>
        <w:t>Stomach appeared normal except for very mild erythema in the antrum. Biopsies were taken.</w:t>
      </w:r>
    </w:p>
    <w:p>
      <w:r>
        <w:rPr>
          <w:b/>
        </w:rPr>
        <w:t>Duodenum:</w:t>
      </w:r>
    </w:p>
    <w:p>
      <w:r>
        <w:t>Mild inflammation, erythema, and scattered erosions in the bulb. The second portion of the duodenum was normal, and the papilla was normal.</w:t>
      </w:r>
    </w:p>
    <w:p>
      <w:r>
        <w:rPr>
          <w:b/>
        </w:rPr>
        <w:t>EGD Findings</w:t>
      </w:r>
    </w:p>
    <w:p>
      <w:r>
        <w:t>On retroflexion, no concerning findings or abnormalities. GE junction was at 35 cm.</w:t>
      </w:r>
    </w:p>
    <w:p>
      <w:pPr>
        <w:pStyle w:val="Heading2"/>
      </w:pPr>
      <w:r>
        <w:t>Impressions</w:t>
      </w:r>
    </w:p>
    <w:p>
      <w:pPr>
        <w:spacing w:after="0"/>
      </w:pPr>
      <w:r>
        <w:t>1. Normal esophagus.</w:t>
      </w:r>
    </w:p>
    <w:p>
      <w:pPr>
        <w:spacing w:after="0"/>
      </w:pPr>
      <w:r>
        <w:t>2. Very mild erythema in the antrum of the stomach.</w:t>
      </w:r>
    </w:p>
    <w:p>
      <w:pPr>
        <w:spacing w:after="0"/>
      </w:pPr>
      <w:r>
        <w:t>3. Mild inflammation, erythema, and scattered erosions in the duodenal bulb.</w:t>
      </w:r>
    </w:p>
    <w:p>
      <w:pPr>
        <w:spacing w:after="0"/>
      </w:pPr>
      <w:r>
        <w:t>4. Normal second portion of the duodenum and papilla.</w:t>
      </w:r>
    </w:p>
    <w:p>
      <w:pPr>
        <w:spacing w:after="0"/>
      </w:pPr>
      <w:r>
        <w:t>5. Biopsies taken from the stomach.</w:t>
      </w:r>
    </w:p>
    <w:p>
      <w:pPr>
        <w:pStyle w:val="Heading2"/>
      </w:pPr>
      <w:r>
        <w:t>Recommendations</w:t>
      </w:r>
    </w:p>
    <w:p>
      <w:pPr>
        <w:spacing w:after="0"/>
      </w:pPr>
      <w:r>
        <w:t>1. Follow up pathology results.</w:t>
      </w:r>
    </w:p>
    <w:p>
      <w:pPr>
        <w:spacing w:after="0"/>
      </w:pPr>
      <w:r>
        <w:t>2. Advance diet as tolerated.</w:t>
      </w:r>
    </w:p>
    <w:p>
      <w:pPr>
        <w:spacing w:after="0"/>
      </w:pPr>
      <w:r>
        <w:t>3. Resume current medications.</w:t>
      </w:r>
    </w:p>
    <w:p>
      <w:pPr>
        <w:spacing w:after="0"/>
      </w:pPr>
      <w:r>
        <w:t>4. Follow up with referring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