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Report 6</w:t>
      </w:r>
    </w:p>
    <w:p>
      <w:pPr>
        <w:pStyle w:val="Heading2"/>
      </w:pPr>
      <w:r>
        <w:t>Indications</w:t>
      </w:r>
    </w:p>
    <w:p>
      <w:r>
        <w:t>History of nausea and vomiting.</w:t>
      </w:r>
    </w:p>
    <w:p>
      <w:pPr>
        <w:pStyle w:val="Heading2"/>
      </w:pPr>
      <w:r>
        <w:t>EGD Findings</w:t>
      </w:r>
    </w:p>
    <w:p>
      <w:r>
        <w:t>A high-definition endoscope was advanced to the second portion of the duodenum</w:t>
      </w:r>
    </w:p>
    <w:p>
      <w:r>
        <w:rPr>
          <w:b/>
        </w:rPr>
        <w:t>Esophagus:</w:t>
      </w:r>
    </w:p>
    <w:p>
      <w:r>
        <w:t>The esophagus appeared completely normal.</w:t>
      </w:r>
    </w:p>
    <w:p>
      <w:r>
        <w:rPr>
          <w:b/>
        </w:rPr>
        <w:t>Stomach:</w:t>
      </w:r>
    </w:p>
    <w:p>
      <w:r>
        <w:t>The stomach appeared normal with very mild erythema in the antrum. Stomach biopsies were taken.</w:t>
      </w:r>
    </w:p>
    <w:p>
      <w:r>
        <w:rPr>
          <w:b/>
        </w:rPr>
        <w:t>Duodenum:</w:t>
      </w:r>
    </w:p>
    <w:p>
      <w:r>
        <w:t>The duodenum showed mild inflammation, erythema, and scattered erosions in the bulb. The second portion of the duodenum and the papilla appeared normal.</w:t>
      </w:r>
    </w:p>
    <w:p>
      <w:r>
        <w:rPr>
          <w:b/>
        </w:rPr>
        <w:t>EGD Findings</w:t>
      </w:r>
    </w:p>
    <w:p>
      <w:r>
        <w:t>On retroflexion, there were no concerning findings or abnormalities. The gastroesophageal junction was at 35 cm.</w:t>
      </w:r>
    </w:p>
    <w:p>
      <w:pPr>
        <w:pStyle w:val="Heading2"/>
      </w:pPr>
      <w:r>
        <w:t>Impressions</w:t>
      </w:r>
    </w:p>
    <w:p>
      <w:pPr>
        <w:spacing w:after="0"/>
      </w:pPr>
      <w:r>
        <w:t>1. Normal esophagus</w:t>
      </w:r>
    </w:p>
    <w:p>
      <w:pPr>
        <w:spacing w:after="0"/>
      </w:pPr>
      <w:r>
        <w:t>2. Very mild erythema in the gastric antrum with biopsies taken</w:t>
      </w:r>
    </w:p>
    <w:p>
      <w:pPr>
        <w:spacing w:after="0"/>
      </w:pPr>
      <w:r>
        <w:t>3. Mild inflammation, erythema, and scattered erosions in the duodenal bulb</w:t>
      </w:r>
    </w:p>
    <w:p>
      <w:pPr>
        <w:spacing w:after="0"/>
      </w:pPr>
      <w:r>
        <w:t>4. Normal second portion of the duodenum and papilla</w:t>
      </w:r>
    </w:p>
    <w:p>
      <w:pPr>
        <w:pStyle w:val="Heading2"/>
      </w:pPr>
      <w:r>
        <w:t>Recommendations</w:t>
      </w:r>
    </w:p>
    <w:p>
      <w:pPr>
        <w:spacing w:after="0"/>
      </w:pPr>
      <w:r>
        <w:t>1. MRI/MRCP in 1 year</w:t>
      </w:r>
    </w:p>
    <w:p>
      <w:pPr>
        <w:spacing w:after="0"/>
      </w:pPr>
      <w:r>
        <w:t>2. EUS in 2 years</w:t>
      </w:r>
    </w:p>
    <w:p>
      <w:pPr>
        <w:spacing w:after="0"/>
      </w:pPr>
      <w:r>
        <w:t>3. Advance diet as tolerated</w:t>
      </w:r>
    </w:p>
    <w:p>
      <w:pPr>
        <w:spacing w:after="0"/>
      </w:pPr>
      <w:r>
        <w:t>4. Resume current medications</w:t>
      </w:r>
    </w:p>
    <w:p>
      <w:pPr>
        <w:spacing w:after="0"/>
      </w:pPr>
      <w:r>
        <w:t>5. Follow up with referring provider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