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10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50"/>
        <w:gridCol w:w="405"/>
        <w:gridCol w:w="6405"/>
        <w:gridCol w:w="2205"/>
        <w:tblGridChange w:id="0">
          <w:tblGrid>
            <w:gridCol w:w="1140"/>
            <w:gridCol w:w="450"/>
            <w:gridCol w:w="405"/>
            <w:gridCol w:w="6405"/>
            <w:gridCol w:w="2205"/>
          </w:tblGrid>
        </w:tblGridChange>
      </w:tblGrid>
      <w:tr>
        <w:trPr>
          <w:trHeight w:val="420" w:hRule="atLeast"/>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About this checklist.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checklist is intended for use by authors who are submitting to [JOURNAL], which is implementing Level 1 of the </w:t>
            </w:r>
            <w:hyperlink r:id="rId6">
              <w:r w:rsidDel="00000000" w:rsidR="00000000" w:rsidRPr="00000000">
                <w:rPr>
                  <w:color w:val="1155cc"/>
                  <w:u w:val="single"/>
                  <w:rtl w:val="0"/>
                </w:rPr>
                <w:t xml:space="preserve">TOP Guidelines</w:t>
              </w:r>
            </w:hyperlink>
            <w:r w:rsidDel="00000000" w:rsidR="00000000" w:rsidRPr="00000000">
              <w:rPr>
                <w:rtl w:val="0"/>
              </w:rPr>
              <w:t xml:space="preserve">. For assistance in creating other custom checklists, please contact the Center for Open Science (</w:t>
            </w:r>
            <w:hyperlink r:id="rId7">
              <w:r w:rsidDel="00000000" w:rsidR="00000000" w:rsidRPr="00000000">
                <w:rPr>
                  <w:color w:val="1155cc"/>
                  <w:u w:val="single"/>
                  <w:rtl w:val="0"/>
                </w:rPr>
                <w:t xml:space="preserve">contact@cos.io</w:t>
              </w:r>
            </w:hyperlink>
            <w:r w:rsidDel="00000000" w:rsidR="00000000" w:rsidRPr="00000000">
              <w:rPr>
                <w:rtl w:val="0"/>
              </w:rPr>
              <w:t xml:space="preserve">). </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TOP Level 1</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Standard</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2"/>
        <w:tblW w:w="10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60"/>
        <w:gridCol w:w="810"/>
        <w:gridCol w:w="6450"/>
        <w:gridCol w:w="2100"/>
        <w:tblGridChange w:id="0">
          <w:tblGrid>
            <w:gridCol w:w="840"/>
            <w:gridCol w:w="360"/>
            <w:gridCol w:w="810"/>
            <w:gridCol w:w="6450"/>
            <w:gridCol w:w="210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Relevant Line Numbers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rtl w:val="0"/>
              </w:rPr>
              <w:t xml:space="preserve">Citation</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data sets and program code used in a publication should be cited in the text and listed in the reference section.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References for data sets and program code should include a persistent identifier, such as a Digital Object Identifier (DOI).</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3"/>
        <w:tblW w:w="10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
        <w:gridCol w:w="525"/>
        <w:gridCol w:w="6405"/>
        <w:gridCol w:w="2100"/>
        <w:tblGridChange w:id="0">
          <w:tblGrid>
            <w:gridCol w:w="840"/>
            <w:gridCol w:w="690"/>
            <w:gridCol w:w="525"/>
            <w:gridCol w:w="6405"/>
            <w:gridCol w:w="210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Relevant Line Numbers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b w:val="1"/>
                <w:rtl w:val="0"/>
              </w:rPr>
              <w:t xml:space="preserve">Data, Analytical Methods (or code), and Research Materials Transparency </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In acknowledgments or the first footnote, indicate if data, analytic methods (i.e. code), and study materials will be made available to other researchers.</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rtl w:val="0"/>
              </w:rPr>
              <w:t xml:space="preserve">If data, code, or materials are available:</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color w:val="333333"/>
                <w:highlight w:val="white"/>
                <w:rtl w:val="0"/>
              </w:rPr>
              <w:t xml:space="preserve">...specify where and how that material will be made available. See example disclosure statements at </w:t>
            </w:r>
            <w:hyperlink r:id="rId8">
              <w:r w:rsidDel="00000000" w:rsidR="00000000" w:rsidRPr="00000000">
                <w:rPr>
                  <w:color w:val="1155cc"/>
                  <w:highlight w:val="white"/>
                  <w:u w:val="single"/>
                  <w:rtl w:val="0"/>
                </w:rPr>
                <w:t xml:space="preserve">https://osf.io/kgnva/wiki/home/</w:t>
              </w:r>
            </w:hyperlink>
            <w:r w:rsidDel="00000000" w:rsidR="00000000" w:rsidRPr="00000000">
              <w:rPr>
                <w:color w:val="333333"/>
                <w:highlight w:val="white"/>
                <w:rtl w:val="0"/>
              </w:rPr>
              <w:t xml:space="preserve"> </w:t>
            </w: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10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
        <w:gridCol w:w="525"/>
        <w:gridCol w:w="6405"/>
        <w:gridCol w:w="2100"/>
        <w:tblGridChange w:id="0">
          <w:tblGrid>
            <w:gridCol w:w="840"/>
            <w:gridCol w:w="690"/>
            <w:gridCol w:w="525"/>
            <w:gridCol w:w="6405"/>
            <w:gridCol w:w="210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Relevant Line Numbers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Design and Analysis Transparency</w:t>
            </w:r>
            <w:r w:rsidDel="00000000" w:rsidR="00000000" w:rsidRPr="00000000">
              <w:rPr>
                <w:rtl w:val="0"/>
              </w:rPr>
              <w:t xml:space="preserve">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on the process by which you follow standards for disclosing key aspects of the research design and data analysis. For example, you may review the standards available for many research applications from http://www.equator-network.org/ and use those that are relevant for the reported research applications.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10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
        <w:gridCol w:w="525"/>
        <w:gridCol w:w="6405"/>
        <w:gridCol w:w="2100"/>
        <w:tblGridChange w:id="0">
          <w:tblGrid>
            <w:gridCol w:w="840"/>
            <w:gridCol w:w="690"/>
            <w:gridCol w:w="525"/>
            <w:gridCol w:w="6405"/>
            <w:gridCol w:w="210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Relevant Line Numbers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Preregistration of Analysis Plans</w:t>
            </w:r>
            <w:r w:rsidDel="00000000" w:rsidR="00000000" w:rsidRPr="00000000">
              <w:rPr>
                <w:rtl w:val="0"/>
              </w:rPr>
              <w:t xml:space="preserve">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acknowledgments or the first footnote, indicate if you did or did not preregister the research with or without an analysis plan in an independent, institutional registry.</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If you did preregister</w:t>
            </w:r>
            <w:r w:rsidDel="00000000" w:rsidR="00000000" w:rsidRPr="00000000">
              <w:rPr>
                <w:rtl w:val="0"/>
              </w:rPr>
              <w:t xml:space="preserve"> the research with an analysis plan, do you...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 in the text that the study was registered prior to conducting the research with links to the time-stamped preregistrations at the institutional registry, and that the preregistration adheres to the disclosure requirements of the institutional registry or those required for the </w:t>
            </w:r>
            <w:hyperlink r:id="rId9">
              <w:r w:rsidDel="00000000" w:rsidR="00000000" w:rsidRPr="00000000">
                <w:rPr>
                  <w:color w:val="1155cc"/>
                  <w:u w:val="single"/>
                  <w:rtl w:val="0"/>
                </w:rPr>
                <w:t xml:space="preserve">preregistered badge with analysis plans</w:t>
              </w:r>
            </w:hyperlink>
            <w:r w:rsidDel="00000000" w:rsidR="00000000" w:rsidRPr="00000000">
              <w:rPr>
                <w:rtl w:val="0"/>
              </w:rPr>
              <w:t xml:space="preserve"> maintained by the Center for Open Science?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all pre-registered analyses in the text, or, if there were changes in the analysis plan following preregistration, those changes must be disclosed with explanation for the changes?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...clearly distinguish in text analyses that were preregistered from those that were not, such as having separate sections in the results for confirmatory and exploratory analyses?</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10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
        <w:gridCol w:w="525"/>
        <w:gridCol w:w="6405"/>
        <w:gridCol w:w="2100"/>
        <w:tblGridChange w:id="0">
          <w:tblGrid>
            <w:gridCol w:w="840"/>
            <w:gridCol w:w="690"/>
            <w:gridCol w:w="525"/>
            <w:gridCol w:w="6405"/>
            <w:gridCol w:w="210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Relevant Line Numbers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Replication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this study a replication of a previously published study, or does it include a direct replication of previously published word in part?</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sf.io/tvyxz/wiki/home/" TargetMode="External"/><Relationship Id="rId5" Type="http://schemas.openxmlformats.org/officeDocument/2006/relationships/styles" Target="styles.xml"/><Relationship Id="rId6" Type="http://schemas.openxmlformats.org/officeDocument/2006/relationships/hyperlink" Target="https://cos.io/top" TargetMode="External"/><Relationship Id="rId7" Type="http://schemas.openxmlformats.org/officeDocument/2006/relationships/hyperlink" Target="mailto:contact@cos.io" TargetMode="External"/><Relationship Id="rId8" Type="http://schemas.openxmlformats.org/officeDocument/2006/relationships/hyperlink" Target="https://osf.io/kgnva/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