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color w:val="57606A"/>
          <w:sz w:val="22"/>
          <w:szCs w:val="22"/>
        </w:rPr>
        <w:t xml:space="preserve">POSTECH — Pós-Tech Cloud Architecture and DevOps</w:t>
      </w:r>
    </w:p>
    <w:p>
      <w:pPr>
        <w:spacing w:after="120"/>
      </w:pPr>
      <w:r>
        <w:rPr>
          <w:rFonts w:ascii="Calibri" w:cs="Calibri" w:eastAsia="Calibri" w:hAnsi="Calibri"/>
          <w:b/>
          <w:bCs/>
          <w:color w:val="0B6E99"/>
          <w:sz w:val="48"/>
          <w:szCs w:val="48"/>
        </w:rPr>
        <w:t xml:space="preserve">ToggleMaster — Tech Challenge Fase 4</w:t>
      </w:r>
    </w:p>
    <w:p>
      <w:pPr>
        <w:spacing w:after="600"/>
      </w:pPr>
      <w:r>
        <w:rPr>
          <w:rFonts w:ascii="Calibri" w:cs="Calibri" w:eastAsia="Calibri" w:hAnsi="Calibri"/>
          <w:color w:val="1F2328"/>
          <w:sz w:val="28"/>
          <w:szCs w:val="28"/>
        </w:rPr>
        <w:t xml:space="preserve">Relatório de entrega</w:t>
      </w:r>
    </w:p>
    <w:p>
      <w:pPr>
        <w:pBdr>
          <w:bottom w:val="single" w:color="0B6E99" w:sz="6" w:space="4"/>
        </w:pBdr>
      </w:pPr>
    </w:p>
    <w:p>
      <w:pPr>
        <w:spacing w:before="200"/>
      </w:pPr>
      <w:r>
        <w:rPr>
          <w:rFonts w:ascii="Calibri" w:cs="Calibri" w:eastAsia="Calibri" w:hAnsi="Calibri"/>
          <w:color w:val="57606A"/>
          <w:sz w:val="22"/>
          <w:szCs w:val="22"/>
        </w:rPr>
        <w:t xml:space="preserve">Versão de trabalho, atualizada em 31/10/2026. </w:t>
      </w:r>
      <w:r>
        <w:rPr>
          <w:rFonts w:ascii="Calibri" w:cs="Calibri" w:eastAsia="Calibri" w:hAnsi="Calibri"/>
          <w:color w:val="57606A"/>
          <w:sz w:val="22"/>
          <w:szCs w:val="22"/>
        </w:rPr>
        <w:t xml:space="preserve">Os itens marcados como pendentes serão preenchidos até a entrega.</w:t>
      </w:r>
    </w:p>
    <w:p>
      <w:r>
        <w:br w:type="page"/>
      </w:r>
    </w:p>
    <w:p>
      <w:pPr>
        <w:pStyle w:val="Heading1"/>
        <w:keepNext/>
        <w:spacing w:after="160" w:before="360"/>
      </w:pPr>
      <w:r>
        <w:rPr>
          <w:rFonts w:ascii="Calibri" w:cs="Calibri" w:eastAsia="Calibri" w:hAnsi="Calibri"/>
          <w:b/>
          <w:bCs/>
          <w:color w:val="0B6E99"/>
          <w:sz w:val="32"/>
          <w:szCs w:val="32"/>
        </w:rPr>
        <w:t xml:space="preserve">1. Integrantes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2400"/>
        <w:gridCol w:w="3200"/>
      </w:tblGrid>
      <w:tr>
        <w:trPr>
          <w:tblHeader/>
        </w:trPr>
        <w:tc>
          <w:tcPr>
            <w:tcW w:type="dxa" w:w="34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Nome</w:t>
            </w:r>
          </w:p>
        </w:tc>
        <w:tc>
          <w:tcPr>
            <w:tcW w:type="dxa" w:w="24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RM</w:t>
            </w:r>
          </w:p>
        </w:tc>
        <w:tc>
          <w:tcPr>
            <w:tcW w:type="dxa" w:w="32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Username</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Emily Marcolino</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Cristiano Alves de Oliveira Schaarschmidt</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r>
        <w:trPr>
          <w:tblHeader w:val="off"/>
        </w:trPr>
        <w:tc>
          <w:tcPr>
            <w:tcW w:type="dxa" w:w="34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Expedito Ferreira da Silva Filho</w:t>
            </w:r>
          </w:p>
        </w:tc>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c>
          <w:tcPr>
            <w:tcW w:type="dxa" w:w="32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[preencher]</w:t>
            </w:r>
          </w:p>
        </w:tc>
      </w:tr>
    </w:tbl>
    <w:p>
      <w:pPr>
        <w:pStyle w:val="Heading1"/>
        <w:keepNext/>
        <w:spacing w:after="160" w:before="360"/>
      </w:pPr>
      <w:r>
        <w:rPr>
          <w:rFonts w:ascii="Calibri" w:cs="Calibri" w:eastAsia="Calibri" w:hAnsi="Calibri"/>
          <w:b/>
          <w:bCs/>
          <w:color w:val="0B6E99"/>
          <w:sz w:val="32"/>
          <w:szCs w:val="32"/>
        </w:rPr>
        <w:t xml:space="preserve">2.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Entregável</w:t>
            </w:r>
          </w:p>
        </w:tc>
        <w:tc>
          <w:tcPr>
            <w:tcW w:type="dxa" w:w="6626"/>
            <w:tcBorders>
              <w:top w:val="single" w:color="C9D1D9" w:sz="4"/>
              <w:left w:val="single" w:color="C9D1D9" w:sz="4"/>
              <w:bottom w:val="single" w:color="C9D1D9" w:sz="4"/>
              <w:right w:val="single" w:color="C9D1D9" w:sz="4"/>
            </w:tcBorders>
            <w:shd w:fill="E8F1F5" w:color="auto" w:val="clear"/>
            <w:tcMar>
              <w:top w:type="dxa" w:w="60"/>
              <w:left w:type="dxa" w:w="100"/>
              <w:bottom w:type="dxa" w:w="60"/>
              <w:right w:type="dxa" w:w="100"/>
            </w:tcMar>
          </w:tcPr>
          <w:p>
            <w:r>
              <w:rPr>
                <w:rFonts w:ascii="Calibri" w:cs="Calibri" w:eastAsia="Calibri" w:hAnsi="Calibri"/>
                <w:b/>
                <w:bCs/>
                <w:color w:val="1F2328"/>
                <w:sz w:val="19"/>
                <w:szCs w:val="19"/>
              </w:rPr>
              <w:t xml:space="preserve">Link</w:t>
            </w:r>
          </w:p>
        </w:tc>
      </w:tr>
      <w:tr>
        <w:trPr>
          <w:tblHeader w:val="off"/>
        </w:trPr>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Repositório de código</w:t>
            </w:r>
          </w:p>
        </w:tc>
        <w:tc>
          <w:tcPr>
            <w:tcW w:type="dxa" w:w="66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https://github.com/emilymarc/togglemaster-fase4</w:t>
            </w:r>
          </w:p>
        </w:tc>
      </w:tr>
      <w:tr>
        <w:trPr>
          <w:tblHeader w:val="off"/>
        </w:trPr>
        <w:tc>
          <w:tcPr>
            <w:tcW w:type="dxa" w:w="2400"/>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b w:val="false"/>
                <w:bCs w:val="false"/>
                <w:color w:val="1F2328"/>
                <w:sz w:val="19"/>
                <w:szCs w:val="19"/>
              </w:rPr>
              <w:t xml:space="preserve">Vídeo de demonstração</w:t>
            </w:r>
          </w:p>
        </w:tc>
        <w:tc>
          <w:tcPr>
            <w:tcW w:type="dxa" w:w="6626"/>
            <w:tcBorders>
              <w:top w:val="single" w:color="C9D1D9" w:sz="4"/>
              <w:left w:val="single" w:color="C9D1D9" w:sz="4"/>
              <w:bottom w:val="single" w:color="C9D1D9" w:sz="4"/>
              <w:right w:val="single" w:color="C9D1D9" w:sz="4"/>
            </w:tcBorders>
            <w:tcMar>
              <w:top w:type="dxa" w:w="60"/>
              <w:left w:type="dxa" w:w="100"/>
              <w:bottom w:type="dxa" w:w="60"/>
              <w:right w:type="dxa" w:w="100"/>
            </w:tcMar>
          </w:tcPr>
          <w:p>
            <w:r>
              <w:rPr>
                <w:rFonts w:ascii="Calibri" w:cs="Calibri" w:eastAsia="Calibri" w:hAnsi="Calibri"/>
                <w:i/>
                <w:iCs/>
                <w:color w:val="B35900"/>
                <w:sz w:val="22"/>
                <w:szCs w:val="22"/>
              </w:rPr>
              <w:t xml:space="preserve">[pendente]</w:t>
            </w:r>
          </w:p>
        </w:tc>
      </w:tr>
    </w:tbl>
    <w:p>
      <w:pPr>
        <w:pStyle w:val="Heading1"/>
        <w:keepNext/>
        <w:spacing w:after="160" w:before="360"/>
      </w:pPr>
      <w:r>
        <w:rPr>
          <w:rFonts w:ascii="Calibri" w:cs="Calibri" w:eastAsia="Calibri" w:hAnsi="Calibri"/>
          <w:b/>
          <w:bCs/>
          <w:color w:val="0B6E99"/>
          <w:sz w:val="32"/>
          <w:szCs w:val="32"/>
        </w:rPr>
        <w:t xml:space="preserve">3. Evidências visuais</w:t>
      </w:r>
    </w:p>
    <w:p>
      <w:pPr>
        <w:pStyle w:val="Heading2"/>
        <w:keepNext/>
        <w:spacing w:after="120" w:before="240"/>
      </w:pPr>
      <w:r>
        <w:rPr>
          <w:rFonts w:ascii="Calibri" w:cs="Calibri" w:eastAsia="Calibri" w:hAnsi="Calibri"/>
          <w:b/>
          <w:bCs/>
          <w:color w:val="1F2328"/>
          <w:sz w:val="26"/>
          <w:szCs w:val="26"/>
        </w:rPr>
        <w:t xml:space="preserve">3.1 Dashboard do Grafana</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3.2 Trace distribuído no APM (New Relic)</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3.3 Notificação do incidente no ChatOps (Discord)</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2"/>
        <w:keepNext/>
        <w:spacing w:after="120" w:before="240"/>
      </w:pPr>
      <w:r>
        <w:rPr>
          <w:rFonts w:ascii="Calibri" w:cs="Calibri" w:eastAsia="Calibri" w:hAnsi="Calibri"/>
          <w:b/>
          <w:bCs/>
          <w:color w:val="1F2328"/>
          <w:sz w:val="26"/>
          <w:szCs w:val="26"/>
        </w:rPr>
        <w:t xml:space="preserve">3.4 Log da execução do self-healing</w:t>
      </w:r>
    </w:p>
    <w:p>
      <w:pPr>
        <w:pBdr>
          <w:top w:val="single" w:color="C9D1D9" w:sz="4"/>
          <w:left w:val="single" w:color="C9D1D9" w:sz="4"/>
          <w:bottom w:val="single" w:color="C9D1D9" w:sz="4"/>
          <w:right w:val="single" w:color="C9D1D9" w:sz="4"/>
        </w:pBdr>
        <w:spacing w:after="240" w:before="120"/>
        <w:jc w:val="center"/>
      </w:pPr>
      <w:r>
        <w:rPr>
          <w:rFonts w:ascii="Calibri" w:cs="Calibri" w:eastAsia="Calibri" w:hAnsi="Calibri"/>
          <w:i/>
          <w:iCs/>
          <w:color w:val="B35900"/>
          <w:sz w:val="22"/>
          <w:szCs w:val="22"/>
        </w:rPr>
        <w:t xml:space="preserve">[print pendente]</w:t>
      </w:r>
    </w:p>
    <w:p>
      <w:pPr>
        <w:pStyle w:val="Heading1"/>
        <w:keepNext/>
        <w:spacing w:after="160" w:before="360"/>
      </w:pPr>
      <w:r>
        <w:rPr>
          <w:rFonts w:ascii="Calibri" w:cs="Calibri" w:eastAsia="Calibri" w:hAnsi="Calibri"/>
          <w:b/>
          <w:bCs/>
          <w:color w:val="0B6E99"/>
          <w:sz w:val="32"/>
          <w:szCs w:val="32"/>
        </w:rPr>
        <w:t xml:space="preserve">4. Justificativa técnica</w:t>
      </w:r>
    </w:p>
    <w:p>
      <w:pPr>
        <w:pStyle w:val="Heading2"/>
        <w:keepNext/>
        <w:spacing w:after="120" w:before="240"/>
      </w:pPr>
      <w:r>
        <w:rPr>
          <w:rFonts w:ascii="Calibri" w:cs="Calibri" w:eastAsia="Calibri" w:hAnsi="Calibri"/>
          <w:b/>
          <w:bCs/>
          <w:color w:val="1F2328"/>
          <w:sz w:val="26"/>
          <w:szCs w:val="26"/>
        </w:rPr>
        <w:t xml:space="preserve">4.1 Arquitetura do OpenTelemetry</w:t>
      </w:r>
    </w:p>
    <w:p>
      <w:pPr>
        <w:spacing w:after="120" w:line="288"/>
      </w:pPr>
      <w:r>
        <w:rPr>
          <w:rFonts w:ascii="Calibri" w:cs="Calibri" w:eastAsia="Calibri" w:hAnsi="Calibri"/>
          <w:color w:val="1F2328"/>
          <w:sz w:val="22"/>
          <w:szCs w:val="22"/>
        </w:rPr>
        <w:t xml:space="preserve">Nós usamos o OpenTelemetry Collector como peça central da telemetria. Os 5 microsserviços enviam traces e métricas só para o Collector, pelo protocolo OTLP. Os logs que os contêineres escrevem na saída padrão (stdout) são lidos pelo próprio Collector, direto dos arquivos de log de cada nó. Por isso, ele roda como DaemonSet: um Collector em cada nó do cluster.</w:t>
      </w:r>
    </w:p>
    <w:p>
      <w:pPr>
        <w:spacing w:after="120" w:line="288"/>
      </w:pPr>
      <w:r>
        <w:rPr>
          <w:rFonts w:ascii="Calibri" w:cs="Calibri" w:eastAsia="Calibri" w:hAnsi="Calibri"/>
          <w:color w:val="1F2328"/>
          <w:sz w:val="22"/>
          <w:szCs w:val="22"/>
        </w:rPr>
        <w:t xml:space="preserve">O Collector trabalha em três etapas:</w:t>
      </w:r>
    </w:p>
    <w:p>
      <w:pPr>
        <w:pStyle w:val="ListParagraph"/>
        <w:numPr>
          <w:ilvl w:val="0"/>
          <w:numId w:val="2"/>
        </w:numPr>
        <w:spacing w:after="80" w:line="276"/>
      </w:pPr>
      <w:r>
        <w:rPr>
          <w:rFonts w:ascii="Calibri" w:cs="Calibri" w:eastAsia="Calibri" w:hAnsi="Calibri"/>
          <w:b/>
          <w:bCs/>
          <w:color w:val="1F2328"/>
          <w:sz w:val="22"/>
          <w:szCs w:val="22"/>
        </w:rPr>
        <w:t xml:space="preserve">Receber: </w:t>
      </w:r>
      <w:r>
        <w:rPr>
          <w:rFonts w:ascii="Calibri" w:cs="Calibri" w:eastAsia="Calibri" w:hAnsi="Calibri"/>
          <w:color w:val="1F2328"/>
          <w:sz w:val="22"/>
          <w:szCs w:val="22"/>
        </w:rPr>
        <w:t xml:space="preserve">otlp, para os dados enviados pelos serviços, e filelog, para os logs dos contêineres.</w:t>
      </w:r>
    </w:p>
    <w:p>
      <w:pPr>
        <w:pStyle w:val="ListParagraph"/>
        <w:numPr>
          <w:ilvl w:val="0"/>
          <w:numId w:val="2"/>
        </w:numPr>
        <w:spacing w:after="80" w:line="276"/>
      </w:pPr>
      <w:r>
        <w:rPr>
          <w:rFonts w:ascii="Calibri" w:cs="Calibri" w:eastAsia="Calibri" w:hAnsi="Calibri"/>
          <w:b/>
          <w:bCs/>
          <w:color w:val="1F2328"/>
          <w:sz w:val="22"/>
          <w:szCs w:val="22"/>
        </w:rPr>
        <w:t xml:space="preserve">Tratar: </w:t>
      </w:r>
      <w:r>
        <w:rPr>
          <w:rFonts w:ascii="Calibri" w:cs="Calibri" w:eastAsia="Calibri" w:hAnsi="Calibri"/>
          <w:color w:val="1F2328"/>
          <w:sz w:val="22"/>
          <w:szCs w:val="22"/>
        </w:rPr>
        <w:t xml:space="preserve">memory_limiter, para não usar memória demais no nó; k8sattributes, para marcar cada dado com o namespace, o pod e o deployment de origem; e batch, para enviar os dados em lotes.</w:t>
      </w:r>
    </w:p>
    <w:p>
      <w:pPr>
        <w:pStyle w:val="ListParagraph"/>
        <w:numPr>
          <w:ilvl w:val="0"/>
          <w:numId w:val="2"/>
        </w:numPr>
        <w:spacing w:after="80" w:line="276"/>
      </w:pPr>
      <w:r>
        <w:rPr>
          <w:rFonts w:ascii="Calibri" w:cs="Calibri" w:eastAsia="Calibri" w:hAnsi="Calibri"/>
          <w:b/>
          <w:bCs/>
          <w:color w:val="1F2328"/>
          <w:sz w:val="22"/>
          <w:szCs w:val="22"/>
        </w:rPr>
        <w:t xml:space="preserve">Enviar: </w:t>
      </w:r>
      <w:r>
        <w:rPr>
          <w:rFonts w:ascii="Calibri" w:cs="Calibri" w:eastAsia="Calibri" w:hAnsi="Calibri"/>
          <w:color w:val="1F2328"/>
          <w:sz w:val="22"/>
          <w:szCs w:val="22"/>
        </w:rPr>
        <w:t xml:space="preserve">as métricas vão para o Prometheus, os logs vão para o Loki, e os traces vão para o New Relic. O Grafana mostra os dados do Prometheus e do Loki.</w:t>
      </w:r>
    </w:p>
    <w:p>
      <w:pPr>
        <w:spacing w:after="120" w:line="288"/>
      </w:pPr>
      <w:r>
        <w:rPr>
          <w:rFonts w:ascii="Calibri" w:cs="Calibri" w:eastAsia="Calibri" w:hAnsi="Calibri"/>
          <w:color w:val="1F2328"/>
          <w:sz w:val="22"/>
          <w:szCs w:val="22"/>
        </w:rPr>
        <w:t xml:space="preserve">A vantagem desse modelo é que os serviços não sabem para onde os dados vão. Para trocar ou acrescentar um destino, nós mudamos só a configuração do Collector, sem alterar o código dos serviços.</w:t>
      </w:r>
    </w:p>
    <w:p>
      <w:pPr>
        <w:pStyle w:val="Heading2"/>
        <w:keepNext/>
        <w:spacing w:after="120" w:before="240"/>
      </w:pPr>
      <w:r>
        <w:rPr>
          <w:rFonts w:ascii="Calibri" w:cs="Calibri" w:eastAsia="Calibri" w:hAnsi="Calibri"/>
          <w:b/>
          <w:bCs/>
          <w:color w:val="1F2328"/>
          <w:sz w:val="26"/>
          <w:szCs w:val="26"/>
        </w:rPr>
        <w:t xml:space="preserve">4.2 New Relic ou Datadog</w:t>
      </w:r>
    </w:p>
    <w:p>
      <w:pPr>
        <w:spacing w:after="120" w:line="288"/>
      </w:pPr>
      <w:r>
        <w:rPr>
          <w:rFonts w:ascii="Calibri" w:cs="Calibri" w:eastAsia="Calibri" w:hAnsi="Calibri"/>
          <w:color w:val="1F2328"/>
          <w:sz w:val="22"/>
          <w:szCs w:val="22"/>
        </w:rPr>
        <w:t xml:space="preserve">Nós escolhemos o New Relic por dois motivos. Primeiro, o plano gratuito é permanente, tem 100 GB de dados por mês e não pede cartão de crédito (</w:t>
      </w:r>
      <w:hyperlink w:history="1" r:id="rIdn6rjbiltdfy9ovanvcu_s">
        <w:r>
          <w:rPr>
            <w:rFonts w:ascii="Calibri" w:cs="Calibri" w:eastAsia="Calibri" w:hAnsi="Calibri"/>
            <w:color w:val="0B6E99"/>
            <w:sz w:val="22"/>
            <w:szCs w:val="22"/>
            <w:u w:val="single"/>
          </w:rPr>
          <w:t xml:space="preserve">fonte</w:t>
        </w:r>
      </w:hyperlink>
      <w:r>
        <w:rPr>
          <w:rFonts w:ascii="Calibri" w:cs="Calibri" w:eastAsia="Calibri" w:hAnsi="Calibri"/>
          <w:color w:val="1F2328"/>
          <w:sz w:val="22"/>
          <w:szCs w:val="22"/>
        </w:rPr>
        <w:t xml:space="preserve">). O Datadog oferece conta gratuita para estudantes, mas ela depende do GitHub Student Developer Pack. Segundo, o New Relic recebe os dados no formato OTLP direto do Collector, sem precisar instalar um agente próprio no cluster. Assim, o Collector continua sendo o único ponto de saída da telemetria, como pede o enunciado.</w:t>
      </w:r>
    </w:p>
    <w:p>
      <w:pPr>
        <w:pStyle w:val="Heading2"/>
        <w:keepNext/>
        <w:spacing w:after="120" w:before="240"/>
      </w:pPr>
      <w:r>
        <w:rPr>
          <w:rFonts w:ascii="Calibri" w:cs="Calibri" w:eastAsia="Calibri" w:hAnsi="Calibri"/>
          <w:b/>
          <w:bCs/>
          <w:color w:val="1F2328"/>
          <w:sz w:val="26"/>
          <w:szCs w:val="26"/>
        </w:rPr>
        <w:t xml:space="preserve">4.3 PagerDuty ou OpsGenie</w:t>
      </w:r>
    </w:p>
    <w:p>
      <w:pPr>
        <w:spacing w:after="120" w:line="288"/>
      </w:pPr>
      <w:r>
        <w:rPr>
          <w:rFonts w:ascii="Calibri" w:cs="Calibri" w:eastAsia="Calibri" w:hAnsi="Calibri"/>
          <w:color w:val="1F2328"/>
          <w:sz w:val="22"/>
          <w:szCs w:val="22"/>
        </w:rPr>
        <w:t xml:space="preserve">Nós escolhemos o PagerDuty, no plano gratuito (até 5 usuários). O OpsGenie não era uma opção possível: a Atlassian parou de aceitar novos cadastros em 4 de junho de 2025 e vai desligar o produto em 5 de abril de 2027 (</w:t>
      </w:r>
      <w:hyperlink w:history="1" r:id="rIdc7_1cig79h44yh2ztxv2m">
        <w:r>
          <w:rPr>
            <w:rFonts w:ascii="Calibri" w:cs="Calibri" w:eastAsia="Calibri" w:hAnsi="Calibri"/>
            <w:color w:val="0B6E99"/>
            <w:sz w:val="22"/>
            <w:szCs w:val="22"/>
            <w:u w:val="single"/>
          </w:rPr>
          <w:t xml:space="preserve">fonte</w:t>
        </w:r>
      </w:hyperlink>
      <w:r>
        <w:rPr>
          <w:rFonts w:ascii="Calibri" w:cs="Calibri" w:eastAsia="Calibri" w:hAnsi="Calibri"/>
          <w:color w:val="1F2328"/>
          <w:sz w:val="22"/>
          <w:szCs w:val="22"/>
        </w:rPr>
        <w:t xml:space="preserve">). O alerta do Grafana abre o incidente no PagerDuty pela integração Events API v2.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7606A"/>
        <w:sz w:val="16"/>
        <w:szCs w:val="16"/>
      </w:rPr>
      <w:t xml:space="preserve">ToggleMaster · Fase 4 · página </w:t>
    </w:r>
    <w:r>
      <w:rPr>
        <w:rFonts w:ascii="Calibri" w:cs="Calibri" w:eastAsia="Calibri" w:hAnsi="Calibri"/>
        <w:color w:val="57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B6E99"/>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n6rjbiltdfy9ovanvcu_s" Type="http://schemas.openxmlformats.org/officeDocument/2006/relationships/hyperlink" Target="https://newrelic.com/info/blog/solution-recommendation/inside-new-relic-s-free-tier-100-gb-of-data-one-full-user-and-no-time-limit" TargetMode="External"/><Relationship Id="rIdc7_1cig79h44yh2ztxv2m" Type="http://schemas.openxmlformats.org/officeDocument/2006/relationships/hyperlink" Target="https://www.atlassian.com/software/opsgenie/pricing"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ToggleMaster — Relatório Fase 4</dc:title>
  <dc:creator>Emily Marcolino</dc:creator>
  <cp:lastModifiedBy>Un-named</cp:lastModifiedBy>
  <cp:revision>1</cp:revision>
  <dcterms:created xsi:type="dcterms:W3CDTF">2026-10-31T21:11:41.654Z</dcterms:created>
  <dcterms:modified xsi:type="dcterms:W3CDTF">2026-10-31T21:11:41.665Z</dcterms:modified>
</cp:coreProperties>
</file>

<file path=docProps/custom.xml><?xml version="1.0" encoding="utf-8"?>
<Properties xmlns="http://schemas.openxmlformats.org/officeDocument/2006/custom-properties" xmlns:vt="http://schemas.openxmlformats.org/officeDocument/2006/docPropsVTypes"/>
</file>