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color w:val="57606A"/>
          <w:sz w:val="22"/>
          <w:szCs w:val="22"/>
        </w:rPr>
        <w:t xml:space="preserve">POSTECH — Pós-Tech Cloud Architecture and DevOps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99"/>
          <w:sz w:val="48"/>
          <w:szCs w:val="48"/>
        </w:rPr>
        <w:t xml:space="preserve">ToggleMaster — Tech Challenge Fase 4</w:t>
      </w:r>
    </w:p>
    <w:p>
      <w:pPr>
        <w:spacing w:after="600"/>
      </w:pPr>
      <w:r>
        <w:rPr>
          <w:rFonts w:ascii="Calibri" w:cs="Calibri" w:eastAsia="Calibri" w:hAnsi="Calibri"/>
          <w:color w:val="1F2328"/>
          <w:sz w:val="28"/>
          <w:szCs w:val="28"/>
        </w:rPr>
        <w:t xml:space="preserve">Observabilidade com OpenTelemetry, APM, alertas inteligentes e self-healing</w:t>
      </w:r>
    </w:p>
    <w:p>
      <w:pPr>
        <w:pBdr>
          <w:bottom w:val="single" w:color="0B6E99" w:sz="6" w:space="4"/>
        </w:pBdr>
      </w:pPr>
    </w:p>
    <w:p>
      <w:pPr>
        <w:spacing w:before="200"/>
      </w:pPr>
      <w:r>
        <w:rPr>
          <w:rFonts w:ascii="Calibri" w:cs="Calibri" w:eastAsia="Calibri" w:hAnsi="Calibri"/>
          <w:color w:val="57606A"/>
          <w:sz w:val="22"/>
          <w:szCs w:val="22"/>
        </w:rPr>
        <w:t xml:space="preserve">Versão de trabalho, atualizada em 26/10/2026. </w:t>
      </w:r>
      <w:r>
        <w:rPr>
          <w:rFonts w:ascii="Calibri" w:cs="Calibri" w:eastAsia="Calibri" w:hAnsi="Calibri"/>
          <w:color w:val="57606A"/>
          <w:sz w:val="22"/>
          <w:szCs w:val="22"/>
        </w:rPr>
        <w:t xml:space="preserve">Itens marcados como pendentes serão preenchidos ao longo da fase.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400"/>
        <w:gridCol w:w="3200"/>
      </w:tblGrid>
      <w:tr>
        <w:trPr>
          <w:tblHeader/>
        </w:trPr>
        <w:tc>
          <w:tcPr>
            <w:tcW w:type="dxa" w:w="3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RM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Username</w:t>
            </w: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Emily Marcolino</w:t>
            </w:r>
          </w:p>
        </w:tc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[preencher]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[preencher]</w:t>
            </w: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Cristiano Alves de Oliveira Schaarschmidt</w:t>
            </w:r>
          </w:p>
        </w:tc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[preencher]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[preencher]</w:t>
            </w: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Expedito Ferreira da Silva Filho</w:t>
            </w:r>
          </w:p>
        </w:tc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[preencher]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[preencher]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66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Link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Repositório de código</w:t>
            </w:r>
          </w:p>
        </w:tc>
        <w:tc>
          <w:tcPr>
            <w:tcW w:type="dxa" w:w="66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[pendente: repositório togglemaster-fase4 no GitHub]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Vídeo de demonstração</w:t>
            </w:r>
          </w:p>
        </w:tc>
        <w:tc>
          <w:tcPr>
            <w:tcW w:type="dxa" w:w="66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35900"/>
                <w:sz w:val="22"/>
                <w:szCs w:val="22"/>
              </w:rPr>
              <w:t xml:space="preserve">[pendente: até 25 min]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Diagrama de arquitetura</w:t>
            </w:r>
          </w:p>
        </w:tc>
        <w:tc>
          <w:tcPr>
            <w:tcW w:type="dxa" w:w="66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togglemaster-arquitetura-fase4.html (pasta _Entregáveis)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2. Visão geral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O ToggleMaster é uma plataforma de feature flags com 5 microsserviços (auth, flag, targeting, evaluation e analytics) em AWS EKS. A infraestrutura é provisionada com Terraform, há pipeline DevSecOps no GitHub Actions e a entrega é feita via GitOps com ArgoCD. A Fase 4 acrescenta observabilidade total e resposta ativa a incidentes.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O problema que motiva a fase: o evaluation-service falhou silenciosamente, o HPA escalou para compensar, e a equipe levou 6 horas para ser avisada e mais 4 para achar a causa raiz nos logs espalhados pelos pods. A solução precisa garantir quatro coisas: trace para lentidão, logs centralizados para erros, alerta que acorde o time e um sistema capaz de tentar se curar sozinho.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2.1 Restrições do projeto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Custo zero: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nenhuma ferramenta paga e nenhum cartão de crédito cadastrado. A stack de observabilidade é open source e roda no cluster; APM, gestão de incidentes e ChatOps usam planos gratuitos.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AWS Academy (Opção A):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US$ 50 de crédito, LabRole sem criação de IAM e credenciais temporárias. O EKS sobe apenas nas sessões de integração e de gravação, e é destruído ao final de cada uma.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Base das Fases 1 a 3: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a stack nova é aplicada sobre a arquitetura automatizada existente (Terraform, CI DevSecOps e ArgoCD).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3. Arquitetura</w:t>
      </w:r>
    </w:p>
    <w:p>
      <w:pPr>
        <w:spacing w:after="80"/>
        <w:jc w:val="center"/>
      </w:pPr>
      <w:r>
        <w:drawing>
          <wp:inline distT="0" distB="0" distL="0" distR="0">
            <wp:extent cx="4953000" cy="710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7606A"/>
          <w:sz w:val="18"/>
          <w:szCs w:val="18"/>
        </w:rPr>
        <w:t xml:space="preserve">Figura 1 — Arquitetura da Fase 4 (contorno tracejado = planejado/em andamento).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A base da Fase 3 continua igual: módulos Terraform, pipeline reutilizável Go/Python com gate de segurança e atualização da tag no repositório GitOps. A Fase 4 adiciona três blocos: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Root app (app-of-apps) no ArgoCD: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um único Application aponta para gitops/apps/, que declara os serviços e os Helm charts da plataforma (kube-prometheus-stack, Loki, OpenTelemetry Collector e remediator).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Namespace observability: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OTel Collector em DaemonSet, Prometheus, Loki, Grafana e o remediator de self-healing.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Serviços externos gratuitos: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New Relic (APM e traces), PagerDuty (incidentes) e Discord (ChatOps).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4. Justificativa técnica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4.1 Arquitetura do OpenTelemetry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O OTel Collector é a peça central: os microsserviços conhecem apenas o endpoint OTLP do Collector e não sabem para onde a telemetria vai. Trocar ou acrescentar um backend significa mudar um exporter na configuração do Collector, sem tocar no código.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Etapa</w:t>
            </w:r>
          </w:p>
        </w:tc>
        <w:tc>
          <w:tcPr>
            <w:tcW w:type="dxa" w:w="70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Configuração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Receivers</w:t>
            </w:r>
          </w:p>
        </w:tc>
        <w:tc>
          <w:tcPr>
            <w:tcW w:type="dxa" w:w="70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otlp (gRPC/HTTP) para traces e métricas dos serviços; filelog para os logs stdout dos contêineres, lidos em /var/log/pods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Processors</w:t>
            </w:r>
          </w:p>
        </w:tc>
        <w:tc>
          <w:tcPr>
            <w:tcW w:type="dxa" w:w="70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memory_limiter (protege o nó), k8sattributes (namespace, pod, deployment em cada sinal), batch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Exporters</w:t>
            </w:r>
          </w:p>
        </w:tc>
        <w:tc>
          <w:tcPr>
            <w:tcW w:type="dxa" w:w="70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Prometheus (métricas), Loki via OTLP nativo (logs), New Relic via OTLP (traces e métricas das aplicações)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Modo de deploy</w:t>
            </w:r>
          </w:p>
        </w:tc>
        <w:tc>
          <w:tcPr>
            <w:tcW w:type="dxa" w:w="70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DaemonSet: um Collector por nó, necessário para ler os arquivos de log locais e manter o tráfego OTLP dentro do nó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/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Instrumentação: os serviços Python (flag, targeting, analytics) usam auto-instrumentação, alterando apenas o Dockerfile (opentelemetry-instrument). Os serviços Go (auth, evaluation) usam o SDK com otelhttp no servidor e no cliente HTTP, e redisotel no Redis. O contexto do trace é propagado nos atributos das mensagens SQS para que o analytics apareça conectado no service map. O Grafana Alloy foi avaliado, mas o Collector padrão foi mantido por ser o componente obrigatório do enunciado e o padrão da CNCF.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4.2 New Relic vs Datadog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Critério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New Relic (escolhido)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Datadog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Plano gratuito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100 GB/mês, 1 usuário completo, sem prazo e sem cartão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Conta Pro gratuita para estudantes via GitHub Student Developer Pack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Integração com OTel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Recebe OTLP direto do Collector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Ingestão costuma passar pelo Datadog Agent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Nenhum agente proprietário no cluster</w:t>
            </w:r>
          </w:p>
        </w:tc>
        <w:tc>
          <w:tcPr>
            <w:tcW w:type="dxa" w:w="3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Agent adicional consumindo recursos do nó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/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Decisão: New Relic. O plano gratuito permanente atende sem pré-requisitos de elegibilidade, e o envio OTLP direto mantém o Collector como único ponto de saída da telemetria, coerente com o requisito 2.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4.3 PagerDuty vs OpsGenie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Decisão: PagerDuty (plano Free, até 5 usuários). A Atlassian encerrou as vendas e os novos cadastros do OpsGenie em 4 de junho de 2025 e desligará o produto em 5 de abril de 2027, migrando as funções para o Jira Service Management. Não é possível abrir uma conta nova de OpsGenie para o projeto. O alerta do Grafana abre o incidente pela integração Events API v2 do serviço.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4.4 ChatOps e self-healing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Discord: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webhook de canal sem aprovação de app e com contact point nativo no Grafana.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Remediator no cluster (Runbook Automation):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serviço pequeno que recebe o webhook do alerta e executa o rollout restart do deployment afetado pela API do Kubernetes. Ele usa ServiceAccount com RBAC restrito a patch em deployments, uma lista de deployments permitidos e cooldown contra reinícios em loop. AWS Lambda foi descartada porque exige IAM role, bloqueada no Academy. A GitHub Action foi descartada porque dependeria das credenciais temporárias do Academy, que expiram a cada sessão.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5. Requisitos e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tblHeader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Requisito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Prometheus, Loki, Grafana via GitOps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Helm charts como Applications do ArgoCD (app-of-apps), values versionados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Dashboard customizado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Recursos do cluster, req/s e taxa de 5xx por serviço, logs ao vivo do Loki; JSON em ConfigMap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OTel Collector central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DaemonSet com otlp + filelog, roteando para Prometheus, Loki e New Relic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Instrumentação e APM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Python auto-instrumentado, Go com SDK; trace a partir do evaluation-service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Service map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5 serviços conectados, incluindo o analytics via contexto no SQS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Alerta inteligente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Grafana: 5xx do auth-service &gt; 5% por 2 min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Incidente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PagerDuty Events API v2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ChatOps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Discord #alertas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Self-healing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Remediator: rollout restart deployment/auth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Lacunas de GitOps da Fase 3</w:t>
            </w:r>
          </w:p>
        </w:tc>
        <w:tc>
          <w:tcPr>
            <w:tcW w:type="dxa" w:w="49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9"/>
                <w:szCs w:val="19"/>
              </w:rPr>
              <w:t xml:space="preserve">Root app, ArgoCD versionado, namespace e secret documentados, HPA/probes restaurados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5900"/>
                <w:sz w:val="19"/>
                <w:szCs w:val="19"/>
              </w:rPr>
              <w:t xml:space="preserve">Planejado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6. Evidências visuais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Prints obrigatórios do enunciado. Serão inseridos após a sessão de gravação no EKS.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6.1 Dashboard do Grafana</w:t>
      </w:r>
    </w:p>
    <w:p>
      <w:pPr>
        <w:pBdr>
          <w:top w:val="single" w:color="C9D1D9" w:sz="4"/>
          <w:left w:val="single" w:color="C9D1D9" w:sz="4"/>
          <w:bottom w:val="single" w:color="C9D1D9" w:sz="4"/>
          <w:right w:val="single" w:color="C9D1D9" w:sz="4"/>
        </w:pBdr>
        <w:spacing w:after="240" w:before="120"/>
        <w:jc w:val="center"/>
      </w:pPr>
      <w:r>
        <w:rPr>
          <w:rFonts w:ascii="Calibri" w:cs="Calibri" w:eastAsia="Calibri" w:hAnsi="Calibri"/>
          <w:i/>
          <w:iCs/>
          <w:color w:val="B35900"/>
          <w:sz w:val="22"/>
          <w:szCs w:val="22"/>
        </w:rPr>
        <w:t xml:space="preserve">[print pendente]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6.2 Trace distribuído no New Relic</w:t>
      </w:r>
    </w:p>
    <w:p>
      <w:pPr>
        <w:pBdr>
          <w:top w:val="single" w:color="C9D1D9" w:sz="4"/>
          <w:left w:val="single" w:color="C9D1D9" w:sz="4"/>
          <w:bottom w:val="single" w:color="C9D1D9" w:sz="4"/>
          <w:right w:val="single" w:color="C9D1D9" w:sz="4"/>
        </w:pBdr>
        <w:spacing w:after="240" w:before="120"/>
        <w:jc w:val="center"/>
      </w:pPr>
      <w:r>
        <w:rPr>
          <w:rFonts w:ascii="Calibri" w:cs="Calibri" w:eastAsia="Calibri" w:hAnsi="Calibri"/>
          <w:i/>
          <w:iCs/>
          <w:color w:val="B35900"/>
          <w:sz w:val="22"/>
          <w:szCs w:val="22"/>
        </w:rPr>
        <w:t xml:space="preserve">[print pendente]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6.3 Notificação de incidente no Discord</w:t>
      </w:r>
    </w:p>
    <w:p>
      <w:pPr>
        <w:pBdr>
          <w:top w:val="single" w:color="C9D1D9" w:sz="4"/>
          <w:left w:val="single" w:color="C9D1D9" w:sz="4"/>
          <w:bottom w:val="single" w:color="C9D1D9" w:sz="4"/>
          <w:right w:val="single" w:color="C9D1D9" w:sz="4"/>
        </w:pBdr>
        <w:spacing w:after="240" w:before="120"/>
        <w:jc w:val="center"/>
      </w:pPr>
      <w:r>
        <w:rPr>
          <w:rFonts w:ascii="Calibri" w:cs="Calibri" w:eastAsia="Calibri" w:hAnsi="Calibri"/>
          <w:i/>
          <w:iCs/>
          <w:color w:val="B35900"/>
          <w:sz w:val="22"/>
          <w:szCs w:val="22"/>
        </w:rPr>
        <w:t xml:space="preserve">[print pendente]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6.4 Log de execução do self-healing</w:t>
      </w:r>
    </w:p>
    <w:p>
      <w:pPr>
        <w:pBdr>
          <w:top w:val="single" w:color="C9D1D9" w:sz="4"/>
          <w:left w:val="single" w:color="C9D1D9" w:sz="4"/>
          <w:bottom w:val="single" w:color="C9D1D9" w:sz="4"/>
          <w:right w:val="single" w:color="C9D1D9" w:sz="4"/>
        </w:pBdr>
        <w:spacing w:after="240" w:before="120"/>
        <w:jc w:val="center"/>
      </w:pPr>
      <w:r>
        <w:rPr>
          <w:rFonts w:ascii="Calibri" w:cs="Calibri" w:eastAsia="Calibri" w:hAnsi="Calibri"/>
          <w:i/>
          <w:iCs/>
          <w:color w:val="B35900"/>
          <w:sz w:val="22"/>
          <w:szCs w:val="22"/>
        </w:rPr>
        <w:t xml:space="preserve">[print pendente]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7. Dificuldades, contornos e decisões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Registro contínuo, em ordem cronológica, dos problemas encontrados e das decisões tomadas.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7.1 GitOps da plataforma ausente na base da Fase 3 (26/10/2026)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Contexto.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Revisando o repositório da Fase 3, o GitOps das aplicações estava funcionando: o CI atualiza a tag e 5 Applications sincronizam com prune e selfHeal. A camada de plataforma, porém, estava fora do Git. O ArgoCD foi instalado com kubectl apply, as Applications foram aplicadas manualmente, gitops/apps/ estava vazia, e o namespace e o secret foram criados à mão. HPA, probes e requests/limits da Fase 2 também não estavam nos manifests.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Impacto.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A Fase 4 exige a stack de monitoramento como Helm charts no repositório GitOps, e sem um ponto de entrada declarativo não haveria onde incluí-la.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Decisão.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Adotar o padrão app-of-apps (root-app → gitops/apps/), versionar a instalação do ArgoCD, adicionar CreateNamespace=true, documentar a criação do secret por script e restaurar HPA, probes e requests/limits.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7.2 Orçamento: custo zero e US$ 50 no Academy (26/10/2026)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328"/>
          <w:sz w:val="22"/>
          <w:szCs w:val="22"/>
        </w:rPr>
        <w:t xml:space="preserve">Decisão. </w:t>
      </w:r>
      <w:r>
        <w:rPr>
          <w:rFonts w:ascii="Calibri" w:cs="Calibri" w:eastAsia="Calibri" w:hAnsi="Calibri"/>
          <w:color w:val="1F2328"/>
          <w:sz w:val="22"/>
          <w:szCs w:val="22"/>
        </w:rPr>
        <w:t xml:space="preserve">O desenvolvimento e a depuração são feitos localmente com docker-compose acrescido da stack de observabilidade. O EKS sobe só em duas ou três sessões de até 4 h. A estimativa é de cerca de US$ 0,40/h (control plane, 3 nós t3.medium, NAT Gateway, 3 RDS, ElastiCache), ou seja, perto de US$ 5 no total. Toda sessão termina com terraform destroy e com o script de verificação de recursos órfãos.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7.3 OpsGenie indisponível para novas contas (26/10/2026)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O enunciado permite PagerDuty ou OpsGenie, mas o OpsGenie não aceita novos cadastros desde junho de 2025. A escolha pelo PagerDuty foi, portanto, forçada (ver 4.3).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7.4 Self-healing sem Lambda e sem credenciais externas (26/10/2026)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A Lambda depende de IAM role, bloqueada pela LabRole. Uma GitHub Action precisaria das credenciais do Academy, que expiram a cada sessão. Por isso o self-healing roda como serviço dentro do cluster com RBAC mínimo (ver 4.4).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7.5 Capacidade do cluster (risco aberto)</w:t>
      </w:r>
    </w:p>
    <w:p>
      <w:pPr>
        <w:spacing w:after="120" w:line="288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Com 2 nós t3.medium (4 GB cada), a soma de aplicações, ArgoCD e stack de observabilidade tende a deixar pods em Pending. O plano é subir o node group para 3 nós (o max_size já é 4) e reduzir a retenção e os requests do Prometheus e do Loki. A validação acontece na primeira sessão no EKS.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8. Referências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  <w:sz w:val="22"/>
          <w:szCs w:val="22"/>
        </w:rPr>
        <w:t xml:space="preserve">POSTECH — Tech Challenge Fase 4 (enunciado).</w:t>
      </w:r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qbjzoxtkph_wtwimwhi73">
        <w:r>
          <w:rPr>
            <w:rFonts w:ascii="Calibri" w:cs="Calibri" w:eastAsia="Calibri" w:hAnsi="Calibri"/>
            <w:color w:val="0B6E99"/>
            <w:sz w:val="22"/>
            <w:szCs w:val="22"/>
            <w:u w:val="single"/>
          </w:rPr>
          <w:t xml:space="preserve">New Relic — plano gratuito (100 GB, 1 usuário completo, sem cartão)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5vdvkmdwdw0m-h4i2oxxu">
        <w:r>
          <w:rPr>
            <w:rFonts w:ascii="Calibri" w:cs="Calibri" w:eastAsia="Calibri" w:hAnsi="Calibri"/>
            <w:color w:val="0B6E99"/>
            <w:sz w:val="22"/>
            <w:szCs w:val="22"/>
            <w:u w:val="single"/>
          </w:rPr>
          <w:t xml:space="preserve">Atlassian — fim de vendas e de suporte do OpsGenie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hneb-mtfixva_htyydrye">
        <w:r>
          <w:rPr>
            <w:rFonts w:ascii="Calibri" w:cs="Calibri" w:eastAsia="Calibri" w:hAnsi="Calibri"/>
            <w:color w:val="0B6E99"/>
            <w:sz w:val="22"/>
            <w:szCs w:val="22"/>
            <w:u w:val="single"/>
          </w:rPr>
          <w:t xml:space="preserve">PagerDuty — plano Free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w73wtn361mrmevzj1lbox">
        <w:r>
          <w:rPr>
            <w:rFonts w:ascii="Calibri" w:cs="Calibri" w:eastAsia="Calibri" w:hAnsi="Calibri"/>
            <w:color w:val="0B6E99"/>
            <w:sz w:val="22"/>
            <w:szCs w:val="22"/>
            <w:u w:val="single"/>
          </w:rPr>
          <w:t xml:space="preserve">Datadog — contas gratuitas para estudantes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pztika9zgetl3vxt1v7mn">
        <w:r>
          <w:rPr>
            <w:rFonts w:ascii="Calibri" w:cs="Calibri" w:eastAsia="Calibri" w:hAnsi="Calibri"/>
            <w:color w:val="0B6E99"/>
            <w:sz w:val="22"/>
            <w:szCs w:val="22"/>
            <w:u w:val="single"/>
          </w:rPr>
          <w:t xml:space="preserve">OpenTelemetry Collector — documentação</w:t>
        </w:r>
      </w:hyperlink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7606A"/>
        <w:sz w:val="16"/>
        <w:szCs w:val="16"/>
      </w:rPr>
      <w:t xml:space="preserve">ToggleMaster · Fase 4 · página </w:t>
    </w:r>
    <w:r>
      <w:rPr>
        <w:rFonts w:ascii="Calibri" w:cs="Calibri" w:eastAsia="Calibri" w:hAnsi="Calibri"/>
        <w:color w:val="5760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6E9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bjzoxtkph_wtwimwhi73" Type="http://schemas.openxmlformats.org/officeDocument/2006/relationships/hyperlink" Target="https://newrelic.com/info/blog/solution-recommendation/inside-new-relic-s-free-tier-100-gb-of-data-one-full-user-and-no-time-limit" TargetMode="External"/><Relationship Id="rId5vdvkmdwdw0m-h4i2oxxu" Type="http://schemas.openxmlformats.org/officeDocument/2006/relationships/hyperlink" Target="https://www.atlassian.com/software/opsgenie/pricing" TargetMode="External"/><Relationship Id="rIdhneb-mtfixva_htyydrye" Type="http://schemas.openxmlformats.org/officeDocument/2006/relationships/hyperlink" Target="https://www.costbench.com/software/developer-tools/pagerduty/free-plan/" TargetMode="External"/><Relationship Id="rIdw73wtn361mrmevzj1lbox" Type="http://schemas.openxmlformats.org/officeDocument/2006/relationships/hyperlink" Target="https://datadoghq.com/blog/datadog-github-student-developer-pack" TargetMode="External"/><Relationship Id="rIdpztika9zgetl3vxt1v7mn" Type="http://schemas.openxmlformats.org/officeDocument/2006/relationships/hyperlink" Target="https://opentelemetry.io/docs/collector/" TargetMode="External"/><Relationship Id="rId8" Type="http://schemas.openxmlformats.org/officeDocument/2006/relationships/image" Target="media/f589f3d76705e7975bb1a3aece4a89230afc81d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ToggleMaster — Relatório Fase 4</dc:title>
  <dc:creator>Emily Marcolino</dc:creator>
  <cp:lastModifiedBy>Un-named</cp:lastModifiedBy>
  <cp:revision>1</cp:revision>
  <dcterms:created xsi:type="dcterms:W3CDTF">2026-10-27T00:22:22.090Z</dcterms:created>
  <dcterms:modified xsi:type="dcterms:W3CDTF">2026-10-27T00:22:22.090Z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