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DD3" w:rsidRPr="00156314" w:rsidRDefault="00161DD3" w:rsidP="00161DD3">
      <w:pPr>
        <w:spacing w:after="0"/>
        <w:rPr>
          <w:rFonts w:asciiTheme="majorHAnsi" w:eastAsia="Times New Roman" w:hAnsiTheme="majorHAnsi" w:cs="Times New Roman"/>
        </w:rPr>
      </w:pPr>
      <w:bookmarkStart w:id="0" w:name="_GoBack"/>
      <w:bookmarkEnd w:id="0"/>
      <w:proofErr w:type="spellStart"/>
      <w:r w:rsidRPr="00156314">
        <w:rPr>
          <w:rFonts w:asciiTheme="majorHAnsi" w:eastAsia="Times New Roman" w:hAnsiTheme="majorHAnsi" w:cs="Times New Roman"/>
        </w:rPr>
        <w:t>Abt</w:t>
      </w:r>
      <w:proofErr w:type="spellEnd"/>
      <w:r w:rsidRPr="00156314">
        <w:rPr>
          <w:rFonts w:asciiTheme="majorHAnsi" w:eastAsia="Times New Roman" w:hAnsiTheme="majorHAnsi" w:cs="Times New Roman"/>
        </w:rPr>
        <w:t xml:space="preserve"> SRBI conducted </w:t>
      </w:r>
      <w:r w:rsidR="00F227C6" w:rsidRPr="00156314">
        <w:rPr>
          <w:rFonts w:asciiTheme="majorHAnsi" w:eastAsia="Times New Roman" w:hAnsiTheme="majorHAnsi" w:cs="Times New Roman"/>
        </w:rPr>
        <w:t>the</w:t>
      </w:r>
      <w:r w:rsidR="00381DA5" w:rsidRPr="00156314">
        <w:rPr>
          <w:rFonts w:asciiTheme="majorHAnsi" w:eastAsia="Times New Roman" w:hAnsiTheme="majorHAnsi" w:cs="Times New Roman"/>
        </w:rPr>
        <w:t xml:space="preserve"> </w:t>
      </w:r>
      <w:r w:rsidRPr="00156314">
        <w:rPr>
          <w:rFonts w:asciiTheme="majorHAnsi" w:eastAsia="Times New Roman" w:hAnsiTheme="majorHAnsi" w:cs="Times New Roman"/>
        </w:rPr>
        <w:t xml:space="preserve">survey of </w:t>
      </w:r>
      <w:r w:rsidR="001A0C40" w:rsidRPr="00156314">
        <w:rPr>
          <w:rFonts w:asciiTheme="majorHAnsi" w:eastAsia="Times New Roman" w:hAnsiTheme="majorHAnsi" w:cs="Times New Roman"/>
        </w:rPr>
        <w:t xml:space="preserve">likely voters </w:t>
      </w:r>
      <w:r w:rsidRPr="00156314">
        <w:rPr>
          <w:rFonts w:asciiTheme="majorHAnsi" w:eastAsia="Times New Roman" w:hAnsiTheme="majorHAnsi" w:cs="Times New Roman"/>
        </w:rPr>
        <w:t xml:space="preserve">in Georgia on behalf of the </w:t>
      </w:r>
      <w:r w:rsidR="00FA3617" w:rsidRPr="00156314">
        <w:rPr>
          <w:rFonts w:asciiTheme="majorHAnsi" w:eastAsia="Times New Roman" w:hAnsiTheme="majorHAnsi" w:cs="Times New Roman"/>
        </w:rPr>
        <w:t>Atlanta Journal Constitution</w:t>
      </w:r>
      <w:r w:rsidRPr="00156314">
        <w:rPr>
          <w:rFonts w:asciiTheme="majorHAnsi" w:eastAsia="Times New Roman" w:hAnsiTheme="majorHAnsi" w:cs="Times New Roman"/>
        </w:rPr>
        <w:t xml:space="preserve">. The survey included telephone interviews with a representative sample of </w:t>
      </w:r>
      <w:r w:rsidR="001A0C40" w:rsidRPr="00156314">
        <w:rPr>
          <w:rFonts w:asciiTheme="majorHAnsi" w:eastAsia="Times New Roman" w:hAnsiTheme="majorHAnsi" w:cs="Times New Roman"/>
        </w:rPr>
        <w:t>2</w:t>
      </w:r>
      <w:r w:rsidR="00FA3617" w:rsidRPr="00156314">
        <w:rPr>
          <w:rFonts w:asciiTheme="majorHAnsi" w:eastAsia="Times New Roman" w:hAnsiTheme="majorHAnsi" w:cs="Times New Roman"/>
        </w:rPr>
        <w:t>,</w:t>
      </w:r>
      <w:r w:rsidR="003F5E59">
        <w:rPr>
          <w:rFonts w:asciiTheme="majorHAnsi" w:eastAsia="Times New Roman" w:hAnsiTheme="majorHAnsi" w:cs="Times New Roman"/>
        </w:rPr>
        <w:t>003</w:t>
      </w:r>
      <w:r w:rsidRPr="00156314">
        <w:rPr>
          <w:rFonts w:asciiTheme="majorHAnsi" w:eastAsia="Times New Roman" w:hAnsiTheme="majorHAnsi" w:cs="Times New Roman"/>
        </w:rPr>
        <w:t xml:space="preserve"> Georgia</w:t>
      </w:r>
      <w:r w:rsidR="001A0C40" w:rsidRPr="00156314">
        <w:rPr>
          <w:rFonts w:asciiTheme="majorHAnsi" w:eastAsia="Times New Roman" w:hAnsiTheme="majorHAnsi" w:cs="Times New Roman"/>
        </w:rPr>
        <w:t xml:space="preserve"> residents</w:t>
      </w:r>
      <w:r w:rsidRPr="00156314">
        <w:rPr>
          <w:rFonts w:asciiTheme="majorHAnsi" w:eastAsia="Times New Roman" w:hAnsiTheme="majorHAnsi" w:cs="Times New Roman"/>
        </w:rPr>
        <w:t xml:space="preserve">. Telephone interviews </w:t>
      </w:r>
      <w:r w:rsidR="00FA3617" w:rsidRPr="00156314">
        <w:rPr>
          <w:rFonts w:asciiTheme="majorHAnsi" w:eastAsia="Times New Roman" w:hAnsiTheme="majorHAnsi" w:cs="Times New Roman"/>
        </w:rPr>
        <w:t>were conducted by landline (n=</w:t>
      </w:r>
      <w:r w:rsidR="007E5BB7">
        <w:rPr>
          <w:rFonts w:asciiTheme="majorHAnsi" w:eastAsia="Times New Roman" w:hAnsiTheme="majorHAnsi" w:cs="Times New Roman"/>
        </w:rPr>
        <w:t>1,201</w:t>
      </w:r>
      <w:r w:rsidR="00FA3617" w:rsidRPr="00156314">
        <w:rPr>
          <w:rFonts w:asciiTheme="majorHAnsi" w:eastAsia="Times New Roman" w:hAnsiTheme="majorHAnsi" w:cs="Times New Roman"/>
        </w:rPr>
        <w:t>) and cell phone (n=</w:t>
      </w:r>
      <w:r w:rsidR="007E5BB7">
        <w:rPr>
          <w:rFonts w:asciiTheme="majorHAnsi" w:eastAsia="Times New Roman" w:hAnsiTheme="majorHAnsi" w:cs="Times New Roman"/>
        </w:rPr>
        <w:t>802</w:t>
      </w:r>
      <w:r w:rsidR="00381DA5" w:rsidRPr="00156314">
        <w:rPr>
          <w:rFonts w:asciiTheme="majorHAnsi" w:eastAsia="Times New Roman" w:hAnsiTheme="majorHAnsi" w:cs="Times New Roman"/>
        </w:rPr>
        <w:t xml:space="preserve">, including </w:t>
      </w:r>
      <w:r w:rsidR="007E5BB7">
        <w:rPr>
          <w:rFonts w:asciiTheme="majorHAnsi" w:eastAsia="Times New Roman" w:hAnsiTheme="majorHAnsi" w:cs="Times New Roman"/>
        </w:rPr>
        <w:t>481</w:t>
      </w:r>
      <w:r w:rsidRPr="00156314">
        <w:rPr>
          <w:rFonts w:asciiTheme="majorHAnsi" w:eastAsia="Times New Roman" w:hAnsiTheme="majorHAnsi" w:cs="Times New Roman"/>
        </w:rPr>
        <w:t xml:space="preserve"> without a </w:t>
      </w:r>
      <w:r w:rsidR="001C4EC5" w:rsidRPr="00156314">
        <w:rPr>
          <w:rFonts w:asciiTheme="majorHAnsi" w:eastAsia="Times New Roman" w:hAnsiTheme="majorHAnsi" w:cs="Times New Roman"/>
        </w:rPr>
        <w:t xml:space="preserve">landline phone or “cell-only”). </w:t>
      </w:r>
      <w:r w:rsidR="00F227C6" w:rsidRPr="00156314">
        <w:rPr>
          <w:rFonts w:asciiTheme="majorHAnsi" w:eastAsia="Times New Roman" w:hAnsiTheme="majorHAnsi" w:cs="Times New Roman"/>
        </w:rPr>
        <w:t>The</w:t>
      </w:r>
      <w:r w:rsidR="009F5A27">
        <w:rPr>
          <w:rFonts w:asciiTheme="majorHAnsi" w:eastAsia="Times New Roman" w:hAnsiTheme="majorHAnsi" w:cs="Times New Roman"/>
        </w:rPr>
        <w:t xml:space="preserve"> final</w:t>
      </w:r>
      <w:r w:rsidR="00F227C6" w:rsidRPr="00156314">
        <w:rPr>
          <w:rFonts w:asciiTheme="majorHAnsi" w:eastAsia="Times New Roman" w:hAnsiTheme="majorHAnsi" w:cs="Times New Roman"/>
        </w:rPr>
        <w:t xml:space="preserve"> sample produced </w:t>
      </w:r>
      <w:r w:rsidR="007972A6">
        <w:rPr>
          <w:rFonts w:asciiTheme="majorHAnsi" w:eastAsia="Times New Roman" w:hAnsiTheme="majorHAnsi" w:cs="Times New Roman"/>
        </w:rPr>
        <w:t>n=</w:t>
      </w:r>
      <w:r w:rsidR="007E5BB7">
        <w:rPr>
          <w:rFonts w:asciiTheme="majorHAnsi" w:eastAsia="Times New Roman" w:hAnsiTheme="majorHAnsi" w:cs="Times New Roman"/>
        </w:rPr>
        <w:t>1,170</w:t>
      </w:r>
      <w:r w:rsidR="00AF58DA" w:rsidRPr="00156314">
        <w:rPr>
          <w:rFonts w:asciiTheme="majorHAnsi" w:eastAsia="Times New Roman" w:hAnsiTheme="majorHAnsi" w:cs="Times New Roman"/>
        </w:rPr>
        <w:t xml:space="preserve"> likely voters</w:t>
      </w:r>
      <w:r w:rsidR="009F5A27">
        <w:rPr>
          <w:rFonts w:asciiTheme="majorHAnsi" w:eastAsia="Times New Roman" w:hAnsiTheme="majorHAnsi" w:cs="Times New Roman"/>
        </w:rPr>
        <w:t xml:space="preserve"> </w:t>
      </w:r>
      <w:r w:rsidR="00FB3915">
        <w:rPr>
          <w:rFonts w:asciiTheme="majorHAnsi" w:eastAsia="Times New Roman" w:hAnsiTheme="majorHAnsi" w:cs="Times New Roman"/>
        </w:rPr>
        <w:t>statewide</w:t>
      </w:r>
      <w:r w:rsidR="00AF58DA" w:rsidRPr="00156314">
        <w:rPr>
          <w:rFonts w:asciiTheme="majorHAnsi" w:eastAsia="Times New Roman" w:hAnsiTheme="majorHAnsi" w:cs="Times New Roman"/>
        </w:rPr>
        <w:t xml:space="preserve">. </w:t>
      </w:r>
      <w:r w:rsidRPr="00156314">
        <w:rPr>
          <w:rFonts w:asciiTheme="majorHAnsi" w:eastAsia="Times New Roman" w:hAnsiTheme="majorHAnsi" w:cs="Times New Roman"/>
        </w:rPr>
        <w:t>Interv</w:t>
      </w:r>
      <w:r w:rsidR="00381DA5" w:rsidRPr="00156314">
        <w:rPr>
          <w:rFonts w:asciiTheme="majorHAnsi" w:eastAsia="Times New Roman" w:hAnsiTheme="majorHAnsi" w:cs="Times New Roman"/>
        </w:rPr>
        <w:t xml:space="preserve">iewing was conducted from </w:t>
      </w:r>
      <w:r w:rsidR="007E5BB7">
        <w:rPr>
          <w:rFonts w:asciiTheme="majorHAnsi" w:eastAsia="Times New Roman" w:hAnsiTheme="majorHAnsi" w:cs="Times New Roman"/>
        </w:rPr>
        <w:t>October 16</w:t>
      </w:r>
      <w:r w:rsidR="007972A6">
        <w:rPr>
          <w:rFonts w:asciiTheme="majorHAnsi" w:eastAsia="Times New Roman" w:hAnsiTheme="majorHAnsi" w:cs="Times New Roman"/>
        </w:rPr>
        <w:t xml:space="preserve"> to </w:t>
      </w:r>
      <w:r w:rsidR="007E5BB7">
        <w:rPr>
          <w:rFonts w:asciiTheme="majorHAnsi" w:eastAsia="Times New Roman" w:hAnsiTheme="majorHAnsi" w:cs="Times New Roman"/>
        </w:rPr>
        <w:t>October</w:t>
      </w:r>
      <w:r w:rsidR="007972A6">
        <w:rPr>
          <w:rFonts w:asciiTheme="majorHAnsi" w:eastAsia="Times New Roman" w:hAnsiTheme="majorHAnsi" w:cs="Times New Roman"/>
        </w:rPr>
        <w:t xml:space="preserve"> </w:t>
      </w:r>
      <w:r w:rsidR="007E5BB7">
        <w:rPr>
          <w:rFonts w:asciiTheme="majorHAnsi" w:eastAsia="Times New Roman" w:hAnsiTheme="majorHAnsi" w:cs="Times New Roman"/>
        </w:rPr>
        <w:t>23</w:t>
      </w:r>
      <w:r w:rsidRPr="00156314">
        <w:rPr>
          <w:rFonts w:asciiTheme="majorHAnsi" w:eastAsia="Times New Roman" w:hAnsiTheme="majorHAnsi" w:cs="Times New Roman"/>
        </w:rPr>
        <w:t xml:space="preserve">, 2014. </w:t>
      </w:r>
    </w:p>
    <w:p w:rsidR="00161DD3" w:rsidRPr="00156314" w:rsidRDefault="00161DD3" w:rsidP="00810793">
      <w:pPr>
        <w:spacing w:after="0"/>
        <w:rPr>
          <w:rFonts w:asciiTheme="majorHAnsi" w:eastAsia="Times New Roman" w:hAnsiTheme="majorHAnsi" w:cs="Times New Roman"/>
          <w:b/>
        </w:rPr>
      </w:pPr>
    </w:p>
    <w:p w:rsidR="00810793" w:rsidRPr="00156314" w:rsidRDefault="00810793" w:rsidP="00810793">
      <w:pPr>
        <w:spacing w:after="0"/>
        <w:rPr>
          <w:rFonts w:asciiTheme="majorHAnsi" w:eastAsia="Times New Roman" w:hAnsiTheme="majorHAnsi" w:cs="Times New Roman"/>
          <w:b/>
        </w:rPr>
      </w:pPr>
      <w:r w:rsidRPr="00156314">
        <w:rPr>
          <w:rFonts w:asciiTheme="majorHAnsi" w:eastAsia="Times New Roman" w:hAnsiTheme="majorHAnsi" w:cs="Times New Roman"/>
          <w:b/>
        </w:rPr>
        <w:t>Sampling</w:t>
      </w:r>
    </w:p>
    <w:p w:rsidR="002C6213" w:rsidRPr="00156314" w:rsidRDefault="00810793" w:rsidP="00810793">
      <w:pPr>
        <w:spacing w:after="0"/>
        <w:rPr>
          <w:rFonts w:asciiTheme="majorHAnsi" w:eastAsia="Times New Roman" w:hAnsiTheme="majorHAnsi" w:cs="Times New Roman"/>
        </w:rPr>
      </w:pPr>
      <w:r w:rsidRPr="00156314">
        <w:rPr>
          <w:rFonts w:asciiTheme="majorHAnsi" w:eastAsia="Times New Roman" w:hAnsiTheme="majorHAnsi" w:cs="Times New Roman"/>
        </w:rPr>
        <w:t xml:space="preserve">The sample design was a random digit dialed sample of cell phone numbers and landline numbers with a Georgia telephone exchange. This sample design is referred to as </w:t>
      </w:r>
      <w:r w:rsidR="002C6213" w:rsidRPr="00156314">
        <w:rPr>
          <w:rFonts w:asciiTheme="majorHAnsi" w:eastAsia="Times New Roman" w:hAnsiTheme="majorHAnsi" w:cs="Times New Roman"/>
        </w:rPr>
        <w:t>a “</w:t>
      </w:r>
      <w:r w:rsidRPr="00156314">
        <w:rPr>
          <w:rFonts w:asciiTheme="majorHAnsi" w:eastAsia="Times New Roman" w:hAnsiTheme="majorHAnsi" w:cs="Times New Roman"/>
        </w:rPr>
        <w:t>dual-frame</w:t>
      </w:r>
      <w:r w:rsidR="002C6213" w:rsidRPr="00156314">
        <w:rPr>
          <w:rFonts w:asciiTheme="majorHAnsi" w:eastAsia="Times New Roman" w:hAnsiTheme="majorHAnsi" w:cs="Times New Roman"/>
        </w:rPr>
        <w:t>”</w:t>
      </w:r>
      <w:r w:rsidRPr="00156314">
        <w:rPr>
          <w:rFonts w:asciiTheme="majorHAnsi" w:eastAsia="Times New Roman" w:hAnsiTheme="majorHAnsi" w:cs="Times New Roman"/>
        </w:rPr>
        <w:t xml:space="preserve"> because it includes cell phones and landlines.  </w:t>
      </w:r>
    </w:p>
    <w:p w:rsidR="002C6213" w:rsidRPr="00156314" w:rsidRDefault="002C6213" w:rsidP="00810793">
      <w:pPr>
        <w:spacing w:after="0"/>
        <w:rPr>
          <w:rFonts w:asciiTheme="majorHAnsi" w:eastAsia="Times New Roman" w:hAnsiTheme="majorHAnsi" w:cs="Times New Roman"/>
        </w:rPr>
      </w:pPr>
    </w:p>
    <w:p w:rsidR="00810793" w:rsidRPr="00156314" w:rsidRDefault="00810793" w:rsidP="00810793">
      <w:pPr>
        <w:spacing w:after="0"/>
        <w:rPr>
          <w:rFonts w:asciiTheme="majorHAnsi" w:eastAsia="Times New Roman" w:hAnsiTheme="majorHAnsi" w:cs="Times New Roman"/>
        </w:rPr>
      </w:pPr>
      <w:r w:rsidRPr="00156314">
        <w:rPr>
          <w:rFonts w:asciiTheme="majorHAnsi" w:eastAsia="Times New Roman" w:hAnsiTheme="majorHAnsi" w:cs="Times New Roman"/>
        </w:rPr>
        <w:t xml:space="preserve">The landline frame is constructed by compiling all Georgia telephone exchanges that are classified as providing regular telephone service.  The frame is referred to as “list-assisted” because a complete file of directory-listed residential numbers is used to remove 100-banks from the frame if they contain zero residential listings.  The remaining 100-banks are “working” and used to enumerate all the telephone numbers within the bank from which a sample is drawn. </w:t>
      </w:r>
      <w:r w:rsidR="002C6213" w:rsidRPr="00156314">
        <w:rPr>
          <w:rFonts w:asciiTheme="majorHAnsi" w:eastAsia="Times New Roman" w:hAnsiTheme="majorHAnsi" w:cs="Times New Roman"/>
        </w:rPr>
        <w:t xml:space="preserve">All landline numbers (directory-listed and unlisted) in the working banks are eligible to be randomly dialed.   </w:t>
      </w:r>
      <w:r w:rsidRPr="00156314">
        <w:rPr>
          <w:rFonts w:asciiTheme="majorHAnsi" w:eastAsia="Times New Roman" w:hAnsiTheme="majorHAnsi" w:cs="Times New Roman"/>
        </w:rPr>
        <w:t xml:space="preserve"> Telephone numbers known to belong to businesses are removed.  </w:t>
      </w:r>
    </w:p>
    <w:p w:rsidR="00810793" w:rsidRPr="00156314" w:rsidRDefault="00810793" w:rsidP="00810793">
      <w:pPr>
        <w:spacing w:before="240" w:after="0"/>
        <w:rPr>
          <w:rFonts w:asciiTheme="majorHAnsi" w:eastAsia="Times New Roman" w:hAnsiTheme="majorHAnsi" w:cs="Times New Roman"/>
        </w:rPr>
      </w:pPr>
      <w:r w:rsidRPr="00156314">
        <w:rPr>
          <w:rFonts w:asciiTheme="majorHAnsi" w:eastAsia="Times New Roman" w:hAnsiTheme="majorHAnsi" w:cs="Times New Roman"/>
        </w:rPr>
        <w:t xml:space="preserve">The cellular telephone frame begins with 1,000-blocks constructed from exchanges that provide cellular telephone service.  The frame of 1,000-blocks is then expanded to the 100-block level to identify and remove “mixed use” 100-blocks, or those that include landline numbers.  The result is a sampling of cellular 100-blocks that is mutually exclusive of the list-assisted RDD sampling frame described above. </w:t>
      </w:r>
      <w:r w:rsidR="002C6213" w:rsidRPr="00156314">
        <w:rPr>
          <w:rFonts w:asciiTheme="majorHAnsi" w:eastAsia="Times New Roman" w:hAnsiTheme="majorHAnsi" w:cs="Times New Roman"/>
        </w:rPr>
        <w:t xml:space="preserve"> </w:t>
      </w:r>
      <w:r w:rsidR="00490460" w:rsidRPr="00156314">
        <w:rPr>
          <w:rFonts w:asciiTheme="majorHAnsi" w:eastAsia="Times New Roman" w:hAnsiTheme="majorHAnsi" w:cs="Times New Roman"/>
        </w:rPr>
        <w:t>After the initial cellular sample was drawn, numbers flagged by the sample vendor as “inactive” using Cell-WINS</w:t>
      </w:r>
      <w:r w:rsidR="004E5BD9" w:rsidRPr="00156314">
        <w:rPr>
          <w:rStyle w:val="FootnoteReference"/>
          <w:rFonts w:asciiTheme="majorHAnsi" w:eastAsia="Times New Roman" w:hAnsiTheme="majorHAnsi" w:cs="Times New Roman"/>
        </w:rPr>
        <w:footnoteReference w:id="1"/>
      </w:r>
      <w:r w:rsidR="00490460" w:rsidRPr="00156314">
        <w:rPr>
          <w:rFonts w:asciiTheme="majorHAnsi" w:eastAsia="Times New Roman" w:hAnsiTheme="majorHAnsi" w:cs="Times New Roman"/>
        </w:rPr>
        <w:t xml:space="preserve"> were removed and not dialed.  </w:t>
      </w:r>
    </w:p>
    <w:p w:rsidR="002C6213" w:rsidRPr="00156314" w:rsidRDefault="002C6213" w:rsidP="002C6213">
      <w:pPr>
        <w:spacing w:after="0"/>
        <w:rPr>
          <w:rFonts w:asciiTheme="majorHAnsi" w:eastAsia="Times New Roman" w:hAnsiTheme="majorHAnsi" w:cs="Times New Roman"/>
        </w:rPr>
      </w:pPr>
    </w:p>
    <w:p w:rsidR="00161DD3" w:rsidRPr="00156314" w:rsidRDefault="00161DD3" w:rsidP="00161DD3">
      <w:pPr>
        <w:spacing w:after="0"/>
        <w:jc w:val="both"/>
        <w:rPr>
          <w:rFonts w:asciiTheme="majorHAnsi" w:eastAsia="Times New Roman" w:hAnsiTheme="majorHAnsi" w:cs="Arial"/>
        </w:rPr>
      </w:pPr>
      <w:r w:rsidRPr="00156314">
        <w:rPr>
          <w:rFonts w:asciiTheme="majorHAnsi" w:eastAsia="Times New Roman" w:hAnsiTheme="majorHAnsi" w:cs="Arial"/>
        </w:rPr>
        <w:t>For the landline sample, interviewers were asked to speak with the youngest adult male or female currently at home based on a random rotation. If no male/female was available, interviewers asked to speak with the youngest adult of the other gender. For the cell sample, interviews were conducted with the person who answered the phone. Interviewers verified that the person was an adult and in a safe place before administering the survey.</w:t>
      </w:r>
    </w:p>
    <w:p w:rsidR="00161DD3" w:rsidRPr="00156314" w:rsidRDefault="00161DD3" w:rsidP="00161DD3">
      <w:pPr>
        <w:pStyle w:val="BodyofReport"/>
        <w:spacing w:line="276" w:lineRule="auto"/>
        <w:ind w:firstLine="0"/>
        <w:jc w:val="both"/>
        <w:rPr>
          <w:rFonts w:asciiTheme="majorHAnsi" w:hAnsiTheme="majorHAnsi" w:cs="Arial"/>
          <w:sz w:val="22"/>
          <w:szCs w:val="22"/>
        </w:rPr>
      </w:pPr>
    </w:p>
    <w:p w:rsidR="00161DD3" w:rsidRPr="00156314" w:rsidRDefault="00161DD3" w:rsidP="0024503A">
      <w:pPr>
        <w:pStyle w:val="BodyofReport"/>
        <w:spacing w:line="276" w:lineRule="auto"/>
        <w:ind w:firstLine="0"/>
        <w:jc w:val="both"/>
        <w:rPr>
          <w:rFonts w:asciiTheme="majorHAnsi" w:hAnsiTheme="majorHAnsi" w:cs="Arial"/>
          <w:sz w:val="22"/>
          <w:szCs w:val="22"/>
        </w:rPr>
      </w:pPr>
      <w:r w:rsidRPr="00156314">
        <w:rPr>
          <w:rFonts w:asciiTheme="majorHAnsi" w:hAnsiTheme="majorHAnsi" w:cs="Arial"/>
          <w:sz w:val="22"/>
          <w:szCs w:val="22"/>
        </w:rPr>
        <w:t>All cooperating respondents from both samples were asked about their voter registration status.</w:t>
      </w:r>
      <w:r w:rsidR="00A73322" w:rsidRPr="00156314">
        <w:rPr>
          <w:rFonts w:asciiTheme="majorHAnsi" w:hAnsiTheme="majorHAnsi" w:cs="Arial"/>
          <w:sz w:val="22"/>
          <w:szCs w:val="22"/>
        </w:rPr>
        <w:t xml:space="preserve">  Registered voters were further asked </w:t>
      </w:r>
      <w:r w:rsidR="00C6447B" w:rsidRPr="00156314">
        <w:rPr>
          <w:rFonts w:asciiTheme="majorHAnsi" w:hAnsiTheme="majorHAnsi" w:cs="Arial"/>
          <w:sz w:val="22"/>
          <w:szCs w:val="22"/>
        </w:rPr>
        <w:t xml:space="preserve">a series of </w:t>
      </w:r>
      <w:r w:rsidR="00804EE8" w:rsidRPr="00156314">
        <w:rPr>
          <w:rFonts w:asciiTheme="majorHAnsi" w:hAnsiTheme="majorHAnsi" w:cs="Arial"/>
          <w:sz w:val="22"/>
          <w:szCs w:val="22"/>
        </w:rPr>
        <w:t xml:space="preserve">likely voter </w:t>
      </w:r>
      <w:r w:rsidR="00C6447B" w:rsidRPr="00156314">
        <w:rPr>
          <w:rFonts w:asciiTheme="majorHAnsi" w:hAnsiTheme="majorHAnsi" w:cs="Arial"/>
          <w:sz w:val="22"/>
          <w:szCs w:val="22"/>
        </w:rPr>
        <w:t xml:space="preserve">questions </w:t>
      </w:r>
      <w:r w:rsidR="0024503A" w:rsidRPr="00156314">
        <w:rPr>
          <w:rFonts w:asciiTheme="majorHAnsi" w:hAnsiTheme="majorHAnsi" w:cs="Arial"/>
          <w:sz w:val="22"/>
          <w:szCs w:val="22"/>
        </w:rPr>
        <w:t xml:space="preserve">including </w:t>
      </w:r>
      <w:r w:rsidR="0024503A" w:rsidRPr="005435D8">
        <w:rPr>
          <w:rFonts w:asciiTheme="majorHAnsi" w:hAnsiTheme="majorHAnsi" w:cs="Arial"/>
          <w:sz w:val="22"/>
          <w:szCs w:val="22"/>
        </w:rPr>
        <w:t>intention to vote in the November general election, attention to the race, and history of voting.</w:t>
      </w:r>
      <w:r w:rsidRPr="00156314">
        <w:rPr>
          <w:rFonts w:asciiTheme="majorHAnsi" w:hAnsiTheme="majorHAnsi" w:cs="Arial"/>
          <w:sz w:val="22"/>
          <w:szCs w:val="22"/>
        </w:rPr>
        <w:t xml:space="preserve"> People who said t</w:t>
      </w:r>
      <w:r w:rsidR="00A34C68" w:rsidRPr="00156314">
        <w:rPr>
          <w:rFonts w:asciiTheme="majorHAnsi" w:hAnsiTheme="majorHAnsi" w:cs="Arial"/>
          <w:sz w:val="22"/>
          <w:szCs w:val="22"/>
        </w:rPr>
        <w:t xml:space="preserve">hey were not registered to vote or were registered but </w:t>
      </w:r>
      <w:r w:rsidR="00AF58DA" w:rsidRPr="00156314">
        <w:rPr>
          <w:rFonts w:asciiTheme="majorHAnsi" w:hAnsiTheme="majorHAnsi" w:cs="Arial"/>
          <w:sz w:val="22"/>
          <w:szCs w:val="22"/>
        </w:rPr>
        <w:t xml:space="preserve">determined to be </w:t>
      </w:r>
      <w:r w:rsidR="00A34C68" w:rsidRPr="00156314">
        <w:rPr>
          <w:rFonts w:asciiTheme="majorHAnsi" w:hAnsiTheme="majorHAnsi" w:cs="Arial"/>
          <w:sz w:val="22"/>
          <w:szCs w:val="22"/>
        </w:rPr>
        <w:t>unlikely to vote in November</w:t>
      </w:r>
      <w:r w:rsidRPr="00156314">
        <w:rPr>
          <w:rFonts w:asciiTheme="majorHAnsi" w:hAnsiTheme="majorHAnsi" w:cs="Arial"/>
          <w:sz w:val="22"/>
          <w:szCs w:val="22"/>
        </w:rPr>
        <w:t xml:space="preserve"> </w:t>
      </w:r>
      <w:r w:rsidR="000E6D9F" w:rsidRPr="00156314">
        <w:rPr>
          <w:rFonts w:asciiTheme="majorHAnsi" w:hAnsiTheme="majorHAnsi" w:cs="Arial"/>
          <w:sz w:val="22"/>
          <w:szCs w:val="22"/>
        </w:rPr>
        <w:t xml:space="preserve">election </w:t>
      </w:r>
      <w:r w:rsidRPr="00156314">
        <w:rPr>
          <w:rFonts w:asciiTheme="majorHAnsi" w:hAnsiTheme="majorHAnsi" w:cs="Arial"/>
          <w:sz w:val="22"/>
          <w:szCs w:val="22"/>
        </w:rPr>
        <w:t xml:space="preserve">were only asked demographic questions </w:t>
      </w:r>
      <w:r w:rsidR="000E6D9F" w:rsidRPr="00156314">
        <w:rPr>
          <w:rFonts w:asciiTheme="majorHAnsi" w:hAnsiTheme="majorHAnsi" w:cs="Arial"/>
          <w:sz w:val="22"/>
          <w:szCs w:val="22"/>
        </w:rPr>
        <w:t>for</w:t>
      </w:r>
      <w:r w:rsidRPr="00156314">
        <w:rPr>
          <w:rFonts w:asciiTheme="majorHAnsi" w:hAnsiTheme="majorHAnsi" w:cs="Arial"/>
          <w:sz w:val="22"/>
          <w:szCs w:val="22"/>
        </w:rPr>
        <w:t xml:space="preserve"> weighting purposes.</w:t>
      </w:r>
    </w:p>
    <w:p w:rsidR="00810793" w:rsidRPr="00156314" w:rsidRDefault="00810793" w:rsidP="00810793">
      <w:pPr>
        <w:spacing w:before="240" w:after="0"/>
        <w:rPr>
          <w:rFonts w:asciiTheme="majorHAnsi" w:eastAsia="Times New Roman" w:hAnsiTheme="majorHAnsi" w:cs="Times New Roman"/>
          <w:b/>
        </w:rPr>
      </w:pPr>
      <w:r w:rsidRPr="00156314">
        <w:rPr>
          <w:rFonts w:asciiTheme="majorHAnsi" w:eastAsia="Times New Roman" w:hAnsiTheme="majorHAnsi" w:cs="Times New Roman"/>
          <w:b/>
        </w:rPr>
        <w:t>Weighting</w:t>
      </w:r>
    </w:p>
    <w:p w:rsidR="00511AC1" w:rsidRPr="00156314" w:rsidRDefault="00810793" w:rsidP="00A67EAF">
      <w:pPr>
        <w:spacing w:before="240" w:after="240"/>
        <w:rPr>
          <w:rFonts w:asciiTheme="majorHAnsi" w:eastAsia="Times New Roman" w:hAnsiTheme="majorHAnsi" w:cs="Times New Roman"/>
        </w:rPr>
      </w:pPr>
      <w:r w:rsidRPr="00156314">
        <w:rPr>
          <w:rFonts w:asciiTheme="majorHAnsi" w:eastAsia="Times New Roman" w:hAnsiTheme="majorHAnsi" w:cs="Times New Roman"/>
        </w:rPr>
        <w:lastRenderedPageBreak/>
        <w:t xml:space="preserve">The final weights produced for this survey </w:t>
      </w:r>
      <w:r w:rsidR="00522610" w:rsidRPr="00156314">
        <w:rPr>
          <w:rFonts w:asciiTheme="majorHAnsi" w:eastAsia="Times New Roman" w:hAnsiTheme="majorHAnsi" w:cs="Times New Roman"/>
        </w:rPr>
        <w:t>accounted</w:t>
      </w:r>
      <w:r w:rsidRPr="00156314">
        <w:rPr>
          <w:rFonts w:asciiTheme="majorHAnsi" w:eastAsia="Times New Roman" w:hAnsiTheme="majorHAnsi" w:cs="Times New Roman"/>
        </w:rPr>
        <w:t xml:space="preserve"> for the dual-frame sample design and aligned the sample to match the population parameters of the adult population in Georgia. </w:t>
      </w:r>
      <w:r w:rsidR="002C6213" w:rsidRPr="00156314">
        <w:rPr>
          <w:rFonts w:asciiTheme="majorHAnsi" w:eastAsia="Times New Roman" w:hAnsiTheme="majorHAnsi" w:cs="Times New Roman"/>
        </w:rPr>
        <w:t>To construct the weights, we use</w:t>
      </w:r>
      <w:r w:rsidR="00522610" w:rsidRPr="00156314">
        <w:rPr>
          <w:rFonts w:asciiTheme="majorHAnsi" w:eastAsia="Times New Roman" w:hAnsiTheme="majorHAnsi" w:cs="Times New Roman"/>
        </w:rPr>
        <w:t>d</w:t>
      </w:r>
      <w:r w:rsidR="002C6213" w:rsidRPr="00156314">
        <w:rPr>
          <w:rFonts w:asciiTheme="majorHAnsi" w:eastAsia="Times New Roman" w:hAnsiTheme="majorHAnsi" w:cs="Times New Roman"/>
        </w:rPr>
        <w:t xml:space="preserve"> the </w:t>
      </w:r>
      <w:r w:rsidR="00522610" w:rsidRPr="00156314">
        <w:rPr>
          <w:rFonts w:asciiTheme="majorHAnsi" w:eastAsia="Times New Roman" w:hAnsiTheme="majorHAnsi" w:cs="Times New Roman"/>
        </w:rPr>
        <w:t xml:space="preserve">full </w:t>
      </w:r>
      <w:r w:rsidR="002C6213" w:rsidRPr="00156314">
        <w:rPr>
          <w:rFonts w:asciiTheme="majorHAnsi" w:eastAsia="Times New Roman" w:hAnsiTheme="majorHAnsi" w:cs="Times New Roman"/>
        </w:rPr>
        <w:t xml:space="preserve">sample of </w:t>
      </w:r>
      <w:r w:rsidR="007E5BB7">
        <w:rPr>
          <w:rFonts w:asciiTheme="majorHAnsi" w:eastAsia="Times New Roman" w:hAnsiTheme="majorHAnsi" w:cs="Times New Roman"/>
        </w:rPr>
        <w:t>2,003</w:t>
      </w:r>
      <w:r w:rsidR="000E6D9F" w:rsidRPr="00156314">
        <w:rPr>
          <w:rFonts w:asciiTheme="majorHAnsi" w:eastAsia="Times New Roman" w:hAnsiTheme="majorHAnsi" w:cs="Times New Roman"/>
        </w:rPr>
        <w:t xml:space="preserve"> Georgia residents</w:t>
      </w:r>
      <w:r w:rsidR="002C6213" w:rsidRPr="00156314">
        <w:rPr>
          <w:rFonts w:asciiTheme="majorHAnsi" w:eastAsia="Times New Roman" w:hAnsiTheme="majorHAnsi" w:cs="Times New Roman"/>
        </w:rPr>
        <w:t xml:space="preserve">.  </w:t>
      </w:r>
      <w:r w:rsidR="00511AC1" w:rsidRPr="00156314">
        <w:rPr>
          <w:rFonts w:asciiTheme="majorHAnsi" w:eastAsia="Times New Roman" w:hAnsiTheme="majorHAnsi" w:cs="Times New Roman"/>
        </w:rPr>
        <w:t xml:space="preserve">The full sample was post-stratified (raked) to benchmark demographic </w:t>
      </w:r>
      <w:r w:rsidR="00BF4485" w:rsidRPr="00156314">
        <w:rPr>
          <w:rFonts w:asciiTheme="majorHAnsi" w:eastAsia="Times New Roman" w:hAnsiTheme="majorHAnsi" w:cs="Times New Roman"/>
        </w:rPr>
        <w:t>distributions for the Georgia adult population,</w:t>
      </w:r>
      <w:r w:rsidR="00511AC1" w:rsidRPr="00156314">
        <w:rPr>
          <w:rFonts w:asciiTheme="majorHAnsi" w:eastAsia="Times New Roman" w:hAnsiTheme="majorHAnsi" w:cs="Times New Roman"/>
        </w:rPr>
        <w:t xml:space="preserve"> as described below.  The benefit of this approach is that </w:t>
      </w:r>
      <w:r w:rsidR="00BF4485" w:rsidRPr="00156314">
        <w:rPr>
          <w:rFonts w:asciiTheme="majorHAnsi" w:eastAsia="Times New Roman" w:hAnsiTheme="majorHAnsi" w:cs="Times New Roman"/>
        </w:rPr>
        <w:t>statewide benchmarks for all adults are available from the Census Bureau and highly accurate and reliable.</w:t>
      </w:r>
      <w:r w:rsidR="00CB0591" w:rsidRPr="00156314">
        <w:rPr>
          <w:rStyle w:val="FootnoteReference"/>
          <w:rFonts w:asciiTheme="majorHAnsi" w:eastAsia="Times New Roman" w:hAnsiTheme="majorHAnsi" w:cs="Times New Roman"/>
        </w:rPr>
        <w:footnoteReference w:id="2"/>
      </w:r>
    </w:p>
    <w:p w:rsidR="00810793" w:rsidRPr="00156314" w:rsidRDefault="00501C1F" w:rsidP="00501C1F">
      <w:pPr>
        <w:spacing w:after="0"/>
        <w:rPr>
          <w:rFonts w:asciiTheme="majorHAnsi" w:eastAsia="Times New Roman" w:hAnsiTheme="majorHAnsi" w:cs="Times New Roman"/>
        </w:rPr>
      </w:pPr>
      <w:r w:rsidRPr="00156314">
        <w:rPr>
          <w:rFonts w:asciiTheme="majorHAnsi" w:eastAsia="Times New Roman" w:hAnsiTheme="majorHAnsi" w:cs="Times New Roman"/>
        </w:rPr>
        <w:t>The first stage of weighting corrected for different probabilities of selection associated with the number of adults in the household and the respondent’s telephone usage (landline only, cell phone only or has both kinds of phones). This weighting also adjusts for the overlapping landline and cell sample frames and the relative sizes of each frame and each sample.</w:t>
      </w:r>
      <w:r w:rsidR="00810793" w:rsidRPr="00156314">
        <w:rPr>
          <w:rFonts w:asciiTheme="majorHAnsi" w:eastAsia="Times New Roman" w:hAnsiTheme="majorHAnsi" w:cs="Times New Roman"/>
        </w:rPr>
        <w:t xml:space="preserve"> </w:t>
      </w:r>
    </w:p>
    <w:p w:rsidR="00810793" w:rsidRPr="00156314" w:rsidRDefault="00810793" w:rsidP="0038252D">
      <w:pPr>
        <w:spacing w:before="240" w:after="0"/>
        <w:rPr>
          <w:rFonts w:asciiTheme="majorHAnsi" w:eastAsia="Times New Roman" w:hAnsiTheme="majorHAnsi" w:cs="Times New Roman"/>
        </w:rPr>
      </w:pPr>
      <w:r w:rsidRPr="00156314">
        <w:rPr>
          <w:rFonts w:asciiTheme="majorHAnsi" w:eastAsia="Times New Roman" w:hAnsiTheme="majorHAnsi" w:cs="Times New Roman"/>
        </w:rPr>
        <w:t xml:space="preserve">The second stage of weighting balanced sample demographics to estimated </w:t>
      </w:r>
      <w:r w:rsidR="00501C1F" w:rsidRPr="00156314">
        <w:rPr>
          <w:rFonts w:asciiTheme="majorHAnsi" w:eastAsia="Times New Roman" w:hAnsiTheme="majorHAnsi" w:cs="Times New Roman"/>
        </w:rPr>
        <w:t xml:space="preserve">adult </w:t>
      </w:r>
      <w:r w:rsidRPr="00156314">
        <w:rPr>
          <w:rFonts w:asciiTheme="majorHAnsi" w:eastAsia="Times New Roman" w:hAnsiTheme="majorHAnsi" w:cs="Times New Roman"/>
        </w:rPr>
        <w:t>population parameters for the state of Georgia. The sample was balanced to match population parameters for sex, age, education level, race/Hispanic ethnicity, region</w:t>
      </w:r>
      <w:r w:rsidR="00501C1F" w:rsidRPr="00156314">
        <w:rPr>
          <w:rFonts w:asciiTheme="majorHAnsi" w:eastAsia="Times New Roman" w:hAnsiTheme="majorHAnsi" w:cs="Times New Roman"/>
        </w:rPr>
        <w:t xml:space="preserve"> (North, Atlanta Metro, Atlanta Ex</w:t>
      </w:r>
      <w:r w:rsidR="0028582F" w:rsidRPr="00156314">
        <w:rPr>
          <w:rFonts w:asciiTheme="majorHAnsi" w:eastAsia="Times New Roman" w:hAnsiTheme="majorHAnsi" w:cs="Times New Roman"/>
        </w:rPr>
        <w:t>urbs, Southeast, Southwest)</w:t>
      </w:r>
      <w:r w:rsidRPr="00156314">
        <w:rPr>
          <w:rFonts w:asciiTheme="majorHAnsi" w:eastAsia="Times New Roman" w:hAnsiTheme="majorHAnsi" w:cs="Times New Roman"/>
        </w:rPr>
        <w:t>, and telephone usage</w:t>
      </w:r>
      <w:r w:rsidR="0028582F" w:rsidRPr="00156314">
        <w:rPr>
          <w:rFonts w:asciiTheme="majorHAnsi" w:eastAsia="Times New Roman" w:hAnsiTheme="majorHAnsi" w:cs="Times New Roman"/>
        </w:rPr>
        <w:t xml:space="preserve"> (cell-only, dual-user, landline-only)</w:t>
      </w:r>
      <w:r w:rsidRPr="00156314">
        <w:rPr>
          <w:rFonts w:asciiTheme="majorHAnsi" w:eastAsia="Times New Roman" w:hAnsiTheme="majorHAnsi" w:cs="Times New Roman"/>
        </w:rPr>
        <w:t xml:space="preserve">. The demographic population parameters were computed from the </w:t>
      </w:r>
      <w:r w:rsidR="00D33D3C">
        <w:rPr>
          <w:rFonts w:asciiTheme="majorHAnsi" w:eastAsia="Times New Roman" w:hAnsiTheme="majorHAnsi" w:cs="Times New Roman"/>
        </w:rPr>
        <w:t>2013</w:t>
      </w:r>
      <w:r w:rsidRPr="00156314">
        <w:rPr>
          <w:rFonts w:asciiTheme="majorHAnsi" w:eastAsia="Times New Roman" w:hAnsiTheme="majorHAnsi" w:cs="Times New Roman"/>
        </w:rPr>
        <w:t xml:space="preserve"> American Community Survey (ACS).</w:t>
      </w:r>
      <w:r w:rsidR="0038252D">
        <w:rPr>
          <w:rFonts w:asciiTheme="majorHAnsi" w:eastAsia="Times New Roman" w:hAnsiTheme="majorHAnsi" w:cs="Times New Roman"/>
        </w:rPr>
        <w:t xml:space="preserve"> </w:t>
      </w:r>
      <w:r w:rsidR="003E77F6">
        <w:rPr>
          <w:rFonts w:asciiTheme="majorHAnsi" w:eastAsia="Times New Roman" w:hAnsiTheme="majorHAnsi" w:cs="Times New Roman"/>
        </w:rPr>
        <w:t xml:space="preserve">The population parameter for region of state was obtained from the </w:t>
      </w:r>
      <w:r w:rsidR="0038252D">
        <w:rPr>
          <w:rFonts w:asciiTheme="majorHAnsi" w:eastAsia="Times New Roman" w:hAnsiTheme="majorHAnsi" w:cs="Times New Roman"/>
        </w:rPr>
        <w:t>2013 Census Population Estimates.</w:t>
      </w:r>
      <w:r w:rsidRPr="00156314">
        <w:rPr>
          <w:rFonts w:asciiTheme="majorHAnsi" w:eastAsia="Times New Roman" w:hAnsiTheme="majorHAnsi" w:cs="Times New Roman"/>
        </w:rPr>
        <w:t xml:space="preserve"> The telephone usage population estimates were constructed from the model-based estimates for Georgia released by the National Center for Health Statistics for the year 2012.</w:t>
      </w:r>
      <w:r w:rsidR="00CB0591" w:rsidRPr="00156314">
        <w:rPr>
          <w:rStyle w:val="FootnoteReference"/>
          <w:rFonts w:asciiTheme="majorHAnsi" w:eastAsia="Times New Roman" w:hAnsiTheme="majorHAnsi" w:cs="Times New Roman"/>
        </w:rPr>
        <w:footnoteReference w:id="3"/>
      </w:r>
      <w:r w:rsidRPr="00156314">
        <w:rPr>
          <w:rFonts w:asciiTheme="majorHAnsi" w:eastAsia="Times New Roman" w:hAnsiTheme="majorHAnsi" w:cs="Times New Roman"/>
        </w:rPr>
        <w:t xml:space="preserve"> Since the cell phone-only adult population has increa</w:t>
      </w:r>
      <w:r w:rsidR="00B03072" w:rsidRPr="00156314">
        <w:rPr>
          <w:rFonts w:asciiTheme="majorHAnsi" w:eastAsia="Times New Roman" w:hAnsiTheme="majorHAnsi" w:cs="Times New Roman"/>
        </w:rPr>
        <w:t>sed every year since 2012, the</w:t>
      </w:r>
      <w:r w:rsidRPr="00156314">
        <w:rPr>
          <w:rFonts w:asciiTheme="majorHAnsi" w:eastAsia="Times New Roman" w:hAnsiTheme="majorHAnsi" w:cs="Times New Roman"/>
        </w:rPr>
        <w:t xml:space="preserve"> state</w:t>
      </w:r>
      <w:r w:rsidR="00B03072" w:rsidRPr="00156314">
        <w:rPr>
          <w:rFonts w:asciiTheme="majorHAnsi" w:eastAsia="Times New Roman" w:hAnsiTheme="majorHAnsi" w:cs="Times New Roman"/>
        </w:rPr>
        <w:t>-level estimate</w:t>
      </w:r>
      <w:r w:rsidRPr="00156314">
        <w:rPr>
          <w:rFonts w:asciiTheme="majorHAnsi" w:eastAsia="Times New Roman" w:hAnsiTheme="majorHAnsi" w:cs="Times New Roman"/>
        </w:rPr>
        <w:t xml:space="preserve"> w</w:t>
      </w:r>
      <w:r w:rsidR="00B03072" w:rsidRPr="00156314">
        <w:rPr>
          <w:rFonts w:asciiTheme="majorHAnsi" w:eastAsia="Times New Roman" w:hAnsiTheme="majorHAnsi" w:cs="Times New Roman"/>
        </w:rPr>
        <w:t>as</w:t>
      </w:r>
      <w:r w:rsidRPr="00156314">
        <w:rPr>
          <w:rFonts w:asciiTheme="majorHAnsi" w:eastAsia="Times New Roman" w:hAnsiTheme="majorHAnsi" w:cs="Times New Roman"/>
        </w:rPr>
        <w:t xml:space="preserve"> updated to reflect natio</w:t>
      </w:r>
      <w:r w:rsidR="00B03072" w:rsidRPr="00156314">
        <w:rPr>
          <w:rFonts w:asciiTheme="majorHAnsi" w:eastAsia="Times New Roman" w:hAnsiTheme="majorHAnsi" w:cs="Times New Roman"/>
        </w:rPr>
        <w:t>nal trends according to the 2014</w:t>
      </w:r>
      <w:r w:rsidR="005465CA" w:rsidRPr="00156314">
        <w:rPr>
          <w:rFonts w:asciiTheme="majorHAnsi" w:eastAsia="Times New Roman" w:hAnsiTheme="majorHAnsi" w:cs="Times New Roman"/>
        </w:rPr>
        <w:t xml:space="preserve"> NCHS report.</w:t>
      </w:r>
      <w:r w:rsidR="00CB0591" w:rsidRPr="00156314">
        <w:rPr>
          <w:rStyle w:val="FootnoteReference"/>
          <w:rFonts w:asciiTheme="majorHAnsi" w:eastAsia="Times New Roman" w:hAnsiTheme="majorHAnsi" w:cs="Times New Roman"/>
        </w:rPr>
        <w:footnoteReference w:id="4"/>
      </w:r>
    </w:p>
    <w:p w:rsidR="00810793" w:rsidRPr="00156314" w:rsidRDefault="00810793" w:rsidP="00810793">
      <w:pPr>
        <w:spacing w:before="240" w:after="240"/>
        <w:rPr>
          <w:rFonts w:asciiTheme="majorHAnsi" w:eastAsia="Times New Roman" w:hAnsiTheme="majorHAnsi" w:cs="Times New Roman"/>
        </w:rPr>
      </w:pPr>
      <w:r w:rsidRPr="00156314">
        <w:rPr>
          <w:rFonts w:asciiTheme="majorHAnsi" w:eastAsia="Times New Roman" w:hAnsiTheme="majorHAnsi" w:cs="Times New Roman"/>
        </w:rPr>
        <w:t xml:space="preserve">The second-stage weighting was conducted using an operation known as raking ratio estimation, or “raking”. Raking is used to reduce the risk of biases due to nonresponse and non-coverage in sample surveys. The raking procedure uses an iterative technique that simultaneously calibrates the sample to population distributions defined by socio-demographic parameters. After the raked weights were generated, we examined the distribution of values. </w:t>
      </w:r>
    </w:p>
    <w:p w:rsidR="00810793" w:rsidRPr="00156314" w:rsidRDefault="00810793" w:rsidP="00810793">
      <w:pPr>
        <w:spacing w:after="0"/>
        <w:rPr>
          <w:rFonts w:asciiTheme="majorHAnsi" w:eastAsia="Times New Roman" w:hAnsiTheme="majorHAnsi" w:cs="Times New Roman"/>
          <w:b/>
        </w:rPr>
      </w:pPr>
      <w:r w:rsidRPr="00156314">
        <w:rPr>
          <w:rFonts w:asciiTheme="majorHAnsi" w:eastAsia="Times New Roman" w:hAnsiTheme="majorHAnsi" w:cs="Times New Roman"/>
          <w:b/>
        </w:rPr>
        <w:t>Margin of Error</w:t>
      </w:r>
    </w:p>
    <w:p w:rsidR="00810793" w:rsidRPr="00156314" w:rsidRDefault="00810793" w:rsidP="00810793">
      <w:pPr>
        <w:spacing w:after="0"/>
        <w:rPr>
          <w:rFonts w:asciiTheme="majorHAnsi" w:eastAsia="Times New Roman" w:hAnsiTheme="majorHAnsi" w:cs="Times New Roman"/>
        </w:rPr>
      </w:pPr>
      <w:r w:rsidRPr="00156314">
        <w:rPr>
          <w:rFonts w:asciiTheme="majorHAnsi" w:eastAsia="Times New Roman" w:hAnsiTheme="majorHAnsi" w:cs="Times New Roman"/>
        </w:rPr>
        <w:t>The margin of error for an estimate is a measure of uncertainty that reflects the fact that the estimate is derived from a sample drawn from the population.  If one were to draw a second sample in the exact same manner, the estimate would be different from the first simply due to the fact that the sample contains different members of the population.  A third sample would be different from the first two, and so on.  The margin of error measures how different estimates could be based on drawing different samples from the same population.</w:t>
      </w:r>
    </w:p>
    <w:p w:rsidR="00810793" w:rsidRPr="00156314" w:rsidRDefault="00810793" w:rsidP="00810793">
      <w:pPr>
        <w:spacing w:after="0"/>
        <w:rPr>
          <w:rFonts w:asciiTheme="majorHAnsi" w:eastAsia="Times New Roman" w:hAnsiTheme="majorHAnsi" w:cs="Times New Roman"/>
        </w:rPr>
      </w:pPr>
    </w:p>
    <w:p w:rsidR="00810793" w:rsidRPr="00810793" w:rsidRDefault="00810793" w:rsidP="00810793">
      <w:pPr>
        <w:spacing w:after="0"/>
        <w:rPr>
          <w:rFonts w:asciiTheme="majorHAnsi" w:eastAsia="Times New Roman" w:hAnsiTheme="majorHAnsi" w:cs="Times New Roman"/>
        </w:rPr>
      </w:pPr>
      <w:r w:rsidRPr="00156314">
        <w:rPr>
          <w:rFonts w:asciiTheme="majorHAnsi" w:eastAsia="Times New Roman" w:hAnsiTheme="majorHAnsi" w:cs="Times New Roman"/>
        </w:rPr>
        <w:lastRenderedPageBreak/>
        <w:t xml:space="preserve">The error margin </w:t>
      </w:r>
      <w:r w:rsidR="002C6213" w:rsidRPr="00156314">
        <w:rPr>
          <w:rFonts w:asciiTheme="majorHAnsi" w:eastAsia="Times New Roman" w:hAnsiTheme="majorHAnsi" w:cs="Times New Roman"/>
        </w:rPr>
        <w:t>for the sample of</w:t>
      </w:r>
      <w:r w:rsidR="00381DA5" w:rsidRPr="00156314">
        <w:rPr>
          <w:rFonts w:asciiTheme="majorHAnsi" w:eastAsia="Times New Roman" w:hAnsiTheme="majorHAnsi" w:cs="Times New Roman"/>
        </w:rPr>
        <w:t xml:space="preserve"> </w:t>
      </w:r>
      <w:r w:rsidR="0024015B">
        <w:rPr>
          <w:rFonts w:asciiTheme="majorHAnsi" w:eastAsia="Times New Roman" w:hAnsiTheme="majorHAnsi" w:cs="Times New Roman"/>
        </w:rPr>
        <w:t>1,170</w:t>
      </w:r>
      <w:r w:rsidR="000E6D9F" w:rsidRPr="00156314">
        <w:rPr>
          <w:rFonts w:asciiTheme="majorHAnsi" w:eastAsia="Times New Roman" w:hAnsiTheme="majorHAnsi" w:cs="Times New Roman"/>
        </w:rPr>
        <w:t xml:space="preserve"> likely voters</w:t>
      </w:r>
      <w:r w:rsidR="0024015B">
        <w:rPr>
          <w:rFonts w:asciiTheme="majorHAnsi" w:eastAsia="Times New Roman" w:hAnsiTheme="majorHAnsi" w:cs="Times New Roman"/>
        </w:rPr>
        <w:t xml:space="preserve"> is +/-3.6</w:t>
      </w:r>
      <w:r w:rsidR="00195091">
        <w:rPr>
          <w:rFonts w:asciiTheme="majorHAnsi" w:eastAsia="Times New Roman" w:hAnsiTheme="majorHAnsi" w:cs="Times New Roman"/>
        </w:rPr>
        <w:t xml:space="preserve"> percentage points</w:t>
      </w:r>
      <w:r w:rsidR="002C6213" w:rsidRPr="00156314">
        <w:rPr>
          <w:rFonts w:asciiTheme="majorHAnsi" w:eastAsia="Times New Roman" w:hAnsiTheme="majorHAnsi" w:cs="Times New Roman"/>
        </w:rPr>
        <w:t xml:space="preserve">.  This </w:t>
      </w:r>
      <w:r w:rsidRPr="00156314">
        <w:rPr>
          <w:rFonts w:asciiTheme="majorHAnsi" w:eastAsia="Times New Roman" w:hAnsiTheme="majorHAnsi" w:cs="Times New Roman"/>
        </w:rPr>
        <w:t xml:space="preserve">includes a “design effect” </w:t>
      </w:r>
      <w:r w:rsidR="002C6213" w:rsidRPr="00156314">
        <w:rPr>
          <w:rFonts w:asciiTheme="majorHAnsi" w:eastAsia="Times New Roman" w:hAnsiTheme="majorHAnsi" w:cs="Times New Roman"/>
        </w:rPr>
        <w:t xml:space="preserve">of </w:t>
      </w:r>
      <w:r w:rsidR="00346143">
        <w:rPr>
          <w:rFonts w:asciiTheme="majorHAnsi" w:eastAsia="Times New Roman" w:hAnsiTheme="majorHAnsi" w:cs="Times New Roman"/>
        </w:rPr>
        <w:t>1.5</w:t>
      </w:r>
      <w:r w:rsidR="00195091">
        <w:rPr>
          <w:rFonts w:asciiTheme="majorHAnsi" w:eastAsia="Times New Roman" w:hAnsiTheme="majorHAnsi" w:cs="Times New Roman"/>
        </w:rPr>
        <w:t>9</w:t>
      </w:r>
      <w:r w:rsidR="002C6213" w:rsidRPr="00156314">
        <w:rPr>
          <w:rFonts w:asciiTheme="majorHAnsi" w:eastAsia="Times New Roman" w:hAnsiTheme="majorHAnsi" w:cs="Times New Roman"/>
        </w:rPr>
        <w:t>.  The design effect is</w:t>
      </w:r>
      <w:r w:rsidRPr="00156314">
        <w:rPr>
          <w:rFonts w:asciiTheme="majorHAnsi" w:eastAsia="Times New Roman" w:hAnsiTheme="majorHAnsi" w:cs="Times New Roman"/>
        </w:rPr>
        <w:t xml:space="preserve"> the amount of variability introduced by the sample design, such as the dual-frame sample and weighting.</w:t>
      </w:r>
      <w:r>
        <w:rPr>
          <w:rFonts w:asciiTheme="majorHAnsi" w:eastAsia="Times New Roman" w:hAnsiTheme="majorHAnsi" w:cs="Times New Roman"/>
        </w:rPr>
        <w:t xml:space="preserve"> </w:t>
      </w:r>
    </w:p>
    <w:p w:rsidR="00810793" w:rsidRDefault="00810793"/>
    <w:sectPr w:rsidR="008107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793" w:rsidRDefault="00810793" w:rsidP="00810793">
      <w:pPr>
        <w:spacing w:after="0" w:line="240" w:lineRule="auto"/>
      </w:pPr>
      <w:r>
        <w:separator/>
      </w:r>
    </w:p>
  </w:endnote>
  <w:endnote w:type="continuationSeparator" w:id="0">
    <w:p w:rsidR="00810793" w:rsidRDefault="00810793" w:rsidP="0081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793" w:rsidRDefault="00810793" w:rsidP="00810793">
      <w:pPr>
        <w:spacing w:after="0" w:line="240" w:lineRule="auto"/>
      </w:pPr>
      <w:r>
        <w:separator/>
      </w:r>
    </w:p>
  </w:footnote>
  <w:footnote w:type="continuationSeparator" w:id="0">
    <w:p w:rsidR="00810793" w:rsidRDefault="00810793" w:rsidP="00810793">
      <w:pPr>
        <w:spacing w:after="0" w:line="240" w:lineRule="auto"/>
      </w:pPr>
      <w:r>
        <w:continuationSeparator/>
      </w:r>
    </w:p>
  </w:footnote>
  <w:footnote w:id="1">
    <w:p w:rsidR="004E5BD9" w:rsidRDefault="004E5BD9" w:rsidP="004E5BD9">
      <w:pPr>
        <w:pStyle w:val="FootnoteText"/>
        <w:jc w:val="left"/>
        <w:rPr>
          <w:rFonts w:asciiTheme="majorHAnsi" w:hAnsiTheme="majorHAnsi"/>
        </w:rPr>
      </w:pPr>
      <w:r w:rsidRPr="004E5BD9">
        <w:rPr>
          <w:rStyle w:val="FootnoteReference"/>
          <w:rFonts w:asciiTheme="majorHAnsi" w:hAnsiTheme="majorHAnsi"/>
        </w:rPr>
        <w:footnoteRef/>
      </w:r>
      <w:r w:rsidRPr="004E5BD9">
        <w:rPr>
          <w:rFonts w:asciiTheme="majorHAnsi" w:hAnsiTheme="majorHAnsi"/>
        </w:rPr>
        <w:t xml:space="preserve"> A description of this service is available here: </w:t>
      </w:r>
    </w:p>
    <w:p w:rsidR="004E5BD9" w:rsidRPr="004E5BD9" w:rsidRDefault="004E5BD9" w:rsidP="004E5BD9">
      <w:pPr>
        <w:pStyle w:val="FootnoteText"/>
        <w:jc w:val="left"/>
        <w:rPr>
          <w:rFonts w:asciiTheme="majorHAnsi" w:hAnsiTheme="majorHAnsi"/>
        </w:rPr>
      </w:pPr>
      <w:r w:rsidRPr="004E5BD9">
        <w:rPr>
          <w:rFonts w:asciiTheme="majorHAnsi" w:hAnsiTheme="majorHAnsi"/>
        </w:rPr>
        <w:t>http://www.m-s-</w:t>
      </w:r>
      <w:r>
        <w:rPr>
          <w:rFonts w:asciiTheme="majorHAnsi" w:hAnsiTheme="majorHAnsi"/>
        </w:rPr>
        <w:t>g</w:t>
      </w:r>
      <w:r w:rsidRPr="004E5BD9">
        <w:rPr>
          <w:rFonts w:asciiTheme="majorHAnsi" w:hAnsiTheme="majorHAnsi"/>
        </w:rPr>
        <w:t>.com/CMS/ServerGallery/MSGWebNew/Documents/GENESYS/whitepapers/Cell-WINS.pdf</w:t>
      </w:r>
    </w:p>
  </w:footnote>
  <w:footnote w:id="2">
    <w:p w:rsidR="00CB0591" w:rsidRPr="00CB0591" w:rsidRDefault="00CB0591">
      <w:pPr>
        <w:pStyle w:val="FootnoteText"/>
        <w:rPr>
          <w:rFonts w:asciiTheme="majorHAnsi" w:hAnsiTheme="majorHAnsi"/>
        </w:rPr>
      </w:pPr>
      <w:r w:rsidRPr="00CB0591">
        <w:rPr>
          <w:rStyle w:val="FootnoteReference"/>
          <w:rFonts w:asciiTheme="majorHAnsi" w:hAnsiTheme="majorHAnsi"/>
        </w:rPr>
        <w:footnoteRef/>
      </w:r>
      <w:r w:rsidRPr="00CB0591">
        <w:rPr>
          <w:rFonts w:asciiTheme="majorHAnsi" w:hAnsiTheme="majorHAnsi"/>
        </w:rPr>
        <w:t xml:space="preserve"> Polls that take the alternate approach of weighting just the weighting the likely voter sample to previous turnout numbers run the risk of using benchmarks that are inaccurate as the demographic profile of who turns out to vote varies from election to election.</w:t>
      </w:r>
    </w:p>
  </w:footnote>
  <w:footnote w:id="3">
    <w:p w:rsidR="00CB0591" w:rsidRPr="00CB0591" w:rsidRDefault="00CB0591">
      <w:pPr>
        <w:pStyle w:val="FootnoteText"/>
        <w:rPr>
          <w:rFonts w:asciiTheme="majorHAnsi" w:hAnsiTheme="majorHAnsi"/>
        </w:rPr>
      </w:pPr>
      <w:r w:rsidRPr="00CB0591">
        <w:rPr>
          <w:rStyle w:val="FootnoteReference"/>
          <w:rFonts w:asciiTheme="majorHAnsi" w:hAnsiTheme="majorHAnsi"/>
        </w:rPr>
        <w:footnoteRef/>
      </w:r>
      <w:r w:rsidRPr="00CB0591">
        <w:rPr>
          <w:rFonts w:asciiTheme="majorHAnsi" w:hAnsiTheme="majorHAnsi"/>
        </w:rPr>
        <w:t xml:space="preserve"> Blumberg SJ, Ganesh N, Luke JV, Gonzales G. Wireless substitution: State-level estimates from the National Health Interview Survey, 2012. National health statistics reports; no 70. Hyattsville, MD: National Center for Health Statistics. 2013.</w:t>
      </w:r>
    </w:p>
  </w:footnote>
  <w:footnote w:id="4">
    <w:p w:rsidR="00CB0591" w:rsidRDefault="00CB0591">
      <w:pPr>
        <w:pStyle w:val="FootnoteText"/>
      </w:pPr>
      <w:r w:rsidRPr="00CB0591">
        <w:rPr>
          <w:rStyle w:val="FootnoteReference"/>
          <w:rFonts w:asciiTheme="majorHAnsi" w:hAnsiTheme="majorHAnsi"/>
        </w:rPr>
        <w:footnoteRef/>
      </w:r>
      <w:r w:rsidRPr="00CB0591">
        <w:rPr>
          <w:rFonts w:asciiTheme="majorHAnsi" w:hAnsiTheme="majorHAnsi"/>
        </w:rPr>
        <w:t xml:space="preserve"> Blumberg SJ, Luke JV. Wireless substitution: Early release of estimates from the National Health Interview Survey, July-December 2013. National Center for Health Statistics. July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793"/>
    <w:rsid w:val="000E6D9F"/>
    <w:rsid w:val="00156314"/>
    <w:rsid w:val="00161DD3"/>
    <w:rsid w:val="00195091"/>
    <w:rsid w:val="001A0C40"/>
    <w:rsid w:val="001C4EC5"/>
    <w:rsid w:val="001D2685"/>
    <w:rsid w:val="0024015B"/>
    <w:rsid w:val="0024503A"/>
    <w:rsid w:val="0028582F"/>
    <w:rsid w:val="002C6213"/>
    <w:rsid w:val="00346143"/>
    <w:rsid w:val="00381DA5"/>
    <w:rsid w:val="0038252D"/>
    <w:rsid w:val="003E77F6"/>
    <w:rsid w:val="003F5E59"/>
    <w:rsid w:val="0042684D"/>
    <w:rsid w:val="00490460"/>
    <w:rsid w:val="004E5BD9"/>
    <w:rsid w:val="00501C1F"/>
    <w:rsid w:val="005029B0"/>
    <w:rsid w:val="00511AC1"/>
    <w:rsid w:val="0051781E"/>
    <w:rsid w:val="00522610"/>
    <w:rsid w:val="005435D8"/>
    <w:rsid w:val="005465CA"/>
    <w:rsid w:val="00632F75"/>
    <w:rsid w:val="00673301"/>
    <w:rsid w:val="007972A6"/>
    <w:rsid w:val="007E5BB7"/>
    <w:rsid w:val="00804EE8"/>
    <w:rsid w:val="00810793"/>
    <w:rsid w:val="008514AF"/>
    <w:rsid w:val="00992023"/>
    <w:rsid w:val="009F5A27"/>
    <w:rsid w:val="00A34C68"/>
    <w:rsid w:val="00A67EAF"/>
    <w:rsid w:val="00A73322"/>
    <w:rsid w:val="00AB63FC"/>
    <w:rsid w:val="00AC60FF"/>
    <w:rsid w:val="00AF58DA"/>
    <w:rsid w:val="00B03072"/>
    <w:rsid w:val="00BF4485"/>
    <w:rsid w:val="00C6447B"/>
    <w:rsid w:val="00CB0591"/>
    <w:rsid w:val="00CE7629"/>
    <w:rsid w:val="00D33D3C"/>
    <w:rsid w:val="00D85A42"/>
    <w:rsid w:val="00E43123"/>
    <w:rsid w:val="00F227C6"/>
    <w:rsid w:val="00F3183A"/>
    <w:rsid w:val="00FA3617"/>
    <w:rsid w:val="00FB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810793"/>
    <w:pPr>
      <w:spacing w:after="0" w:line="240" w:lineRule="auto"/>
      <w:jc w:val="both"/>
    </w:pPr>
    <w:rPr>
      <w:rFonts w:ascii="Arial" w:eastAsia="Arial Unicode MS" w:hAnsi="Arial" w:cs="Times New Roman"/>
      <w:sz w:val="20"/>
      <w:szCs w:val="20"/>
    </w:rPr>
  </w:style>
  <w:style w:type="character" w:customStyle="1" w:styleId="FootnoteTextChar">
    <w:name w:val="Footnote Text Char"/>
    <w:basedOn w:val="DefaultParagraphFont"/>
    <w:link w:val="FootnoteText"/>
    <w:uiPriority w:val="99"/>
    <w:rsid w:val="00810793"/>
    <w:rPr>
      <w:rFonts w:ascii="Arial" w:eastAsia="Arial Unicode MS" w:hAnsi="Arial" w:cs="Times New Roman"/>
      <w:sz w:val="20"/>
      <w:szCs w:val="20"/>
    </w:rPr>
  </w:style>
  <w:style w:type="character" w:styleId="FootnoteReference">
    <w:name w:val="footnote reference"/>
    <w:basedOn w:val="DefaultParagraphFont"/>
    <w:uiPriority w:val="99"/>
    <w:rsid w:val="00810793"/>
    <w:rPr>
      <w:vertAlign w:val="superscript"/>
    </w:rPr>
  </w:style>
  <w:style w:type="paragraph" w:customStyle="1" w:styleId="BodyofReport">
    <w:name w:val="Body of Report"/>
    <w:basedOn w:val="Normal"/>
    <w:rsid w:val="00161DD3"/>
    <w:pPr>
      <w:spacing w:after="0" w:line="312" w:lineRule="auto"/>
      <w:ind w:firstLine="72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8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A42"/>
    <w:rPr>
      <w:rFonts w:ascii="Tahoma" w:hAnsi="Tahoma" w:cs="Tahoma"/>
      <w:sz w:val="16"/>
      <w:szCs w:val="16"/>
    </w:rPr>
  </w:style>
  <w:style w:type="character" w:styleId="CommentReference">
    <w:name w:val="annotation reference"/>
    <w:basedOn w:val="DefaultParagraphFont"/>
    <w:uiPriority w:val="99"/>
    <w:semiHidden/>
    <w:unhideWhenUsed/>
    <w:rsid w:val="00D85A42"/>
    <w:rPr>
      <w:sz w:val="16"/>
      <w:szCs w:val="16"/>
    </w:rPr>
  </w:style>
  <w:style w:type="paragraph" w:styleId="CommentText">
    <w:name w:val="annotation text"/>
    <w:basedOn w:val="Normal"/>
    <w:link w:val="CommentTextChar"/>
    <w:uiPriority w:val="99"/>
    <w:semiHidden/>
    <w:unhideWhenUsed/>
    <w:rsid w:val="00D85A42"/>
    <w:pPr>
      <w:spacing w:line="240" w:lineRule="auto"/>
    </w:pPr>
    <w:rPr>
      <w:sz w:val="20"/>
      <w:szCs w:val="20"/>
    </w:rPr>
  </w:style>
  <w:style w:type="character" w:customStyle="1" w:styleId="CommentTextChar">
    <w:name w:val="Comment Text Char"/>
    <w:basedOn w:val="DefaultParagraphFont"/>
    <w:link w:val="CommentText"/>
    <w:uiPriority w:val="99"/>
    <w:semiHidden/>
    <w:rsid w:val="00D85A42"/>
    <w:rPr>
      <w:sz w:val="20"/>
      <w:szCs w:val="20"/>
    </w:rPr>
  </w:style>
  <w:style w:type="paragraph" w:styleId="CommentSubject">
    <w:name w:val="annotation subject"/>
    <w:basedOn w:val="CommentText"/>
    <w:next w:val="CommentText"/>
    <w:link w:val="CommentSubjectChar"/>
    <w:uiPriority w:val="99"/>
    <w:semiHidden/>
    <w:unhideWhenUsed/>
    <w:rsid w:val="00D85A42"/>
    <w:rPr>
      <w:b/>
      <w:bCs/>
    </w:rPr>
  </w:style>
  <w:style w:type="character" w:customStyle="1" w:styleId="CommentSubjectChar">
    <w:name w:val="Comment Subject Char"/>
    <w:basedOn w:val="CommentTextChar"/>
    <w:link w:val="CommentSubject"/>
    <w:uiPriority w:val="99"/>
    <w:semiHidden/>
    <w:rsid w:val="00D85A4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810793"/>
    <w:pPr>
      <w:spacing w:after="0" w:line="240" w:lineRule="auto"/>
      <w:jc w:val="both"/>
    </w:pPr>
    <w:rPr>
      <w:rFonts w:ascii="Arial" w:eastAsia="Arial Unicode MS" w:hAnsi="Arial" w:cs="Times New Roman"/>
      <w:sz w:val="20"/>
      <w:szCs w:val="20"/>
    </w:rPr>
  </w:style>
  <w:style w:type="character" w:customStyle="1" w:styleId="FootnoteTextChar">
    <w:name w:val="Footnote Text Char"/>
    <w:basedOn w:val="DefaultParagraphFont"/>
    <w:link w:val="FootnoteText"/>
    <w:uiPriority w:val="99"/>
    <w:rsid w:val="00810793"/>
    <w:rPr>
      <w:rFonts w:ascii="Arial" w:eastAsia="Arial Unicode MS" w:hAnsi="Arial" w:cs="Times New Roman"/>
      <w:sz w:val="20"/>
      <w:szCs w:val="20"/>
    </w:rPr>
  </w:style>
  <w:style w:type="character" w:styleId="FootnoteReference">
    <w:name w:val="footnote reference"/>
    <w:basedOn w:val="DefaultParagraphFont"/>
    <w:uiPriority w:val="99"/>
    <w:rsid w:val="00810793"/>
    <w:rPr>
      <w:vertAlign w:val="superscript"/>
    </w:rPr>
  </w:style>
  <w:style w:type="paragraph" w:customStyle="1" w:styleId="BodyofReport">
    <w:name w:val="Body of Report"/>
    <w:basedOn w:val="Normal"/>
    <w:rsid w:val="00161DD3"/>
    <w:pPr>
      <w:spacing w:after="0" w:line="312" w:lineRule="auto"/>
      <w:ind w:firstLine="72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8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A42"/>
    <w:rPr>
      <w:rFonts w:ascii="Tahoma" w:hAnsi="Tahoma" w:cs="Tahoma"/>
      <w:sz w:val="16"/>
      <w:szCs w:val="16"/>
    </w:rPr>
  </w:style>
  <w:style w:type="character" w:styleId="CommentReference">
    <w:name w:val="annotation reference"/>
    <w:basedOn w:val="DefaultParagraphFont"/>
    <w:uiPriority w:val="99"/>
    <w:semiHidden/>
    <w:unhideWhenUsed/>
    <w:rsid w:val="00D85A42"/>
    <w:rPr>
      <w:sz w:val="16"/>
      <w:szCs w:val="16"/>
    </w:rPr>
  </w:style>
  <w:style w:type="paragraph" w:styleId="CommentText">
    <w:name w:val="annotation text"/>
    <w:basedOn w:val="Normal"/>
    <w:link w:val="CommentTextChar"/>
    <w:uiPriority w:val="99"/>
    <w:semiHidden/>
    <w:unhideWhenUsed/>
    <w:rsid w:val="00D85A42"/>
    <w:pPr>
      <w:spacing w:line="240" w:lineRule="auto"/>
    </w:pPr>
    <w:rPr>
      <w:sz w:val="20"/>
      <w:szCs w:val="20"/>
    </w:rPr>
  </w:style>
  <w:style w:type="character" w:customStyle="1" w:styleId="CommentTextChar">
    <w:name w:val="Comment Text Char"/>
    <w:basedOn w:val="DefaultParagraphFont"/>
    <w:link w:val="CommentText"/>
    <w:uiPriority w:val="99"/>
    <w:semiHidden/>
    <w:rsid w:val="00D85A42"/>
    <w:rPr>
      <w:sz w:val="20"/>
      <w:szCs w:val="20"/>
    </w:rPr>
  </w:style>
  <w:style w:type="paragraph" w:styleId="CommentSubject">
    <w:name w:val="annotation subject"/>
    <w:basedOn w:val="CommentText"/>
    <w:next w:val="CommentText"/>
    <w:link w:val="CommentSubjectChar"/>
    <w:uiPriority w:val="99"/>
    <w:semiHidden/>
    <w:unhideWhenUsed/>
    <w:rsid w:val="00D85A42"/>
    <w:rPr>
      <w:b/>
      <w:bCs/>
    </w:rPr>
  </w:style>
  <w:style w:type="character" w:customStyle="1" w:styleId="CommentSubjectChar">
    <w:name w:val="Comment Subject Char"/>
    <w:basedOn w:val="CommentTextChar"/>
    <w:link w:val="CommentSubject"/>
    <w:uiPriority w:val="99"/>
    <w:semiHidden/>
    <w:rsid w:val="00D85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B501B-C857-42CF-B231-ABAEF864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93E1DE24</Template>
  <TotalTime>6</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Abt SRBI</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 ZuWallack</dc:creator>
  <cp:lastModifiedBy>Seth Brohinsky</cp:lastModifiedBy>
  <cp:revision>5</cp:revision>
  <dcterms:created xsi:type="dcterms:W3CDTF">2014-10-24T15:23:00Z</dcterms:created>
  <dcterms:modified xsi:type="dcterms:W3CDTF">2014-10-24T15:43:00Z</dcterms:modified>
</cp:coreProperties>
</file>