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0610" w14:textId="77777777" w:rsidR="00292202" w:rsidRPr="005062D9" w:rsidRDefault="00292202" w:rsidP="00292202">
      <w:pPr>
        <w:keepNext/>
        <w:keepLines/>
        <w:spacing w:before="240" w:after="240" w:line="480" w:lineRule="auto"/>
        <w:outlineLvl w:val="0"/>
        <w:rPr>
          <w:rFonts w:ascii="Calibri" w:eastAsia="Times New Roman" w:hAnsi="Calibri" w:cs="Times New Roman"/>
          <w:b/>
          <w:sz w:val="36"/>
          <w:szCs w:val="36"/>
        </w:rPr>
      </w:pPr>
      <w:bookmarkStart w:id="0" w:name="_Toc57131278"/>
      <w:bookmarkStart w:id="1" w:name="_Toc83645717"/>
      <w:bookmarkStart w:id="2" w:name="_Toc57131291"/>
      <w:r w:rsidRPr="005062D9">
        <w:rPr>
          <w:rFonts w:ascii="Calibri" w:eastAsia="Times New Roman" w:hAnsi="Calibri" w:cs="Times New Roman"/>
          <w:b/>
          <w:sz w:val="36"/>
          <w:szCs w:val="36"/>
        </w:rPr>
        <w:t>Chapter 5 - Methodology</w:t>
      </w:r>
      <w:bookmarkEnd w:id="0"/>
      <w:bookmarkEnd w:id="1"/>
    </w:p>
    <w:p w14:paraId="6AE96EC6"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This chapter outlines the methodological structure for the thesis and gives an account of the considerations taken in designing the project. The chapter begins by outlining the project’s initial data gathering and analytical methods, prior to the change of direction and problematization process outlined in Chapter 3. This data gathering/analysis process is outlined in full and a set of results is presented as a justification for the project’s subsequent change in focus. </w:t>
      </w:r>
    </w:p>
    <w:p w14:paraId="184B8F67" w14:textId="77777777" w:rsidR="00292202" w:rsidRPr="005062D9" w:rsidRDefault="00292202" w:rsidP="00292202">
      <w:pPr>
        <w:spacing w:after="240" w:line="480" w:lineRule="auto"/>
        <w:rPr>
          <w:rFonts w:ascii="Calibri" w:eastAsia="Calibri" w:hAnsi="Calibri" w:cs="Times New Roman"/>
          <w:sz w:val="24"/>
          <w:szCs w:val="24"/>
        </w:rPr>
      </w:pPr>
    </w:p>
    <w:p w14:paraId="25C9246F"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subsequent research design process is then described, beginning with a consideration of the population to be sampled followed by a reflection on the data gathering methods best suited to sampling this demographic. The chapter ends with a reflection on the analytical tools chosen for use in this study and their appropriateness in terms of theoretical fit, responsiveness to the research questions, and the production of a suitable output for the project. </w:t>
      </w:r>
    </w:p>
    <w:p w14:paraId="30876AC6" w14:textId="77777777" w:rsidR="00292202" w:rsidRPr="005062D9" w:rsidRDefault="00292202" w:rsidP="00292202">
      <w:pPr>
        <w:spacing w:after="240" w:line="480" w:lineRule="auto"/>
        <w:rPr>
          <w:rFonts w:ascii="Calibri" w:eastAsia="Calibri" w:hAnsi="Calibri" w:cs="Times New Roman"/>
          <w:sz w:val="24"/>
          <w:szCs w:val="24"/>
        </w:rPr>
      </w:pPr>
    </w:p>
    <w:p w14:paraId="56180D76" w14:textId="77777777" w:rsidR="00292202" w:rsidRPr="005062D9" w:rsidRDefault="00292202" w:rsidP="00292202">
      <w:pPr>
        <w:keepNext/>
        <w:keepLines/>
        <w:spacing w:before="240" w:after="0" w:line="480" w:lineRule="auto"/>
        <w:outlineLvl w:val="0"/>
        <w:rPr>
          <w:rFonts w:ascii="Calibri" w:eastAsia="Times New Roman" w:hAnsi="Calibri" w:cs="Times New Roman"/>
          <w:b/>
          <w:sz w:val="36"/>
          <w:szCs w:val="36"/>
        </w:rPr>
      </w:pPr>
      <w:bookmarkStart w:id="3" w:name="_Toc83645718"/>
      <w:r w:rsidRPr="005062D9">
        <w:rPr>
          <w:rFonts w:ascii="Calibri" w:eastAsia="Times New Roman" w:hAnsi="Calibri" w:cs="Times New Roman"/>
          <w:b/>
          <w:sz w:val="36"/>
          <w:szCs w:val="36"/>
        </w:rPr>
        <w:t>5.1 Initial data gathering and analysis</w:t>
      </w:r>
      <w:bookmarkEnd w:id="3"/>
    </w:p>
    <w:p w14:paraId="73C95868"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Originally, this thesis intended to explore the role of conductors in the development and training of singers’ voices. In response to this research question, an online survey of UK-based choral conductors was developed as an initial data gathering instrument. The online survey was chosen for two reasons. Firstly, the online format offered ease of access to a </w:t>
      </w:r>
      <w:r w:rsidRPr="005062D9">
        <w:rPr>
          <w:rFonts w:ascii="Calibri" w:eastAsia="Calibri" w:hAnsi="Calibri" w:cs="Times New Roman"/>
          <w:sz w:val="24"/>
          <w:szCs w:val="24"/>
        </w:rPr>
        <w:lastRenderedPageBreak/>
        <w:t xml:space="preserve">large number of participants, increasing the chances of obtaining a diverse sample. This was seen as a benefit due to the wide diversity of choral activity taking place in the UK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2017)","plainTextFormattedCitation":"(Voices Now, 2017)","previouslyFormattedCitation":"(Voices Now, 2017)"},"properties":{"noteIndex":0},"schema":"https://github.com/citation-style-language/schema/raw/master/csl-citation.json"}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(Voices Now, 2017)</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The survey also offered anonymity to participants. This made the choice of a survey preferential over other data gathering methods such as interviews or focus groups due to my status as an insider researcher which may have affected the amount and type of data offered by participants in face-to-face data collection situations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{"citationItems":[{"id":"ITEM-1","itemData":{"DOI":"10.4135/9781446287880.n1","ISBN":"9781848606784","abstract":"9781848606784; Doing Work Based Research: Approaches to Enquiry f; Geoffrey C Elliott; Paul Gibbs. approaches; methodology; practitioner research; work practice Key concepts for the insider-researcher","author":[{"dropping-particle":"","family":"Costley","given":"Carol","non-dropping-particle":"","parse-names":false,"suffix":""},{"dropping-particle":"","family":"Elliott","given":"Geoffrey","non-dropping-particle":"","parse-names":false,"suffix":""},{"dropping-particle":"","family":"Gibbs","given":"Paul","non-dropping-particle":"","parse-names":false,"suffix":""}],"container-title":"Doing Work Based Research: Approaches to Enquiry for Insider-Researchers","id":"ITEM-1","issued":{"date-parts":[["2013"]]},"page":"1-7","title":"Key Concepts for the Insider-Researcher","type":"article-journal"},"uris":["http://www.mendeley.com/documents/?uuid=d63a8f1d-5a9a-47fd-9c00-089ef84681cc"]}],"mendeley":{"formattedCitation":"(Costley et al., 2013)","plainTextFormattedCitation":"(Costley et al., 2013)","previouslyFormattedCitation":"(Costley et al., 2013)"},"properties":{"noteIndex":0},"schema":"https://github.com/citation-style-language/schema/raw/master/csl-citation.json"}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(Costley et al., 2013)</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w:t>
      </w:r>
    </w:p>
    <w:p w14:paraId="0E51873E" w14:textId="77777777" w:rsidR="00292202" w:rsidRPr="005062D9" w:rsidRDefault="00292202" w:rsidP="00292202">
      <w:pPr>
        <w:spacing w:after="240" w:line="480" w:lineRule="auto"/>
        <w:rPr>
          <w:rFonts w:ascii="Calibri" w:eastAsia="Calibri" w:hAnsi="Calibri" w:cs="Times New Roman"/>
          <w:sz w:val="24"/>
          <w:szCs w:val="24"/>
        </w:rPr>
      </w:pPr>
    </w:p>
    <w:p w14:paraId="68BE19EE" w14:textId="77777777" w:rsidR="00292202" w:rsidRPr="005062D9" w:rsidRDefault="00292202" w:rsidP="00292202">
      <w:pPr>
        <w:keepNext/>
        <w:keepLines/>
        <w:spacing w:before="40" w:after="0" w:line="480" w:lineRule="auto"/>
        <w:outlineLvl w:val="1"/>
        <w:rPr>
          <w:rFonts w:ascii="Calibri" w:eastAsia="Times New Roman" w:hAnsi="Calibri" w:cs="Times New Roman"/>
          <w:b/>
          <w:sz w:val="28"/>
          <w:szCs w:val="28"/>
        </w:rPr>
      </w:pPr>
      <w:bookmarkStart w:id="4" w:name="_Toc83645719"/>
      <w:r w:rsidRPr="005062D9">
        <w:rPr>
          <w:rFonts w:ascii="Calibri" w:eastAsia="Times New Roman" w:hAnsi="Calibri" w:cs="Times New Roman"/>
          <w:b/>
          <w:sz w:val="28"/>
          <w:szCs w:val="28"/>
        </w:rPr>
        <w:t>5.1.1 Survey of UK-based Conductors</w:t>
      </w:r>
      <w:bookmarkEnd w:id="4"/>
      <w:r w:rsidRPr="005062D9">
        <w:rPr>
          <w:rFonts w:ascii="Calibri" w:eastAsia="Times New Roman" w:hAnsi="Calibri" w:cs="Times New Roman"/>
          <w:b/>
          <w:sz w:val="28"/>
          <w:szCs w:val="28"/>
        </w:rPr>
        <w:t xml:space="preserve">  </w:t>
      </w:r>
    </w:p>
    <w:p w14:paraId="5FF5B971"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2018, an online survey collecting both qualitative and quantitative data was constructed using Snap Survey software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{"citationItems":[{"id":"ITEM-1","itemData":{"URL":"https://www.snapsurveys.com/","accessed":{"date-parts":[["2021","3","21"]]},"id":"ITEM-1","issued":{"date-parts":[["2021"]]},"title":"Snap Surveys","type":"webpage"},"uris":["http://www.mendeley.com/documents/?uuid=001defb9-5b88-413d-b354-a140809a46f0"]}],"mendeley":{"formattedCitation":"(&lt;i&gt;Snap Surveys&lt;/i&gt;, 2021)","plainTextFormattedCitation":"(Snap Surveys, 2021)","previouslyFormattedCitation":"(&lt;i&gt;Snap Surveys&lt;/i&gt;, 2021)"},"properties":{"noteIndex":0},"schema":"https://github.com/citation-style-language/schema/raw/master/csl-citation.json"}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w:t>
      </w:r>
      <w:r w:rsidRPr="005062D9">
        <w:rPr>
          <w:rFonts w:ascii="Calibri" w:eastAsia="Calibri" w:hAnsi="Calibri" w:cs="Times New Roman"/>
          <w:i/>
          <w:noProof/>
          <w:sz w:val="24"/>
          <w:szCs w:val="24"/>
        </w:rPr>
        <w:t>Snap Surveys</w:t>
      </w:r>
      <w:r w:rsidRPr="005062D9">
        <w:rPr>
          <w:rFonts w:ascii="Calibri" w:eastAsia="Calibri" w:hAnsi="Calibri" w:cs="Times New Roman"/>
          <w:noProof/>
          <w:sz w:val="24"/>
          <w:szCs w:val="24"/>
        </w:rPr>
        <w:t>, 2021)</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and distributed to conductors over the age of 18 who were currently working in the UK via Facebook and Twitter adverts, and via choir websites appearing on the British Choirs on the Net web listing. The survey remained open between July and October 2018 and over this period of time collected 231 responses.</w:t>
      </w:r>
      <w:r>
        <w:rPr>
          <w:rFonts w:ascii="Calibri" w:eastAsia="Calibri" w:hAnsi="Calibri" w:cs="Times New Roman"/>
          <w:sz w:val="24"/>
          <w:szCs w:val="24"/>
        </w:rPr>
        <w:t xml:space="preserve"> Ethical approval for this survey and the pilot survey described below was granted by the </w:t>
      </w:r>
      <w:r w:rsidRPr="00D36ED7">
        <w:rPr>
          <w:rFonts w:ascii="Calibri" w:eastAsia="Calibri" w:hAnsi="Calibri" w:cs="Times New Roman"/>
          <w:sz w:val="24"/>
          <w:szCs w:val="24"/>
        </w:rPr>
        <w:t>Committee for Research Ethics &amp; Governance in Arts, Social Sciences &amp; Business</w:t>
      </w:r>
      <w:r>
        <w:rPr>
          <w:rFonts w:ascii="Calibri" w:eastAsia="Calibri" w:hAnsi="Calibri" w:cs="Times New Roman"/>
          <w:sz w:val="24"/>
          <w:szCs w:val="24"/>
        </w:rPr>
        <w:t xml:space="preserve">. </w:t>
      </w:r>
    </w:p>
    <w:p w14:paraId="70D81929" w14:textId="77777777" w:rsidR="00292202" w:rsidRPr="005062D9" w:rsidRDefault="00292202" w:rsidP="00292202">
      <w:pPr>
        <w:spacing w:line="480" w:lineRule="auto"/>
        <w:rPr>
          <w:rFonts w:ascii="Calibri" w:eastAsia="Calibri" w:hAnsi="Calibri" w:cs="Times New Roman"/>
          <w:sz w:val="24"/>
          <w:szCs w:val="24"/>
        </w:rPr>
      </w:pPr>
    </w:p>
    <w:p w14:paraId="2D4A366D"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Prior to distribution, an initial pilot test of the survey was undertaken drawing participants from the pool of conductors at the University of Aberdeen and via an advert posted on a Facebook forum for US-based conductors. These participants for the pilot were recruited on the basis that they would not be eligible for the main sample group either due to knowing me personally in the case of the Aberdeen-based conductors, or that they were not based in </w:t>
      </w:r>
      <w:r w:rsidRPr="005062D9">
        <w:rPr>
          <w:rFonts w:ascii="Calibri" w:eastAsia="Calibri" w:hAnsi="Calibri" w:cs="Times New Roman"/>
          <w:sz w:val="24"/>
          <w:szCs w:val="24"/>
        </w:rPr>
        <w:lastRenderedPageBreak/>
        <w:t>the UK in the case of the US conductors. After the pilot phase, minor adjustments were made to the formatting and fonts size of participant instructions to ensure clarity.</w:t>
      </w:r>
      <w:r>
        <w:rPr>
          <w:rFonts w:ascii="Calibri" w:eastAsia="Calibri" w:hAnsi="Calibri" w:cs="Times New Roman"/>
          <w:sz w:val="24"/>
          <w:szCs w:val="24"/>
        </w:rPr>
        <w:t xml:space="preserve"> </w:t>
      </w:r>
    </w:p>
    <w:p w14:paraId="1316C93E" w14:textId="77777777" w:rsidR="00292202" w:rsidRPr="005062D9" w:rsidRDefault="00292202" w:rsidP="00292202">
      <w:pPr>
        <w:spacing w:line="480" w:lineRule="auto"/>
        <w:rPr>
          <w:rFonts w:ascii="Calibri" w:eastAsia="Calibri" w:hAnsi="Calibri" w:cs="Times New Roman"/>
          <w:sz w:val="24"/>
          <w:szCs w:val="24"/>
        </w:rPr>
      </w:pPr>
    </w:p>
    <w:p w14:paraId="6C331A99"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 A full copy of the conductor survey can be found in the appendix to this thesis</w:t>
      </w:r>
      <w:r>
        <w:rPr>
          <w:rFonts w:ascii="Calibri" w:eastAsia="Calibri" w:hAnsi="Calibri" w:cs="Times New Roman"/>
          <w:sz w:val="24"/>
          <w:szCs w:val="24"/>
        </w:rPr>
        <w:t xml:space="preserve"> (see p.349)</w:t>
      </w:r>
      <w:r w:rsidRPr="005062D9">
        <w:rPr>
          <w:rFonts w:ascii="Calibri" w:eastAsia="Calibri" w:hAnsi="Calibri" w:cs="Times New Roman"/>
          <w:sz w:val="24"/>
          <w:szCs w:val="24"/>
        </w:rPr>
        <w:t xml:space="preserve">. The survey comprised two main sections. The first section collected demographic information about the type of choir the conductor worked with most frequently, and asked participants to indicate whether or not they: a) utilised warm-up exercises in their rehearsals and b) taught vocal skills as part of their rehearsals. If conductors answered ‘yes’ to either of these questions they were asked to supply an example of any exercise they used as part of these warm-up/teaching sessions and whether these had been drawn from any specific curriculum. Alternatively, if they answered ‘no’ to either question they were asked whether they had any specific reason for choosing not to engage in warm-up or vocal teaching exercises. </w:t>
      </w:r>
    </w:p>
    <w:p w14:paraId="7F905FEE" w14:textId="77777777" w:rsidR="00292202" w:rsidRPr="005062D9" w:rsidRDefault="00292202" w:rsidP="00292202">
      <w:pPr>
        <w:spacing w:line="480" w:lineRule="auto"/>
        <w:rPr>
          <w:rFonts w:ascii="Calibri" w:eastAsia="Calibri" w:hAnsi="Calibri" w:cs="Times New Roman"/>
          <w:sz w:val="24"/>
          <w:szCs w:val="24"/>
        </w:rPr>
      </w:pPr>
    </w:p>
    <w:p w14:paraId="60BD3382"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The second section of the survey comprised a set of Likert scales which asked conductors to rate the importance of various rehearsal elements on a scale of 1 (Not at all important) to 10 (Extremely important). The list of rehearsal elements to be rated by conductors was drawn from the overview of the conducting literature outlined in Chapter 2. These were:</w:t>
      </w:r>
    </w:p>
    <w:p w14:paraId="556DDA6B" w14:textId="77777777" w:rsidR="00292202" w:rsidRPr="005062D9" w:rsidRDefault="00292202" w:rsidP="00292202">
      <w:pPr>
        <w:numPr>
          <w:ilvl w:val="0"/>
          <w:numId w:val="2"/>
        </w:numPr>
        <w:spacing w:line="276" w:lineRule="auto"/>
        <w:contextualSpacing/>
        <w:rPr>
          <w:rFonts w:ascii="Calibri" w:eastAsia="Calibri" w:hAnsi="Calibri" w:cs="Times New Roman"/>
          <w:sz w:val="24"/>
          <w:szCs w:val="24"/>
        </w:rPr>
      </w:pPr>
      <w:r w:rsidRPr="005062D9">
        <w:rPr>
          <w:rFonts w:ascii="Calibri" w:eastAsia="Calibri" w:hAnsi="Calibri" w:cs="Times New Roman"/>
          <w:sz w:val="24"/>
          <w:szCs w:val="24"/>
        </w:rPr>
        <w:tab/>
        <w:t xml:space="preserve">Duty of care to singers' voices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{"citationItems":[{"id":"ITEM-1","itemData":{"DOI":"10.1016/j.jvoice.2016.03.002","ISSN":"18734588","PMID":"27055399","abstract":"Objectives The study aimed to investigate and map the existence of vocal risk in amateur singers, analyzing the contribution of general voice signs and symptoms, specific singing handicap, and generalized anxiety. Study Design This is a cross-sectional study. Methods The sample comprised 526 volunteer amateur choristers—186 male and 340 female—(mean age of 42.07 years) from different choirs in the region of São Paulo. Three questionnaires were used: the Voice Symptom Scale (VoiSS), the Modern Singing Handicap Index (MSHI), and the Generalized Anxiety Disorder 7-item (GAD-7) scale. Results The mean total score obtained on the VoiSS was 17.57, which is almost two points higher than the protocol's passing score (16). The choristers who scored higher or equal to 16 points (51.5%, n = 271)—considered at vocal risk—and the group who scored less than 16 points (48.5%, n = 255)—healthy group—were analyzed separately. The risk group presented a mean total score of 26.34 on the VoiSS and 20.97 on the MSHI, with higher deviation on the impairment subscale, followed by the disability and handicap subscales, along with mild anxiety. The healthy group presented a mean total score of 8.27 on the VoiSS and 6.11 on the MSHI, also with higher deviation in the impairment subscale, followed by disability and handicap, and a minimum level of anxiety. Conclusion Even in leisure activities, vocal care is necessary for the correct use of the singing voice, which demands individual adaptations. The use of protocols for voice symptoms and singing handicap has revealed the possibility of amateur choristers to present vocal risk.","author":[{"dropping-particle":"","family":"Rosa","given":"Milka","non-dropping-particle":"","parse-names":false,"suffix":""},{"dropping-particle":"","family":"Behlau","given":"Mara","non-dropping-particle":"","parse-names":false,"suffix":""}],"container-title":"Journal of Voice","id":"ITEM-1","issue":"1","issued":{"date-parts":[["2017"]]},"page":"118.e1-118.e11","publisher":"Elsevier Inc.","title":"Mapping of Vocal Risk in Amateur Choir","type":"article-journal","volume":"31"},"uris":["http://www.mendeley.com/documents/?uuid=222bdfff-2029-402f-83c8-f0b6e411f012"]}],"mendeley":{"formattedCitation":"(Rosa &amp; Behlau, 2017)","plainTextFormattedCitation":"(Rosa &amp; Behlau, 2017)","previouslyFormattedCitation":"(Rosa &amp; Behlau, 2017)"},"properties":{"noteIndex":0},"schema":"https://github.com/citation-style-language/schema/raw/master/csl-citation.json"}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(Rosa &amp; Behlau, 2017)</w:t>
      </w:r>
      <w:r w:rsidRPr="005062D9">
        <w:rPr>
          <w:rFonts w:ascii="Calibri" w:eastAsia="Calibri" w:hAnsi="Calibri" w:cs="Times New Roman"/>
        </w:rPr>
        <w:fldChar w:fldCharType="end"/>
      </w:r>
    </w:p>
    <w:p w14:paraId="72610CB1" w14:textId="77777777" w:rsidR="00292202" w:rsidRPr="005062D9" w:rsidRDefault="00292202" w:rsidP="00292202">
      <w:pPr>
        <w:numPr>
          <w:ilvl w:val="0"/>
          <w:numId w:val="2"/>
        </w:numPr>
        <w:spacing w:line="276" w:lineRule="auto"/>
        <w:contextualSpacing/>
        <w:rPr>
          <w:rFonts w:ascii="Calibri" w:eastAsia="Calibri" w:hAnsi="Calibri" w:cs="Times New Roman"/>
          <w:sz w:val="24"/>
          <w:szCs w:val="24"/>
        </w:rPr>
      </w:pPr>
      <w:r w:rsidRPr="005062D9">
        <w:rPr>
          <w:rFonts w:ascii="Calibri" w:eastAsia="Calibri" w:hAnsi="Calibri" w:cs="Times New Roman"/>
          <w:sz w:val="24"/>
          <w:szCs w:val="24"/>
        </w:rPr>
        <w:tab/>
        <w:t xml:space="preserve">Teaching vocal skills/"Voice Building"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{"citationItems":[{"id":"ITEM-1","itemData":{"author":[{"dropping-particle":"","family":"Haasemann","given":"F","non-dropping-particle":"","parse-names":false,"suffix":""},{"dropping-particle":"","family":"Jordan","given":"James. M.","non-dropping-particle":"","parse-names":false,"suffix":""}],"id":"ITEM-1","issued":{"date-parts":[["1991"]]},"number-of-pages":"196","publisher":"Hinshaw Music","publisher-place":"Los Angeles","title":"Group Vocal Technique","type":"book"},"uris":["http://www.mendeley.com/documents/?uuid=57a637ea-7939-4611-92d9-2cc5bb64d964"]}],"mendeley":{"formattedCitation":"(Haasemann &amp; Jordan, 1991)","plainTextFormattedCitation":"(Haasemann &amp; Jordan, 1991)","previouslyFormattedCitation":"(Haasemann &amp; Jordan, 1991)"},"properties":{"noteIndex":0},"schema":"https://github.com/citation-style-language/schema/raw/master/csl-citation.json"}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(Haasemann &amp; Jordan, 1991)</w:t>
      </w:r>
      <w:r w:rsidRPr="005062D9">
        <w:rPr>
          <w:rFonts w:ascii="Calibri" w:eastAsia="Calibri" w:hAnsi="Calibri" w:cs="Times New Roman"/>
        </w:rPr>
        <w:fldChar w:fldCharType="end"/>
      </w:r>
    </w:p>
    <w:p w14:paraId="1030C9A1" w14:textId="77777777" w:rsidR="00292202" w:rsidRPr="005062D9" w:rsidRDefault="00292202" w:rsidP="00292202">
      <w:pPr>
        <w:numPr>
          <w:ilvl w:val="0"/>
          <w:numId w:val="2"/>
        </w:numPr>
        <w:spacing w:line="276" w:lineRule="auto"/>
        <w:ind w:left="1418" w:hanging="1058"/>
        <w:contextualSpacing/>
        <w:rPr>
          <w:rFonts w:ascii="Calibri" w:eastAsia="Calibri" w:hAnsi="Calibri" w:cs="Times New Roman"/>
          <w:sz w:val="24"/>
          <w:szCs w:val="24"/>
        </w:rPr>
      </w:pPr>
      <w:r w:rsidRPr="005062D9">
        <w:rPr>
          <w:rFonts w:ascii="Calibri" w:eastAsia="Calibri" w:hAnsi="Calibri" w:cs="Times New Roman"/>
          <w:sz w:val="24"/>
          <w:szCs w:val="24"/>
        </w:rPr>
        <w:t xml:space="preserve">Social integration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Hill","given":"David","non-dropping-particle":"","parse-names":false,"suffix":""},{"dropping-particle":"","family":"Jones","given":"Hilary","non-dropping-particle":"","parse-names":false,"suffix":""},{"dropping-particle":"","family":"Ash","given":"Elizabeth","non-dropping-particle":"","parse-names":false,"suffix":""}],"edition":"2","id":"ITEM-1","issued":{"date-parts":[["2007"]]},"number-of-pages":"85","publisher":"Kevin Mayhew ltd.","publisher-place":"Suffolk","title":"Training Your Choir","type":"book"},"uris":["http://www.mendeley.com/documents/?uuid=63dcc3fb-4fe7-4799-bad5-bafbf3b6e3e1"]}],"mendeley":{"formattedCitation":"(Hill et al., 2007)","plainTextFormattedCitation":"(Hill et al., 2007)","previouslyFormattedCitation":"(Hill et al., 2007)"},"properties":{"noteIndex":0},"schema":"https://github.com/citation-style-language/schema/raw/master/csl-citation.json"}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(Hill et al., 2007)</w:t>
      </w:r>
      <w:r w:rsidRPr="005062D9">
        <w:rPr>
          <w:rFonts w:ascii="Calibri" w:eastAsia="Calibri" w:hAnsi="Calibri" w:cs="Times New Roman"/>
        </w:rPr>
        <w:fldChar w:fldCharType="end"/>
      </w:r>
    </w:p>
    <w:p w14:paraId="3AB3EB8C" w14:textId="77777777" w:rsidR="00292202" w:rsidRPr="005062D9" w:rsidRDefault="00292202" w:rsidP="00292202">
      <w:pPr>
        <w:numPr>
          <w:ilvl w:val="0"/>
          <w:numId w:val="2"/>
        </w:numPr>
        <w:spacing w:line="276" w:lineRule="auto"/>
        <w:ind w:left="1418" w:hanging="1058"/>
        <w:contextualSpacing/>
        <w:rPr>
          <w:rFonts w:ascii="Calibri" w:eastAsia="Calibri" w:hAnsi="Calibri" w:cs="Times New Roman"/>
          <w:sz w:val="24"/>
          <w:szCs w:val="24"/>
        </w:rPr>
      </w:pPr>
      <w:r w:rsidRPr="005062D9">
        <w:rPr>
          <w:rFonts w:ascii="Calibri" w:eastAsia="Calibri" w:hAnsi="Calibri" w:cs="Times New Roman"/>
          <w:sz w:val="24"/>
          <w:szCs w:val="24"/>
        </w:rPr>
        <w:t xml:space="preserve">Concert preparation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Brewer","given":"Mike","non-dropping-particle":"","parse-names":false,"suffix":""}],"editor":[{"dropping-particle":"","family":"Music","given":"Faber","non-dropping-particle":"","parse-names":false,"suffix":""}],"id":"ITEM-1","issued":{"date-parts":[["1997"]]},"number-of-pages":"32","publisher-place":"London","title":"Kick-start Your Choir","type":"book"},"uris":["http://www.mendeley.com/documents/?uuid=4e4fe51b-35f4-4f21-8370-83953a4ca9d6"]}],"mendeley":{"formattedCitation":"(Brewer, 1997)","plainTextFormattedCitation":"(Brewer, 1997)","previouslyFormattedCitation":"(Brewer, 1997)"},"properties":{"noteIndex":0},"schema":"https://github.com/citation-style-language/schema/raw/master/csl-citation.json"}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(Brewer, 1997)</w:t>
      </w:r>
      <w:r w:rsidRPr="005062D9">
        <w:rPr>
          <w:rFonts w:ascii="Calibri" w:eastAsia="Calibri" w:hAnsi="Calibri" w:cs="Times New Roman"/>
        </w:rPr>
        <w:fldChar w:fldCharType="end"/>
      </w:r>
    </w:p>
    <w:p w14:paraId="23602D55" w14:textId="77777777" w:rsidR="00292202" w:rsidRPr="005062D9" w:rsidRDefault="00292202" w:rsidP="00292202">
      <w:pPr>
        <w:numPr>
          <w:ilvl w:val="0"/>
          <w:numId w:val="2"/>
        </w:numPr>
        <w:spacing w:line="276" w:lineRule="auto"/>
        <w:ind w:left="1418" w:hanging="1058"/>
        <w:contextualSpacing/>
        <w:rPr>
          <w:rFonts w:ascii="Calibri" w:eastAsia="Calibri" w:hAnsi="Calibri" w:cs="Times New Roman"/>
          <w:sz w:val="24"/>
          <w:szCs w:val="24"/>
        </w:rPr>
      </w:pPr>
      <w:r w:rsidRPr="005062D9">
        <w:rPr>
          <w:rFonts w:ascii="Calibri" w:eastAsia="Calibri" w:hAnsi="Calibri" w:cs="Times New Roman"/>
          <w:sz w:val="24"/>
          <w:szCs w:val="24"/>
        </w:rPr>
        <w:tab/>
        <w:t>Singers' motivation/self</w:t>
      </w:r>
      <w:r>
        <w:rPr>
          <w:rFonts w:ascii="Calibri" w:eastAsia="Calibri" w:hAnsi="Calibri" w:cs="Times New Roman"/>
          <w:sz w:val="24"/>
          <w:szCs w:val="24"/>
        </w:rPr>
        <w:t>-</w:t>
      </w:r>
      <w:r w:rsidRPr="005062D9">
        <w:rPr>
          <w:rFonts w:ascii="Calibri" w:eastAsia="Calibri" w:hAnsi="Calibri" w:cs="Times New Roman"/>
          <w:sz w:val="24"/>
          <w:szCs w:val="24"/>
        </w:rPr>
        <w:t xml:space="preserve">esteem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{"citationItems":[{"id":"ITEM-1","itemData":{"author":[{"dropping-particle":"","family":"McElheran","given":"Brock","non-dropping-particle":"","parse-names":false,"suffix":""}],"edition":"Revised ed","id":"ITEM-1","issued":{"date-parts":[["1989"]]},"number-of-pages":"134","publisher":"Oxford University Press","publisher-place":"New York","title":"Conducting Technique For Beginners and Professionals","type":"book"},"uris":["http://www.mendeley.com/documents/?uuid=dc84d3fa-981d-42f4-9a4a-4a1d53235f4b"]}],"mendeley":{"formattedCitation":"(McElheran, 1989)","plainTextFormattedCitation":"(McElheran, 1989)","previouslyFormattedCitation":"(McElheran, 1989)"},"properties":{"noteIndex":0},"schema":"https://github.com/citation-style-language/schema/raw/master/csl-citation.json"}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(McElheran, 1989)</w:t>
      </w:r>
      <w:r w:rsidRPr="005062D9">
        <w:rPr>
          <w:rFonts w:ascii="Calibri" w:eastAsia="Calibri" w:hAnsi="Calibri" w:cs="Times New Roman"/>
        </w:rPr>
        <w:fldChar w:fldCharType="end"/>
      </w:r>
    </w:p>
    <w:p w14:paraId="3BB7D6B1" w14:textId="77777777" w:rsidR="00292202" w:rsidRPr="005062D9" w:rsidRDefault="00292202" w:rsidP="00292202">
      <w:pPr>
        <w:numPr>
          <w:ilvl w:val="0"/>
          <w:numId w:val="2"/>
        </w:numPr>
        <w:spacing w:line="276" w:lineRule="auto"/>
        <w:ind w:left="1418" w:hanging="1058"/>
        <w:contextualSpacing/>
        <w:rPr>
          <w:rFonts w:ascii="Calibri" w:eastAsia="Calibri" w:hAnsi="Calibri" w:cs="Times New Roman"/>
          <w:sz w:val="24"/>
          <w:szCs w:val="24"/>
        </w:rPr>
      </w:pPr>
      <w:r w:rsidRPr="005062D9">
        <w:rPr>
          <w:rFonts w:ascii="Calibri" w:eastAsia="Calibri" w:hAnsi="Calibri" w:cs="Times New Roman"/>
          <w:sz w:val="24"/>
          <w:szCs w:val="24"/>
        </w:rPr>
        <w:tab/>
        <w:t xml:space="preserve">Choral blend/sound unity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Durrant","given":"Colin","non-dropping-particle":"","parse-names":false,"suffix":""}],"edition":"2nd","id":"ITEM-1","issued":{"date-parts":[["2018"]]},"number-of-pages":"182","publisher":"Routledge","publisher-place":"New York","title":"Choral Conducting: Philosophy and Practice","type":"book"},"uris":["http://www.mendeley.com/documents/?uuid=1a604bab-929c-4f24-827d-9c3af75c3bc2"]}],"mendeley":{"formattedCitation":"(Durrant, 2018)","plainTextFormattedCitation":"(Durrant, 2018)","previouslyFormattedCitation":"(Durrant, 2018)"},"properties":{"noteIndex":0},"schema":"https://github.com/citation-style-language/schema/raw/master/csl-citation.json"}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(Durrant, 2018)</w:t>
      </w:r>
      <w:r w:rsidRPr="005062D9">
        <w:rPr>
          <w:rFonts w:ascii="Calibri" w:eastAsia="Calibri" w:hAnsi="Calibri" w:cs="Times New Roman"/>
        </w:rPr>
        <w:fldChar w:fldCharType="end"/>
      </w:r>
    </w:p>
    <w:p w14:paraId="16B422B7" w14:textId="77777777" w:rsidR="00292202" w:rsidRPr="005062D9" w:rsidRDefault="00292202" w:rsidP="00292202">
      <w:pPr>
        <w:numPr>
          <w:ilvl w:val="0"/>
          <w:numId w:val="2"/>
        </w:numPr>
        <w:spacing w:line="276" w:lineRule="auto"/>
        <w:ind w:left="1418" w:hanging="1058"/>
        <w:contextualSpacing/>
        <w:rPr>
          <w:rFonts w:ascii="Calibri" w:eastAsia="Calibri" w:hAnsi="Calibri" w:cs="Times New Roman"/>
          <w:sz w:val="24"/>
          <w:szCs w:val="24"/>
        </w:rPr>
      </w:pPr>
      <w:r w:rsidRPr="005062D9">
        <w:rPr>
          <w:rFonts w:ascii="Calibri" w:eastAsia="Calibri" w:hAnsi="Calibri" w:cs="Times New Roman"/>
          <w:sz w:val="24"/>
          <w:szCs w:val="24"/>
        </w:rPr>
        <w:tab/>
        <w:t xml:space="preserve">Overall quality of choral sound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Emmons","given":"Shirlee","non-dropping-particle":"","parse-names":false,"suffix":""},{"dropping-particle":"","family":"Chase","given":"Constance","non-dropping-particle":"","parse-names":false,"suffix":""}],"id":"ITEM-1","issued":{"date-parts":[["2006"]]},"number-of-pages":"352","publisher":"Oxford University Press","publisher-place":"New York","title":"Prescriptions For Choral Excellence: Tone, Text, Dynamic Leadership","type":"book"},"uris":["http://www.mendeley.com/documents/?uuid=3806baaa-cbe3-4dd6-89fb-6b419e4dab41"]}],"mendeley":{"formattedCitation":"(Emmons &amp; Chase, 2006)","plainTextFormattedCitation":"(Emmons &amp; Chase, 2006)","previouslyFormattedCitation":"(Emmons &amp; Chase, 2006)"},"properties":{"noteIndex":0},"schema":"https://github.com/citation-style-language/schema/raw/master/csl-citation.json"}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(Emmons &amp; Chase, 2006)</w:t>
      </w:r>
      <w:r w:rsidRPr="005062D9">
        <w:rPr>
          <w:rFonts w:ascii="Calibri" w:eastAsia="Calibri" w:hAnsi="Calibri" w:cs="Times New Roman"/>
        </w:rPr>
        <w:fldChar w:fldCharType="end"/>
      </w:r>
    </w:p>
    <w:p w14:paraId="17A474DD" w14:textId="77777777" w:rsidR="00292202" w:rsidRPr="005062D9" w:rsidRDefault="00292202" w:rsidP="00292202">
      <w:pPr>
        <w:spacing w:line="480" w:lineRule="auto"/>
        <w:rPr>
          <w:rFonts w:ascii="Calibri" w:eastAsia="Calibri" w:hAnsi="Calibri" w:cs="Times New Roman"/>
          <w:sz w:val="24"/>
          <w:szCs w:val="24"/>
        </w:rPr>
      </w:pPr>
    </w:p>
    <w:p w14:paraId="1B240679"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this section of the survey conductors were also asked whether they had any other considerations to add to this list and were offered an opportunity to share any additional thoughts or information they wished. </w:t>
      </w:r>
    </w:p>
    <w:p w14:paraId="50190EAC" w14:textId="77777777" w:rsidR="00292202" w:rsidRPr="005062D9" w:rsidRDefault="00292202" w:rsidP="00292202">
      <w:pPr>
        <w:spacing w:line="480" w:lineRule="auto"/>
        <w:rPr>
          <w:rFonts w:ascii="Calibri" w:eastAsia="Calibri" w:hAnsi="Calibri" w:cs="Times New Roman"/>
          <w:sz w:val="24"/>
          <w:szCs w:val="24"/>
        </w:rPr>
      </w:pPr>
    </w:p>
    <w:p w14:paraId="6C54B798"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On the final page of the survey demographic information relating to age, gender was collected along with details of any conducting training the participants had. Participants were offered the opportunity to remain anonymous or alternatively to supply contact details if they wished to volunteer for further involvement in the research.</w:t>
      </w:r>
    </w:p>
    <w:p w14:paraId="09143DA1" w14:textId="77777777" w:rsidR="00292202" w:rsidRPr="005062D9" w:rsidRDefault="00292202" w:rsidP="00292202">
      <w:pPr>
        <w:spacing w:line="480" w:lineRule="auto"/>
        <w:rPr>
          <w:rFonts w:ascii="Calibri" w:eastAsia="Calibri" w:hAnsi="Calibri" w:cs="Times New Roman"/>
          <w:sz w:val="24"/>
          <w:szCs w:val="24"/>
        </w:rPr>
      </w:pPr>
    </w:p>
    <w:p w14:paraId="688D0341" w14:textId="77777777" w:rsidR="00292202" w:rsidRPr="005062D9" w:rsidRDefault="00292202" w:rsidP="00292202">
      <w:pPr>
        <w:keepNext/>
        <w:keepLines/>
        <w:spacing w:before="40" w:after="0" w:line="480" w:lineRule="auto"/>
        <w:outlineLvl w:val="1"/>
        <w:rPr>
          <w:rFonts w:ascii="Calibri" w:eastAsia="Times New Roman" w:hAnsi="Calibri" w:cs="Times New Roman"/>
          <w:b/>
          <w:sz w:val="28"/>
          <w:szCs w:val="28"/>
        </w:rPr>
      </w:pPr>
      <w:bookmarkStart w:id="5" w:name="_Toc83645720"/>
      <w:r w:rsidRPr="005062D9">
        <w:rPr>
          <w:rFonts w:ascii="Calibri" w:eastAsia="Times New Roman" w:hAnsi="Calibri" w:cs="Times New Roman"/>
          <w:b/>
          <w:sz w:val="28"/>
          <w:szCs w:val="28"/>
        </w:rPr>
        <w:t>5.1.2 Analysis of conductor survey and change of direction</w:t>
      </w:r>
      <w:bookmarkEnd w:id="5"/>
    </w:p>
    <w:p w14:paraId="04C2D68B"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As described above, the conductor survey was constructed in two halves and analysis of the survey consequently took place in two stages. Quantitative data collected via the Likert scale questions was first analysed. The number of respondents responding to each of the scale items were recorded as follows:</w:t>
      </w:r>
    </w:p>
    <w:p w14:paraId="41AD44A0" w14:textId="77777777" w:rsidR="00292202" w:rsidRPr="005062D9" w:rsidRDefault="00292202" w:rsidP="00292202">
      <w:pPr>
        <w:spacing w:line="256" w:lineRule="auto"/>
        <w:rPr>
          <w:rFonts w:ascii="Calibri" w:eastAsia="Calibri" w:hAnsi="Calibri" w:cs="Times New Roman"/>
          <w:sz w:val="24"/>
          <w:szCs w:val="24"/>
        </w:rPr>
      </w:pPr>
      <w:r w:rsidRPr="005062D9">
        <w:rPr>
          <w:rFonts w:ascii="Calibri" w:eastAsia="Calibri" w:hAnsi="Calibri" w:cs="Times New Roman"/>
          <w:sz w:val="24"/>
          <w:szCs w:val="24"/>
        </w:rPr>
        <w:br w:type="page"/>
      </w:r>
    </w:p>
    <w:tbl>
      <w:tblPr>
        <w:tblStyle w:val="TableGrid2"/>
        <w:tblW w:w="0" w:type="auto"/>
        <w:tblInd w:w="0" w:type="dxa"/>
        <w:tblLook w:val="04A0" w:firstRow="1" w:lastRow="0" w:firstColumn="1" w:lastColumn="0" w:noHBand="0" w:noVBand="1"/>
      </w:tblPr>
      <w:tblGrid>
        <w:gridCol w:w="1976"/>
        <w:gridCol w:w="659"/>
        <w:gridCol w:w="659"/>
        <w:gridCol w:w="659"/>
        <w:gridCol w:w="659"/>
        <w:gridCol w:w="659"/>
        <w:gridCol w:w="659"/>
        <w:gridCol w:w="659"/>
        <w:gridCol w:w="659"/>
        <w:gridCol w:w="549"/>
        <w:gridCol w:w="1224"/>
      </w:tblGrid>
      <w:tr w:rsidR="00292202" w:rsidRPr="005062D9" w14:paraId="1B35E436" w14:textId="77777777" w:rsidTr="002A7DFC">
        <w:trPr>
          <w:trHeight w:val="288"/>
        </w:trPr>
        <w:tc>
          <w:tcPr>
            <w:tcW w:w="1976" w:type="dxa"/>
            <w:vMerge w:val="restart"/>
            <w:tcBorders>
              <w:top w:val="nil"/>
              <w:left w:val="nil"/>
              <w:bottom w:val="single" w:sz="4" w:space="0" w:color="auto"/>
              <w:right w:val="single" w:sz="4" w:space="0" w:color="auto"/>
            </w:tcBorders>
            <w:noWrap/>
            <w:hideMark/>
          </w:tcPr>
          <w:p w14:paraId="2F2E7575" w14:textId="77777777" w:rsidR="00292202" w:rsidRPr="005062D9" w:rsidRDefault="00292202" w:rsidP="002A7DFC">
            <w:pPr>
              <w:spacing w:line="256" w:lineRule="auto"/>
            </w:pPr>
          </w:p>
        </w:tc>
        <w:tc>
          <w:tcPr>
            <w:tcW w:w="1318" w:type="dxa"/>
            <w:gridSpan w:val="2"/>
            <w:tcBorders>
              <w:top w:val="single" w:sz="4" w:space="0" w:color="auto"/>
              <w:left w:val="single" w:sz="4" w:space="0" w:color="auto"/>
              <w:bottom w:val="single" w:sz="4" w:space="0" w:color="auto"/>
              <w:right w:val="single" w:sz="4" w:space="0" w:color="auto"/>
            </w:tcBorders>
            <w:noWrap/>
            <w:hideMark/>
          </w:tcPr>
          <w:p w14:paraId="245CE059" w14:textId="77777777" w:rsidR="00292202" w:rsidRPr="005062D9" w:rsidRDefault="00292202" w:rsidP="002A7DFC">
            <w:r w:rsidRPr="005062D9">
              <w:t>Not at all important</w:t>
            </w:r>
          </w:p>
        </w:tc>
        <w:tc>
          <w:tcPr>
            <w:tcW w:w="4503" w:type="dxa"/>
            <w:gridSpan w:val="7"/>
            <w:tcBorders>
              <w:top w:val="nil"/>
              <w:left w:val="single" w:sz="4" w:space="0" w:color="auto"/>
              <w:bottom w:val="nil"/>
              <w:right w:val="single" w:sz="4" w:space="0" w:color="auto"/>
            </w:tcBorders>
            <w:noWrap/>
            <w:hideMark/>
          </w:tcPr>
          <w:p w14:paraId="1A177DD1" w14:textId="77777777" w:rsidR="00292202" w:rsidRPr="005062D9" w:rsidRDefault="00292202" w:rsidP="002A7DFC">
            <w:pPr>
              <w:spacing w:line="256" w:lineRule="auto"/>
            </w:pPr>
          </w:p>
        </w:tc>
        <w:tc>
          <w:tcPr>
            <w:tcW w:w="1224" w:type="dxa"/>
            <w:tcBorders>
              <w:top w:val="single" w:sz="4" w:space="0" w:color="auto"/>
              <w:left w:val="single" w:sz="4" w:space="0" w:color="auto"/>
              <w:bottom w:val="single" w:sz="4" w:space="0" w:color="auto"/>
              <w:right w:val="single" w:sz="4" w:space="0" w:color="auto"/>
            </w:tcBorders>
            <w:noWrap/>
            <w:hideMark/>
          </w:tcPr>
          <w:p w14:paraId="12427958" w14:textId="77777777" w:rsidR="00292202" w:rsidRPr="005062D9" w:rsidRDefault="00292202" w:rsidP="002A7DFC">
            <w:r w:rsidRPr="005062D9">
              <w:t>Extremely important</w:t>
            </w:r>
          </w:p>
        </w:tc>
      </w:tr>
      <w:tr w:rsidR="00292202" w:rsidRPr="005062D9" w14:paraId="325B4044" w14:textId="77777777" w:rsidTr="002A7DFC">
        <w:trPr>
          <w:trHeight w:val="288"/>
        </w:trPr>
        <w:tc>
          <w:tcPr>
            <w:tcW w:w="0" w:type="auto"/>
            <w:vMerge/>
            <w:tcBorders>
              <w:top w:val="nil"/>
              <w:left w:val="nil"/>
              <w:bottom w:val="single" w:sz="4" w:space="0" w:color="auto"/>
              <w:right w:val="single" w:sz="4" w:space="0" w:color="auto"/>
            </w:tcBorders>
            <w:vAlign w:val="center"/>
            <w:hideMark/>
          </w:tcPr>
          <w:p w14:paraId="7D80AAC7" w14:textId="77777777" w:rsidR="00292202" w:rsidRPr="005062D9" w:rsidRDefault="00292202" w:rsidP="002A7DFC"/>
        </w:tc>
        <w:tc>
          <w:tcPr>
            <w:tcW w:w="659" w:type="dxa"/>
            <w:tcBorders>
              <w:top w:val="single" w:sz="4" w:space="0" w:color="auto"/>
              <w:left w:val="single" w:sz="4" w:space="0" w:color="auto"/>
              <w:bottom w:val="single" w:sz="4" w:space="0" w:color="auto"/>
              <w:right w:val="single" w:sz="4" w:space="0" w:color="auto"/>
            </w:tcBorders>
            <w:noWrap/>
            <w:hideMark/>
          </w:tcPr>
          <w:p w14:paraId="4C249937" w14:textId="77777777" w:rsidR="00292202" w:rsidRPr="005062D9" w:rsidRDefault="00292202" w:rsidP="002A7DFC">
            <w:pPr>
              <w:rPr>
                <w:b/>
                <w:bCs/>
              </w:rPr>
            </w:pPr>
            <w:r w:rsidRPr="005062D9">
              <w:rPr>
                <w:b/>
                <w:bCs/>
              </w:rPr>
              <w:t>1</w:t>
            </w:r>
          </w:p>
        </w:tc>
        <w:tc>
          <w:tcPr>
            <w:tcW w:w="659" w:type="dxa"/>
            <w:tcBorders>
              <w:top w:val="single" w:sz="4" w:space="0" w:color="auto"/>
              <w:left w:val="single" w:sz="4" w:space="0" w:color="auto"/>
              <w:bottom w:val="single" w:sz="4" w:space="0" w:color="auto"/>
              <w:right w:val="single" w:sz="4" w:space="0" w:color="auto"/>
            </w:tcBorders>
            <w:noWrap/>
            <w:hideMark/>
          </w:tcPr>
          <w:p w14:paraId="3316B5D0" w14:textId="77777777" w:rsidR="00292202" w:rsidRPr="005062D9" w:rsidRDefault="00292202" w:rsidP="002A7DFC">
            <w:pPr>
              <w:rPr>
                <w:b/>
                <w:bCs/>
              </w:rPr>
            </w:pPr>
            <w:r w:rsidRPr="005062D9">
              <w:rPr>
                <w:b/>
                <w:bCs/>
              </w:rPr>
              <w:t>2</w:t>
            </w:r>
          </w:p>
        </w:tc>
        <w:tc>
          <w:tcPr>
            <w:tcW w:w="659" w:type="dxa"/>
            <w:tcBorders>
              <w:top w:val="single" w:sz="4" w:space="0" w:color="auto"/>
              <w:left w:val="single" w:sz="4" w:space="0" w:color="auto"/>
              <w:bottom w:val="single" w:sz="4" w:space="0" w:color="auto"/>
              <w:right w:val="single" w:sz="4" w:space="0" w:color="auto"/>
            </w:tcBorders>
            <w:noWrap/>
            <w:hideMark/>
          </w:tcPr>
          <w:p w14:paraId="0949B672" w14:textId="77777777" w:rsidR="00292202" w:rsidRPr="005062D9" w:rsidRDefault="00292202" w:rsidP="002A7DFC">
            <w:pPr>
              <w:rPr>
                <w:b/>
                <w:bCs/>
              </w:rPr>
            </w:pPr>
            <w:r w:rsidRPr="005062D9">
              <w:rPr>
                <w:b/>
                <w:bCs/>
              </w:rPr>
              <w:t>3</w:t>
            </w:r>
          </w:p>
        </w:tc>
        <w:tc>
          <w:tcPr>
            <w:tcW w:w="659" w:type="dxa"/>
            <w:tcBorders>
              <w:top w:val="single" w:sz="4" w:space="0" w:color="auto"/>
              <w:left w:val="single" w:sz="4" w:space="0" w:color="auto"/>
              <w:bottom w:val="single" w:sz="4" w:space="0" w:color="auto"/>
              <w:right w:val="single" w:sz="4" w:space="0" w:color="auto"/>
            </w:tcBorders>
            <w:noWrap/>
            <w:hideMark/>
          </w:tcPr>
          <w:p w14:paraId="6BE8EAA2" w14:textId="77777777" w:rsidR="00292202" w:rsidRPr="005062D9" w:rsidRDefault="00292202" w:rsidP="002A7DFC">
            <w:pPr>
              <w:rPr>
                <w:b/>
                <w:bCs/>
              </w:rPr>
            </w:pPr>
            <w:r w:rsidRPr="005062D9">
              <w:rPr>
                <w:b/>
                <w:bCs/>
              </w:rPr>
              <w:t>4</w:t>
            </w:r>
          </w:p>
        </w:tc>
        <w:tc>
          <w:tcPr>
            <w:tcW w:w="659" w:type="dxa"/>
            <w:tcBorders>
              <w:top w:val="single" w:sz="4" w:space="0" w:color="auto"/>
              <w:left w:val="single" w:sz="4" w:space="0" w:color="auto"/>
              <w:bottom w:val="single" w:sz="4" w:space="0" w:color="auto"/>
              <w:right w:val="single" w:sz="4" w:space="0" w:color="auto"/>
            </w:tcBorders>
            <w:noWrap/>
            <w:hideMark/>
          </w:tcPr>
          <w:p w14:paraId="617E4408" w14:textId="77777777" w:rsidR="00292202" w:rsidRPr="005062D9" w:rsidRDefault="00292202" w:rsidP="002A7DFC">
            <w:pPr>
              <w:rPr>
                <w:b/>
                <w:bCs/>
              </w:rPr>
            </w:pPr>
            <w:r w:rsidRPr="005062D9">
              <w:rPr>
                <w:b/>
                <w:bCs/>
              </w:rPr>
              <w:t>5</w:t>
            </w:r>
          </w:p>
        </w:tc>
        <w:tc>
          <w:tcPr>
            <w:tcW w:w="659" w:type="dxa"/>
            <w:tcBorders>
              <w:top w:val="single" w:sz="4" w:space="0" w:color="auto"/>
              <w:left w:val="single" w:sz="4" w:space="0" w:color="auto"/>
              <w:bottom w:val="single" w:sz="4" w:space="0" w:color="auto"/>
              <w:right w:val="single" w:sz="4" w:space="0" w:color="auto"/>
            </w:tcBorders>
            <w:noWrap/>
            <w:hideMark/>
          </w:tcPr>
          <w:p w14:paraId="4404D86C" w14:textId="77777777" w:rsidR="00292202" w:rsidRPr="005062D9" w:rsidRDefault="00292202" w:rsidP="002A7DFC">
            <w:pPr>
              <w:rPr>
                <w:b/>
                <w:bCs/>
              </w:rPr>
            </w:pPr>
            <w:r w:rsidRPr="005062D9">
              <w:rPr>
                <w:b/>
                <w:bCs/>
              </w:rPr>
              <w:t>6</w:t>
            </w:r>
          </w:p>
        </w:tc>
        <w:tc>
          <w:tcPr>
            <w:tcW w:w="659" w:type="dxa"/>
            <w:tcBorders>
              <w:top w:val="single" w:sz="4" w:space="0" w:color="auto"/>
              <w:left w:val="single" w:sz="4" w:space="0" w:color="auto"/>
              <w:bottom w:val="single" w:sz="4" w:space="0" w:color="auto"/>
              <w:right w:val="single" w:sz="4" w:space="0" w:color="auto"/>
            </w:tcBorders>
            <w:noWrap/>
            <w:hideMark/>
          </w:tcPr>
          <w:p w14:paraId="08EF8832" w14:textId="77777777" w:rsidR="00292202" w:rsidRPr="005062D9" w:rsidRDefault="00292202" w:rsidP="002A7DFC">
            <w:pPr>
              <w:rPr>
                <w:b/>
                <w:bCs/>
              </w:rPr>
            </w:pPr>
            <w:r w:rsidRPr="005062D9">
              <w:rPr>
                <w:b/>
                <w:bCs/>
              </w:rPr>
              <w:t>7</w:t>
            </w:r>
          </w:p>
        </w:tc>
        <w:tc>
          <w:tcPr>
            <w:tcW w:w="659" w:type="dxa"/>
            <w:tcBorders>
              <w:top w:val="single" w:sz="4" w:space="0" w:color="auto"/>
              <w:left w:val="single" w:sz="4" w:space="0" w:color="auto"/>
              <w:bottom w:val="single" w:sz="4" w:space="0" w:color="auto"/>
              <w:right w:val="single" w:sz="4" w:space="0" w:color="auto"/>
            </w:tcBorders>
            <w:noWrap/>
            <w:hideMark/>
          </w:tcPr>
          <w:p w14:paraId="68489B49" w14:textId="77777777" w:rsidR="00292202" w:rsidRPr="005062D9" w:rsidRDefault="00292202" w:rsidP="002A7DFC">
            <w:pPr>
              <w:rPr>
                <w:b/>
                <w:bCs/>
              </w:rPr>
            </w:pPr>
            <w:r w:rsidRPr="005062D9">
              <w:rPr>
                <w:b/>
                <w:bCs/>
              </w:rPr>
              <w:t>8</w:t>
            </w:r>
          </w:p>
        </w:tc>
        <w:tc>
          <w:tcPr>
            <w:tcW w:w="549" w:type="dxa"/>
            <w:tcBorders>
              <w:top w:val="single" w:sz="4" w:space="0" w:color="auto"/>
              <w:left w:val="single" w:sz="4" w:space="0" w:color="auto"/>
              <w:bottom w:val="single" w:sz="4" w:space="0" w:color="auto"/>
              <w:right w:val="single" w:sz="4" w:space="0" w:color="auto"/>
            </w:tcBorders>
            <w:noWrap/>
            <w:hideMark/>
          </w:tcPr>
          <w:p w14:paraId="447A3768" w14:textId="77777777" w:rsidR="00292202" w:rsidRPr="005062D9" w:rsidRDefault="00292202" w:rsidP="002A7DFC">
            <w:pPr>
              <w:rPr>
                <w:b/>
                <w:bCs/>
              </w:rPr>
            </w:pPr>
            <w:r w:rsidRPr="005062D9">
              <w:rPr>
                <w:b/>
                <w:bCs/>
              </w:rPr>
              <w:t>9</w:t>
            </w:r>
          </w:p>
        </w:tc>
        <w:tc>
          <w:tcPr>
            <w:tcW w:w="1224" w:type="dxa"/>
            <w:tcBorders>
              <w:top w:val="single" w:sz="4" w:space="0" w:color="auto"/>
              <w:left w:val="single" w:sz="4" w:space="0" w:color="auto"/>
              <w:bottom w:val="single" w:sz="4" w:space="0" w:color="auto"/>
              <w:right w:val="single" w:sz="4" w:space="0" w:color="auto"/>
            </w:tcBorders>
            <w:noWrap/>
            <w:hideMark/>
          </w:tcPr>
          <w:p w14:paraId="1FAC5C3D" w14:textId="77777777" w:rsidR="00292202" w:rsidRPr="005062D9" w:rsidRDefault="00292202" w:rsidP="002A7DFC">
            <w:pPr>
              <w:rPr>
                <w:b/>
                <w:bCs/>
              </w:rPr>
            </w:pPr>
            <w:r w:rsidRPr="005062D9">
              <w:rPr>
                <w:b/>
                <w:bCs/>
              </w:rPr>
              <w:t>10</w:t>
            </w:r>
          </w:p>
        </w:tc>
      </w:tr>
      <w:tr w:rsidR="00292202" w:rsidRPr="005062D9" w14:paraId="211D2F8B" w14:textId="77777777" w:rsidTr="002A7DFC">
        <w:trPr>
          <w:trHeight w:val="288"/>
        </w:trPr>
        <w:tc>
          <w:tcPr>
            <w:tcW w:w="1976" w:type="dxa"/>
            <w:tcBorders>
              <w:top w:val="single" w:sz="4" w:space="0" w:color="auto"/>
              <w:left w:val="single" w:sz="4" w:space="0" w:color="auto"/>
              <w:bottom w:val="single" w:sz="4" w:space="0" w:color="auto"/>
              <w:right w:val="single" w:sz="4" w:space="0" w:color="auto"/>
            </w:tcBorders>
            <w:noWrap/>
            <w:hideMark/>
          </w:tcPr>
          <w:p w14:paraId="71BD3BB4" w14:textId="77777777" w:rsidR="00292202" w:rsidRPr="005062D9" w:rsidRDefault="00292202" w:rsidP="002A7DFC">
            <w:r w:rsidRPr="005062D9">
              <w:t>Duty of Care</w:t>
            </w:r>
          </w:p>
        </w:tc>
        <w:tc>
          <w:tcPr>
            <w:tcW w:w="659" w:type="dxa"/>
            <w:tcBorders>
              <w:top w:val="single" w:sz="4" w:space="0" w:color="auto"/>
              <w:left w:val="single" w:sz="4" w:space="0" w:color="auto"/>
              <w:bottom w:val="single" w:sz="4" w:space="0" w:color="auto"/>
              <w:right w:val="single" w:sz="4" w:space="0" w:color="auto"/>
            </w:tcBorders>
            <w:noWrap/>
            <w:hideMark/>
          </w:tcPr>
          <w:p w14:paraId="03A861C7" w14:textId="77777777" w:rsidR="00292202" w:rsidRPr="005062D9" w:rsidRDefault="00292202" w:rsidP="002A7DFC">
            <w:r w:rsidRPr="005062D9">
              <w:t>1</w:t>
            </w:r>
          </w:p>
        </w:tc>
        <w:tc>
          <w:tcPr>
            <w:tcW w:w="659" w:type="dxa"/>
            <w:tcBorders>
              <w:top w:val="single" w:sz="4" w:space="0" w:color="auto"/>
              <w:left w:val="single" w:sz="4" w:space="0" w:color="auto"/>
              <w:bottom w:val="single" w:sz="4" w:space="0" w:color="auto"/>
              <w:right w:val="single" w:sz="4" w:space="0" w:color="auto"/>
            </w:tcBorders>
            <w:noWrap/>
            <w:hideMark/>
          </w:tcPr>
          <w:p w14:paraId="6DBBCCA8" w14:textId="77777777" w:rsidR="00292202" w:rsidRPr="005062D9" w:rsidRDefault="00292202" w:rsidP="002A7DFC">
            <w:r w:rsidRPr="005062D9">
              <w:t>0</w:t>
            </w:r>
          </w:p>
        </w:tc>
        <w:tc>
          <w:tcPr>
            <w:tcW w:w="659" w:type="dxa"/>
            <w:tcBorders>
              <w:top w:val="single" w:sz="4" w:space="0" w:color="auto"/>
              <w:left w:val="single" w:sz="4" w:space="0" w:color="auto"/>
              <w:bottom w:val="single" w:sz="4" w:space="0" w:color="auto"/>
              <w:right w:val="single" w:sz="4" w:space="0" w:color="auto"/>
            </w:tcBorders>
            <w:noWrap/>
            <w:hideMark/>
          </w:tcPr>
          <w:p w14:paraId="58A7402B" w14:textId="77777777" w:rsidR="00292202" w:rsidRPr="005062D9" w:rsidRDefault="00292202" w:rsidP="002A7DFC">
            <w:r w:rsidRPr="005062D9">
              <w:t>5</w:t>
            </w:r>
          </w:p>
        </w:tc>
        <w:tc>
          <w:tcPr>
            <w:tcW w:w="659" w:type="dxa"/>
            <w:tcBorders>
              <w:top w:val="single" w:sz="4" w:space="0" w:color="auto"/>
              <w:left w:val="single" w:sz="4" w:space="0" w:color="auto"/>
              <w:bottom w:val="single" w:sz="4" w:space="0" w:color="auto"/>
              <w:right w:val="single" w:sz="4" w:space="0" w:color="auto"/>
            </w:tcBorders>
            <w:noWrap/>
            <w:hideMark/>
          </w:tcPr>
          <w:p w14:paraId="23558445" w14:textId="77777777" w:rsidR="00292202" w:rsidRPr="005062D9" w:rsidRDefault="00292202" w:rsidP="002A7DFC">
            <w:r w:rsidRPr="005062D9">
              <w:t>2</w:t>
            </w:r>
          </w:p>
        </w:tc>
        <w:tc>
          <w:tcPr>
            <w:tcW w:w="659" w:type="dxa"/>
            <w:tcBorders>
              <w:top w:val="single" w:sz="4" w:space="0" w:color="auto"/>
              <w:left w:val="single" w:sz="4" w:space="0" w:color="auto"/>
              <w:bottom w:val="single" w:sz="4" w:space="0" w:color="auto"/>
              <w:right w:val="single" w:sz="4" w:space="0" w:color="auto"/>
            </w:tcBorders>
            <w:noWrap/>
            <w:hideMark/>
          </w:tcPr>
          <w:p w14:paraId="22C00BF5" w14:textId="77777777" w:rsidR="00292202" w:rsidRPr="005062D9" w:rsidRDefault="00292202" w:rsidP="002A7DFC">
            <w:r w:rsidRPr="005062D9">
              <w:t>12</w:t>
            </w:r>
          </w:p>
        </w:tc>
        <w:tc>
          <w:tcPr>
            <w:tcW w:w="659" w:type="dxa"/>
            <w:tcBorders>
              <w:top w:val="single" w:sz="4" w:space="0" w:color="auto"/>
              <w:left w:val="single" w:sz="4" w:space="0" w:color="auto"/>
              <w:bottom w:val="single" w:sz="4" w:space="0" w:color="auto"/>
              <w:right w:val="single" w:sz="4" w:space="0" w:color="auto"/>
            </w:tcBorders>
            <w:noWrap/>
            <w:hideMark/>
          </w:tcPr>
          <w:p w14:paraId="3C977505" w14:textId="77777777" w:rsidR="00292202" w:rsidRPr="005062D9" w:rsidRDefault="00292202" w:rsidP="002A7DFC">
            <w:r w:rsidRPr="005062D9">
              <w:t>9</w:t>
            </w:r>
          </w:p>
        </w:tc>
        <w:tc>
          <w:tcPr>
            <w:tcW w:w="659" w:type="dxa"/>
            <w:tcBorders>
              <w:top w:val="single" w:sz="4" w:space="0" w:color="auto"/>
              <w:left w:val="single" w:sz="4" w:space="0" w:color="auto"/>
              <w:bottom w:val="single" w:sz="4" w:space="0" w:color="auto"/>
              <w:right w:val="single" w:sz="4" w:space="0" w:color="auto"/>
            </w:tcBorders>
            <w:noWrap/>
            <w:hideMark/>
          </w:tcPr>
          <w:p w14:paraId="19711171" w14:textId="77777777" w:rsidR="00292202" w:rsidRPr="005062D9" w:rsidRDefault="00292202" w:rsidP="002A7DFC">
            <w:r w:rsidRPr="005062D9">
              <w:t>19</w:t>
            </w:r>
          </w:p>
        </w:tc>
        <w:tc>
          <w:tcPr>
            <w:tcW w:w="659" w:type="dxa"/>
            <w:tcBorders>
              <w:top w:val="single" w:sz="4" w:space="0" w:color="auto"/>
              <w:left w:val="single" w:sz="4" w:space="0" w:color="auto"/>
              <w:bottom w:val="single" w:sz="4" w:space="0" w:color="auto"/>
              <w:right w:val="single" w:sz="4" w:space="0" w:color="auto"/>
            </w:tcBorders>
            <w:noWrap/>
            <w:hideMark/>
          </w:tcPr>
          <w:p w14:paraId="21B6E09D" w14:textId="77777777" w:rsidR="00292202" w:rsidRPr="005062D9" w:rsidRDefault="00292202" w:rsidP="002A7DFC">
            <w:r w:rsidRPr="005062D9">
              <w:t>46</w:t>
            </w:r>
          </w:p>
        </w:tc>
        <w:tc>
          <w:tcPr>
            <w:tcW w:w="549" w:type="dxa"/>
            <w:tcBorders>
              <w:top w:val="single" w:sz="4" w:space="0" w:color="auto"/>
              <w:left w:val="single" w:sz="4" w:space="0" w:color="auto"/>
              <w:bottom w:val="single" w:sz="4" w:space="0" w:color="auto"/>
              <w:right w:val="single" w:sz="4" w:space="0" w:color="auto"/>
            </w:tcBorders>
            <w:noWrap/>
            <w:hideMark/>
          </w:tcPr>
          <w:p w14:paraId="7FD3A23A" w14:textId="77777777" w:rsidR="00292202" w:rsidRPr="005062D9" w:rsidRDefault="00292202" w:rsidP="002A7DFC">
            <w:r w:rsidRPr="005062D9">
              <w:t>24</w:t>
            </w:r>
          </w:p>
        </w:tc>
        <w:tc>
          <w:tcPr>
            <w:tcW w:w="1224" w:type="dxa"/>
            <w:tcBorders>
              <w:top w:val="single" w:sz="4" w:space="0" w:color="auto"/>
              <w:left w:val="single" w:sz="4" w:space="0" w:color="auto"/>
              <w:bottom w:val="single" w:sz="4" w:space="0" w:color="auto"/>
              <w:right w:val="single" w:sz="4" w:space="0" w:color="auto"/>
            </w:tcBorders>
            <w:noWrap/>
            <w:hideMark/>
          </w:tcPr>
          <w:p w14:paraId="750377F0" w14:textId="77777777" w:rsidR="00292202" w:rsidRPr="005062D9" w:rsidRDefault="00292202" w:rsidP="002A7DFC">
            <w:r w:rsidRPr="005062D9">
              <w:t>111</w:t>
            </w:r>
          </w:p>
        </w:tc>
      </w:tr>
      <w:tr w:rsidR="00292202" w:rsidRPr="005062D9" w14:paraId="238CB2C1" w14:textId="77777777" w:rsidTr="002A7DFC">
        <w:trPr>
          <w:trHeight w:val="288"/>
        </w:trPr>
        <w:tc>
          <w:tcPr>
            <w:tcW w:w="1976" w:type="dxa"/>
            <w:tcBorders>
              <w:top w:val="single" w:sz="4" w:space="0" w:color="auto"/>
              <w:left w:val="single" w:sz="4" w:space="0" w:color="auto"/>
              <w:bottom w:val="single" w:sz="4" w:space="0" w:color="auto"/>
              <w:right w:val="single" w:sz="4" w:space="0" w:color="auto"/>
            </w:tcBorders>
            <w:noWrap/>
            <w:hideMark/>
          </w:tcPr>
          <w:p w14:paraId="77B5BCFC" w14:textId="77777777" w:rsidR="00292202" w:rsidRPr="005062D9" w:rsidRDefault="00292202" w:rsidP="002A7DFC">
            <w:r w:rsidRPr="005062D9">
              <w:t>Teaching vocal skills/Voice Building</w:t>
            </w:r>
          </w:p>
        </w:tc>
        <w:tc>
          <w:tcPr>
            <w:tcW w:w="659" w:type="dxa"/>
            <w:tcBorders>
              <w:top w:val="single" w:sz="4" w:space="0" w:color="auto"/>
              <w:left w:val="single" w:sz="4" w:space="0" w:color="auto"/>
              <w:bottom w:val="single" w:sz="4" w:space="0" w:color="auto"/>
              <w:right w:val="single" w:sz="4" w:space="0" w:color="auto"/>
            </w:tcBorders>
            <w:noWrap/>
            <w:hideMark/>
          </w:tcPr>
          <w:p w14:paraId="1220196B" w14:textId="77777777" w:rsidR="00292202" w:rsidRPr="005062D9" w:rsidRDefault="00292202" w:rsidP="002A7DFC">
            <w:r w:rsidRPr="005062D9">
              <w:t>3</w:t>
            </w:r>
          </w:p>
        </w:tc>
        <w:tc>
          <w:tcPr>
            <w:tcW w:w="659" w:type="dxa"/>
            <w:tcBorders>
              <w:top w:val="single" w:sz="4" w:space="0" w:color="auto"/>
              <w:left w:val="single" w:sz="4" w:space="0" w:color="auto"/>
              <w:bottom w:val="single" w:sz="4" w:space="0" w:color="auto"/>
              <w:right w:val="single" w:sz="4" w:space="0" w:color="auto"/>
            </w:tcBorders>
            <w:noWrap/>
            <w:hideMark/>
          </w:tcPr>
          <w:p w14:paraId="747BD9BC" w14:textId="77777777" w:rsidR="00292202" w:rsidRPr="005062D9" w:rsidRDefault="00292202" w:rsidP="002A7DFC">
            <w:r w:rsidRPr="005062D9">
              <w:t>2</w:t>
            </w:r>
          </w:p>
        </w:tc>
        <w:tc>
          <w:tcPr>
            <w:tcW w:w="659" w:type="dxa"/>
            <w:tcBorders>
              <w:top w:val="single" w:sz="4" w:space="0" w:color="auto"/>
              <w:left w:val="single" w:sz="4" w:space="0" w:color="auto"/>
              <w:bottom w:val="single" w:sz="4" w:space="0" w:color="auto"/>
              <w:right w:val="single" w:sz="4" w:space="0" w:color="auto"/>
            </w:tcBorders>
            <w:noWrap/>
            <w:hideMark/>
          </w:tcPr>
          <w:p w14:paraId="4E5D0685" w14:textId="77777777" w:rsidR="00292202" w:rsidRPr="005062D9" w:rsidRDefault="00292202" w:rsidP="002A7DFC">
            <w:r w:rsidRPr="005062D9">
              <w:t>11</w:t>
            </w:r>
          </w:p>
        </w:tc>
        <w:tc>
          <w:tcPr>
            <w:tcW w:w="659" w:type="dxa"/>
            <w:tcBorders>
              <w:top w:val="single" w:sz="4" w:space="0" w:color="auto"/>
              <w:left w:val="single" w:sz="4" w:space="0" w:color="auto"/>
              <w:bottom w:val="single" w:sz="4" w:space="0" w:color="auto"/>
              <w:right w:val="single" w:sz="4" w:space="0" w:color="auto"/>
            </w:tcBorders>
            <w:noWrap/>
            <w:hideMark/>
          </w:tcPr>
          <w:p w14:paraId="61CFF4A8" w14:textId="77777777" w:rsidR="00292202" w:rsidRPr="005062D9" w:rsidRDefault="00292202" w:rsidP="002A7DFC">
            <w:r w:rsidRPr="005062D9">
              <w:t>10</w:t>
            </w:r>
          </w:p>
        </w:tc>
        <w:tc>
          <w:tcPr>
            <w:tcW w:w="659" w:type="dxa"/>
            <w:tcBorders>
              <w:top w:val="single" w:sz="4" w:space="0" w:color="auto"/>
              <w:left w:val="single" w:sz="4" w:space="0" w:color="auto"/>
              <w:bottom w:val="single" w:sz="4" w:space="0" w:color="auto"/>
              <w:right w:val="single" w:sz="4" w:space="0" w:color="auto"/>
            </w:tcBorders>
            <w:noWrap/>
            <w:hideMark/>
          </w:tcPr>
          <w:p w14:paraId="01E9B0CB" w14:textId="77777777" w:rsidR="00292202" w:rsidRPr="005062D9" w:rsidRDefault="00292202" w:rsidP="002A7DFC">
            <w:r w:rsidRPr="005062D9">
              <w:t>20</w:t>
            </w:r>
          </w:p>
        </w:tc>
        <w:tc>
          <w:tcPr>
            <w:tcW w:w="659" w:type="dxa"/>
            <w:tcBorders>
              <w:top w:val="single" w:sz="4" w:space="0" w:color="auto"/>
              <w:left w:val="single" w:sz="4" w:space="0" w:color="auto"/>
              <w:bottom w:val="single" w:sz="4" w:space="0" w:color="auto"/>
              <w:right w:val="single" w:sz="4" w:space="0" w:color="auto"/>
            </w:tcBorders>
            <w:noWrap/>
            <w:hideMark/>
          </w:tcPr>
          <w:p w14:paraId="7D301477" w14:textId="77777777" w:rsidR="00292202" w:rsidRPr="005062D9" w:rsidRDefault="00292202" w:rsidP="002A7DFC">
            <w:r w:rsidRPr="005062D9">
              <w:t>24</w:t>
            </w:r>
          </w:p>
        </w:tc>
        <w:tc>
          <w:tcPr>
            <w:tcW w:w="659" w:type="dxa"/>
            <w:tcBorders>
              <w:top w:val="single" w:sz="4" w:space="0" w:color="auto"/>
              <w:left w:val="single" w:sz="4" w:space="0" w:color="auto"/>
              <w:bottom w:val="single" w:sz="4" w:space="0" w:color="auto"/>
              <w:right w:val="single" w:sz="4" w:space="0" w:color="auto"/>
            </w:tcBorders>
            <w:noWrap/>
            <w:hideMark/>
          </w:tcPr>
          <w:p w14:paraId="388E0654" w14:textId="77777777" w:rsidR="00292202" w:rsidRPr="005062D9" w:rsidRDefault="00292202" w:rsidP="002A7DFC">
            <w:r w:rsidRPr="005062D9">
              <w:t>30</w:t>
            </w:r>
          </w:p>
        </w:tc>
        <w:tc>
          <w:tcPr>
            <w:tcW w:w="659" w:type="dxa"/>
            <w:tcBorders>
              <w:top w:val="single" w:sz="4" w:space="0" w:color="auto"/>
              <w:left w:val="single" w:sz="4" w:space="0" w:color="auto"/>
              <w:bottom w:val="single" w:sz="4" w:space="0" w:color="auto"/>
              <w:right w:val="single" w:sz="4" w:space="0" w:color="auto"/>
            </w:tcBorders>
            <w:noWrap/>
            <w:hideMark/>
          </w:tcPr>
          <w:p w14:paraId="3B95A10D" w14:textId="77777777" w:rsidR="00292202" w:rsidRPr="005062D9" w:rsidRDefault="00292202" w:rsidP="002A7DFC">
            <w:r w:rsidRPr="005062D9">
              <w:t>57</w:t>
            </w:r>
          </w:p>
        </w:tc>
        <w:tc>
          <w:tcPr>
            <w:tcW w:w="549" w:type="dxa"/>
            <w:tcBorders>
              <w:top w:val="single" w:sz="4" w:space="0" w:color="auto"/>
              <w:left w:val="single" w:sz="4" w:space="0" w:color="auto"/>
              <w:bottom w:val="single" w:sz="4" w:space="0" w:color="auto"/>
              <w:right w:val="single" w:sz="4" w:space="0" w:color="auto"/>
            </w:tcBorders>
            <w:noWrap/>
            <w:hideMark/>
          </w:tcPr>
          <w:p w14:paraId="76505612" w14:textId="77777777" w:rsidR="00292202" w:rsidRPr="005062D9" w:rsidRDefault="00292202" w:rsidP="002A7DFC">
            <w:r w:rsidRPr="005062D9">
              <w:t>16</w:t>
            </w:r>
          </w:p>
        </w:tc>
        <w:tc>
          <w:tcPr>
            <w:tcW w:w="1224" w:type="dxa"/>
            <w:tcBorders>
              <w:top w:val="single" w:sz="4" w:space="0" w:color="auto"/>
              <w:left w:val="single" w:sz="4" w:space="0" w:color="auto"/>
              <w:bottom w:val="single" w:sz="4" w:space="0" w:color="auto"/>
              <w:right w:val="single" w:sz="4" w:space="0" w:color="auto"/>
            </w:tcBorders>
            <w:noWrap/>
            <w:hideMark/>
          </w:tcPr>
          <w:p w14:paraId="0302F564" w14:textId="77777777" w:rsidR="00292202" w:rsidRPr="005062D9" w:rsidRDefault="00292202" w:rsidP="002A7DFC">
            <w:r w:rsidRPr="005062D9">
              <w:t>55</w:t>
            </w:r>
          </w:p>
        </w:tc>
      </w:tr>
      <w:tr w:rsidR="00292202" w:rsidRPr="005062D9" w14:paraId="13A7E02D" w14:textId="77777777" w:rsidTr="002A7DFC">
        <w:trPr>
          <w:trHeight w:val="288"/>
        </w:trPr>
        <w:tc>
          <w:tcPr>
            <w:tcW w:w="1976" w:type="dxa"/>
            <w:tcBorders>
              <w:top w:val="single" w:sz="4" w:space="0" w:color="auto"/>
              <w:left w:val="single" w:sz="4" w:space="0" w:color="auto"/>
              <w:bottom w:val="single" w:sz="4" w:space="0" w:color="auto"/>
              <w:right w:val="single" w:sz="4" w:space="0" w:color="auto"/>
            </w:tcBorders>
            <w:noWrap/>
            <w:hideMark/>
          </w:tcPr>
          <w:p w14:paraId="67B25D25" w14:textId="77777777" w:rsidR="00292202" w:rsidRPr="005062D9" w:rsidRDefault="00292202" w:rsidP="002A7DFC">
            <w:r w:rsidRPr="005062D9">
              <w:t>Social Integration</w:t>
            </w:r>
          </w:p>
        </w:tc>
        <w:tc>
          <w:tcPr>
            <w:tcW w:w="659" w:type="dxa"/>
            <w:tcBorders>
              <w:top w:val="single" w:sz="4" w:space="0" w:color="auto"/>
              <w:left w:val="single" w:sz="4" w:space="0" w:color="auto"/>
              <w:bottom w:val="single" w:sz="4" w:space="0" w:color="auto"/>
              <w:right w:val="single" w:sz="4" w:space="0" w:color="auto"/>
            </w:tcBorders>
            <w:noWrap/>
            <w:hideMark/>
          </w:tcPr>
          <w:p w14:paraId="40AC4CC7" w14:textId="77777777" w:rsidR="00292202" w:rsidRPr="005062D9" w:rsidRDefault="00292202" w:rsidP="002A7DFC">
            <w:r w:rsidRPr="005062D9">
              <w:t>4</w:t>
            </w:r>
          </w:p>
        </w:tc>
        <w:tc>
          <w:tcPr>
            <w:tcW w:w="659" w:type="dxa"/>
            <w:tcBorders>
              <w:top w:val="single" w:sz="4" w:space="0" w:color="auto"/>
              <w:left w:val="single" w:sz="4" w:space="0" w:color="auto"/>
              <w:bottom w:val="single" w:sz="4" w:space="0" w:color="auto"/>
              <w:right w:val="single" w:sz="4" w:space="0" w:color="auto"/>
            </w:tcBorders>
            <w:noWrap/>
            <w:hideMark/>
          </w:tcPr>
          <w:p w14:paraId="2D0A3D32" w14:textId="77777777" w:rsidR="00292202" w:rsidRPr="005062D9" w:rsidRDefault="00292202" w:rsidP="002A7DFC">
            <w:r w:rsidRPr="005062D9">
              <w:t>1</w:t>
            </w:r>
          </w:p>
        </w:tc>
        <w:tc>
          <w:tcPr>
            <w:tcW w:w="659" w:type="dxa"/>
            <w:tcBorders>
              <w:top w:val="single" w:sz="4" w:space="0" w:color="auto"/>
              <w:left w:val="single" w:sz="4" w:space="0" w:color="auto"/>
              <w:bottom w:val="single" w:sz="4" w:space="0" w:color="auto"/>
              <w:right w:val="single" w:sz="4" w:space="0" w:color="auto"/>
            </w:tcBorders>
            <w:noWrap/>
            <w:hideMark/>
          </w:tcPr>
          <w:p w14:paraId="7CDA64E7" w14:textId="77777777" w:rsidR="00292202" w:rsidRPr="005062D9" w:rsidRDefault="00292202" w:rsidP="002A7DFC">
            <w:r w:rsidRPr="005062D9">
              <w:t>5</w:t>
            </w:r>
          </w:p>
        </w:tc>
        <w:tc>
          <w:tcPr>
            <w:tcW w:w="659" w:type="dxa"/>
            <w:tcBorders>
              <w:top w:val="single" w:sz="4" w:space="0" w:color="auto"/>
              <w:left w:val="single" w:sz="4" w:space="0" w:color="auto"/>
              <w:bottom w:val="single" w:sz="4" w:space="0" w:color="auto"/>
              <w:right w:val="single" w:sz="4" w:space="0" w:color="auto"/>
            </w:tcBorders>
            <w:noWrap/>
            <w:hideMark/>
          </w:tcPr>
          <w:p w14:paraId="615DE588" w14:textId="77777777" w:rsidR="00292202" w:rsidRPr="005062D9" w:rsidRDefault="00292202" w:rsidP="002A7DFC">
            <w:r w:rsidRPr="005062D9">
              <w:t>3</w:t>
            </w:r>
          </w:p>
        </w:tc>
        <w:tc>
          <w:tcPr>
            <w:tcW w:w="659" w:type="dxa"/>
            <w:tcBorders>
              <w:top w:val="single" w:sz="4" w:space="0" w:color="auto"/>
              <w:left w:val="single" w:sz="4" w:space="0" w:color="auto"/>
              <w:bottom w:val="single" w:sz="4" w:space="0" w:color="auto"/>
              <w:right w:val="single" w:sz="4" w:space="0" w:color="auto"/>
            </w:tcBorders>
            <w:noWrap/>
            <w:hideMark/>
          </w:tcPr>
          <w:p w14:paraId="6A3B76BC" w14:textId="77777777" w:rsidR="00292202" w:rsidRPr="005062D9" w:rsidRDefault="00292202" w:rsidP="002A7DFC">
            <w:r w:rsidRPr="005062D9">
              <w:t>15</w:t>
            </w:r>
          </w:p>
        </w:tc>
        <w:tc>
          <w:tcPr>
            <w:tcW w:w="659" w:type="dxa"/>
            <w:tcBorders>
              <w:top w:val="single" w:sz="4" w:space="0" w:color="auto"/>
              <w:left w:val="single" w:sz="4" w:space="0" w:color="auto"/>
              <w:bottom w:val="single" w:sz="4" w:space="0" w:color="auto"/>
              <w:right w:val="single" w:sz="4" w:space="0" w:color="auto"/>
            </w:tcBorders>
            <w:noWrap/>
            <w:hideMark/>
          </w:tcPr>
          <w:p w14:paraId="0646EC75" w14:textId="77777777" w:rsidR="00292202" w:rsidRPr="005062D9" w:rsidRDefault="00292202" w:rsidP="002A7DFC">
            <w:r w:rsidRPr="005062D9">
              <w:t>18</w:t>
            </w:r>
          </w:p>
        </w:tc>
        <w:tc>
          <w:tcPr>
            <w:tcW w:w="659" w:type="dxa"/>
            <w:tcBorders>
              <w:top w:val="single" w:sz="4" w:space="0" w:color="auto"/>
              <w:left w:val="single" w:sz="4" w:space="0" w:color="auto"/>
              <w:bottom w:val="single" w:sz="4" w:space="0" w:color="auto"/>
              <w:right w:val="single" w:sz="4" w:space="0" w:color="auto"/>
            </w:tcBorders>
            <w:noWrap/>
            <w:hideMark/>
          </w:tcPr>
          <w:p w14:paraId="69E9F607" w14:textId="77777777" w:rsidR="00292202" w:rsidRPr="005062D9" w:rsidRDefault="00292202" w:rsidP="002A7DFC">
            <w:r w:rsidRPr="005062D9">
              <w:t>27</w:t>
            </w:r>
          </w:p>
        </w:tc>
        <w:tc>
          <w:tcPr>
            <w:tcW w:w="659" w:type="dxa"/>
            <w:tcBorders>
              <w:top w:val="single" w:sz="4" w:space="0" w:color="auto"/>
              <w:left w:val="single" w:sz="4" w:space="0" w:color="auto"/>
              <w:bottom w:val="single" w:sz="4" w:space="0" w:color="auto"/>
              <w:right w:val="single" w:sz="4" w:space="0" w:color="auto"/>
            </w:tcBorders>
            <w:noWrap/>
            <w:hideMark/>
          </w:tcPr>
          <w:p w14:paraId="4F906D38" w14:textId="77777777" w:rsidR="00292202" w:rsidRPr="005062D9" w:rsidRDefault="00292202" w:rsidP="002A7DFC">
            <w:r w:rsidRPr="005062D9">
              <w:t>41</w:t>
            </w:r>
          </w:p>
        </w:tc>
        <w:tc>
          <w:tcPr>
            <w:tcW w:w="549" w:type="dxa"/>
            <w:tcBorders>
              <w:top w:val="single" w:sz="4" w:space="0" w:color="auto"/>
              <w:left w:val="single" w:sz="4" w:space="0" w:color="auto"/>
              <w:bottom w:val="single" w:sz="4" w:space="0" w:color="auto"/>
              <w:right w:val="single" w:sz="4" w:space="0" w:color="auto"/>
            </w:tcBorders>
            <w:noWrap/>
            <w:hideMark/>
          </w:tcPr>
          <w:p w14:paraId="72BACECA" w14:textId="77777777" w:rsidR="00292202" w:rsidRPr="005062D9" w:rsidRDefault="00292202" w:rsidP="002A7DFC">
            <w:r w:rsidRPr="005062D9">
              <w:t>40</w:t>
            </w:r>
          </w:p>
        </w:tc>
        <w:tc>
          <w:tcPr>
            <w:tcW w:w="1224" w:type="dxa"/>
            <w:tcBorders>
              <w:top w:val="single" w:sz="4" w:space="0" w:color="auto"/>
              <w:left w:val="single" w:sz="4" w:space="0" w:color="auto"/>
              <w:bottom w:val="single" w:sz="4" w:space="0" w:color="auto"/>
              <w:right w:val="single" w:sz="4" w:space="0" w:color="auto"/>
            </w:tcBorders>
            <w:noWrap/>
            <w:hideMark/>
          </w:tcPr>
          <w:p w14:paraId="039C063C" w14:textId="77777777" w:rsidR="00292202" w:rsidRPr="005062D9" w:rsidRDefault="00292202" w:rsidP="002A7DFC">
            <w:r w:rsidRPr="005062D9">
              <w:t>77</w:t>
            </w:r>
          </w:p>
        </w:tc>
      </w:tr>
      <w:tr w:rsidR="00292202" w:rsidRPr="005062D9" w14:paraId="5878F974" w14:textId="77777777" w:rsidTr="002A7DFC">
        <w:trPr>
          <w:trHeight w:val="288"/>
        </w:trPr>
        <w:tc>
          <w:tcPr>
            <w:tcW w:w="1976" w:type="dxa"/>
            <w:tcBorders>
              <w:top w:val="single" w:sz="4" w:space="0" w:color="auto"/>
              <w:left w:val="single" w:sz="4" w:space="0" w:color="auto"/>
              <w:bottom w:val="single" w:sz="4" w:space="0" w:color="auto"/>
              <w:right w:val="single" w:sz="4" w:space="0" w:color="auto"/>
            </w:tcBorders>
            <w:noWrap/>
            <w:hideMark/>
          </w:tcPr>
          <w:p w14:paraId="2A4FD08D" w14:textId="77777777" w:rsidR="00292202" w:rsidRPr="005062D9" w:rsidRDefault="00292202" w:rsidP="002A7DFC">
            <w:r w:rsidRPr="005062D9">
              <w:t>Concert preparation</w:t>
            </w:r>
          </w:p>
        </w:tc>
        <w:tc>
          <w:tcPr>
            <w:tcW w:w="659" w:type="dxa"/>
            <w:tcBorders>
              <w:top w:val="single" w:sz="4" w:space="0" w:color="auto"/>
              <w:left w:val="single" w:sz="4" w:space="0" w:color="auto"/>
              <w:bottom w:val="single" w:sz="4" w:space="0" w:color="auto"/>
              <w:right w:val="single" w:sz="4" w:space="0" w:color="auto"/>
            </w:tcBorders>
            <w:noWrap/>
            <w:hideMark/>
          </w:tcPr>
          <w:p w14:paraId="53007F86" w14:textId="77777777" w:rsidR="00292202" w:rsidRPr="005062D9" w:rsidRDefault="00292202" w:rsidP="002A7DFC">
            <w:r w:rsidRPr="005062D9">
              <w:t>5</w:t>
            </w:r>
          </w:p>
        </w:tc>
        <w:tc>
          <w:tcPr>
            <w:tcW w:w="659" w:type="dxa"/>
            <w:tcBorders>
              <w:top w:val="single" w:sz="4" w:space="0" w:color="auto"/>
              <w:left w:val="single" w:sz="4" w:space="0" w:color="auto"/>
              <w:bottom w:val="single" w:sz="4" w:space="0" w:color="auto"/>
              <w:right w:val="single" w:sz="4" w:space="0" w:color="auto"/>
            </w:tcBorders>
            <w:noWrap/>
            <w:hideMark/>
          </w:tcPr>
          <w:p w14:paraId="55290A66" w14:textId="77777777" w:rsidR="00292202" w:rsidRPr="005062D9" w:rsidRDefault="00292202" w:rsidP="002A7DFC">
            <w:r w:rsidRPr="005062D9">
              <w:t>2</w:t>
            </w:r>
          </w:p>
        </w:tc>
        <w:tc>
          <w:tcPr>
            <w:tcW w:w="659" w:type="dxa"/>
            <w:tcBorders>
              <w:top w:val="single" w:sz="4" w:space="0" w:color="auto"/>
              <w:left w:val="single" w:sz="4" w:space="0" w:color="auto"/>
              <w:bottom w:val="single" w:sz="4" w:space="0" w:color="auto"/>
              <w:right w:val="single" w:sz="4" w:space="0" w:color="auto"/>
            </w:tcBorders>
            <w:noWrap/>
            <w:hideMark/>
          </w:tcPr>
          <w:p w14:paraId="2280D947" w14:textId="77777777" w:rsidR="00292202" w:rsidRPr="005062D9" w:rsidRDefault="00292202" w:rsidP="002A7DFC">
            <w:r w:rsidRPr="005062D9">
              <w:t>2</w:t>
            </w:r>
          </w:p>
        </w:tc>
        <w:tc>
          <w:tcPr>
            <w:tcW w:w="659" w:type="dxa"/>
            <w:tcBorders>
              <w:top w:val="single" w:sz="4" w:space="0" w:color="auto"/>
              <w:left w:val="single" w:sz="4" w:space="0" w:color="auto"/>
              <w:bottom w:val="single" w:sz="4" w:space="0" w:color="auto"/>
              <w:right w:val="single" w:sz="4" w:space="0" w:color="auto"/>
            </w:tcBorders>
            <w:noWrap/>
            <w:hideMark/>
          </w:tcPr>
          <w:p w14:paraId="441C33B0" w14:textId="77777777" w:rsidR="00292202" w:rsidRPr="005062D9" w:rsidRDefault="00292202" w:rsidP="002A7DFC">
            <w:r w:rsidRPr="005062D9">
              <w:t>5</w:t>
            </w:r>
          </w:p>
        </w:tc>
        <w:tc>
          <w:tcPr>
            <w:tcW w:w="659" w:type="dxa"/>
            <w:tcBorders>
              <w:top w:val="single" w:sz="4" w:space="0" w:color="auto"/>
              <w:left w:val="single" w:sz="4" w:space="0" w:color="auto"/>
              <w:bottom w:val="single" w:sz="4" w:space="0" w:color="auto"/>
              <w:right w:val="single" w:sz="4" w:space="0" w:color="auto"/>
            </w:tcBorders>
            <w:noWrap/>
            <w:hideMark/>
          </w:tcPr>
          <w:p w14:paraId="08F7B7F0" w14:textId="77777777" w:rsidR="00292202" w:rsidRPr="005062D9" w:rsidRDefault="00292202" w:rsidP="002A7DFC">
            <w:r w:rsidRPr="005062D9">
              <w:t>9</w:t>
            </w:r>
          </w:p>
        </w:tc>
        <w:tc>
          <w:tcPr>
            <w:tcW w:w="659" w:type="dxa"/>
            <w:tcBorders>
              <w:top w:val="single" w:sz="4" w:space="0" w:color="auto"/>
              <w:left w:val="single" w:sz="4" w:space="0" w:color="auto"/>
              <w:bottom w:val="single" w:sz="4" w:space="0" w:color="auto"/>
              <w:right w:val="single" w:sz="4" w:space="0" w:color="auto"/>
            </w:tcBorders>
            <w:noWrap/>
            <w:hideMark/>
          </w:tcPr>
          <w:p w14:paraId="2258333A" w14:textId="77777777" w:rsidR="00292202" w:rsidRPr="005062D9" w:rsidRDefault="00292202" w:rsidP="002A7DFC">
            <w:r w:rsidRPr="005062D9">
              <w:t>7</w:t>
            </w:r>
          </w:p>
        </w:tc>
        <w:tc>
          <w:tcPr>
            <w:tcW w:w="659" w:type="dxa"/>
            <w:tcBorders>
              <w:top w:val="single" w:sz="4" w:space="0" w:color="auto"/>
              <w:left w:val="single" w:sz="4" w:space="0" w:color="auto"/>
              <w:bottom w:val="single" w:sz="4" w:space="0" w:color="auto"/>
              <w:right w:val="single" w:sz="4" w:space="0" w:color="auto"/>
            </w:tcBorders>
            <w:noWrap/>
            <w:hideMark/>
          </w:tcPr>
          <w:p w14:paraId="2CB20506" w14:textId="77777777" w:rsidR="00292202" w:rsidRPr="005062D9" w:rsidRDefault="00292202" w:rsidP="002A7DFC">
            <w:r w:rsidRPr="005062D9">
              <w:t>21</w:t>
            </w:r>
          </w:p>
        </w:tc>
        <w:tc>
          <w:tcPr>
            <w:tcW w:w="659" w:type="dxa"/>
            <w:tcBorders>
              <w:top w:val="single" w:sz="4" w:space="0" w:color="auto"/>
              <w:left w:val="single" w:sz="4" w:space="0" w:color="auto"/>
              <w:bottom w:val="single" w:sz="4" w:space="0" w:color="auto"/>
              <w:right w:val="single" w:sz="4" w:space="0" w:color="auto"/>
            </w:tcBorders>
            <w:noWrap/>
            <w:hideMark/>
          </w:tcPr>
          <w:p w14:paraId="44777F8F" w14:textId="77777777" w:rsidR="00292202" w:rsidRPr="005062D9" w:rsidRDefault="00292202" w:rsidP="002A7DFC">
            <w:r w:rsidRPr="005062D9">
              <w:t>34</w:t>
            </w:r>
          </w:p>
        </w:tc>
        <w:tc>
          <w:tcPr>
            <w:tcW w:w="549" w:type="dxa"/>
            <w:tcBorders>
              <w:top w:val="single" w:sz="4" w:space="0" w:color="auto"/>
              <w:left w:val="single" w:sz="4" w:space="0" w:color="auto"/>
              <w:bottom w:val="single" w:sz="4" w:space="0" w:color="auto"/>
              <w:right w:val="single" w:sz="4" w:space="0" w:color="auto"/>
            </w:tcBorders>
            <w:noWrap/>
            <w:hideMark/>
          </w:tcPr>
          <w:p w14:paraId="37657C9F" w14:textId="77777777" w:rsidR="00292202" w:rsidRPr="005062D9" w:rsidRDefault="00292202" w:rsidP="002A7DFC">
            <w:r w:rsidRPr="005062D9">
              <w:t>50</w:t>
            </w:r>
          </w:p>
        </w:tc>
        <w:tc>
          <w:tcPr>
            <w:tcW w:w="1224" w:type="dxa"/>
            <w:tcBorders>
              <w:top w:val="single" w:sz="4" w:space="0" w:color="auto"/>
              <w:left w:val="single" w:sz="4" w:space="0" w:color="auto"/>
              <w:bottom w:val="single" w:sz="4" w:space="0" w:color="auto"/>
              <w:right w:val="single" w:sz="4" w:space="0" w:color="auto"/>
            </w:tcBorders>
            <w:noWrap/>
            <w:hideMark/>
          </w:tcPr>
          <w:p w14:paraId="4B6ABA46" w14:textId="77777777" w:rsidR="00292202" w:rsidRPr="005062D9" w:rsidRDefault="00292202" w:rsidP="002A7DFC">
            <w:r w:rsidRPr="005062D9">
              <w:t>94</w:t>
            </w:r>
          </w:p>
        </w:tc>
      </w:tr>
      <w:tr w:rsidR="00292202" w:rsidRPr="005062D9" w14:paraId="29DCE753" w14:textId="77777777" w:rsidTr="002A7DFC">
        <w:trPr>
          <w:trHeight w:val="288"/>
        </w:trPr>
        <w:tc>
          <w:tcPr>
            <w:tcW w:w="1976" w:type="dxa"/>
            <w:tcBorders>
              <w:top w:val="single" w:sz="4" w:space="0" w:color="auto"/>
              <w:left w:val="single" w:sz="4" w:space="0" w:color="auto"/>
              <w:bottom w:val="single" w:sz="4" w:space="0" w:color="auto"/>
              <w:right w:val="single" w:sz="4" w:space="0" w:color="auto"/>
            </w:tcBorders>
            <w:noWrap/>
            <w:hideMark/>
          </w:tcPr>
          <w:p w14:paraId="3406B1CE" w14:textId="77777777" w:rsidR="00292202" w:rsidRPr="005062D9" w:rsidRDefault="00292202" w:rsidP="002A7DFC">
            <w:r w:rsidRPr="005062D9">
              <w:t>Singers' motivation/self esteem</w:t>
            </w:r>
          </w:p>
        </w:tc>
        <w:tc>
          <w:tcPr>
            <w:tcW w:w="659" w:type="dxa"/>
            <w:tcBorders>
              <w:top w:val="single" w:sz="4" w:space="0" w:color="auto"/>
              <w:left w:val="single" w:sz="4" w:space="0" w:color="auto"/>
              <w:bottom w:val="single" w:sz="4" w:space="0" w:color="auto"/>
              <w:right w:val="single" w:sz="4" w:space="0" w:color="auto"/>
            </w:tcBorders>
            <w:noWrap/>
            <w:hideMark/>
          </w:tcPr>
          <w:p w14:paraId="7FDFFD6E" w14:textId="77777777" w:rsidR="00292202" w:rsidRPr="005062D9" w:rsidRDefault="00292202" w:rsidP="002A7DFC">
            <w:r w:rsidRPr="005062D9">
              <w:t>1</w:t>
            </w:r>
          </w:p>
        </w:tc>
        <w:tc>
          <w:tcPr>
            <w:tcW w:w="659" w:type="dxa"/>
            <w:tcBorders>
              <w:top w:val="single" w:sz="4" w:space="0" w:color="auto"/>
              <w:left w:val="single" w:sz="4" w:space="0" w:color="auto"/>
              <w:bottom w:val="single" w:sz="4" w:space="0" w:color="auto"/>
              <w:right w:val="single" w:sz="4" w:space="0" w:color="auto"/>
            </w:tcBorders>
            <w:noWrap/>
            <w:hideMark/>
          </w:tcPr>
          <w:p w14:paraId="4F0A5DBF" w14:textId="77777777" w:rsidR="00292202" w:rsidRPr="005062D9" w:rsidRDefault="00292202" w:rsidP="002A7DFC">
            <w:r w:rsidRPr="005062D9">
              <w:t>1</w:t>
            </w:r>
          </w:p>
        </w:tc>
        <w:tc>
          <w:tcPr>
            <w:tcW w:w="659" w:type="dxa"/>
            <w:tcBorders>
              <w:top w:val="single" w:sz="4" w:space="0" w:color="auto"/>
              <w:left w:val="single" w:sz="4" w:space="0" w:color="auto"/>
              <w:bottom w:val="single" w:sz="4" w:space="0" w:color="auto"/>
              <w:right w:val="single" w:sz="4" w:space="0" w:color="auto"/>
            </w:tcBorders>
            <w:noWrap/>
            <w:hideMark/>
          </w:tcPr>
          <w:p w14:paraId="5BBB3ABB" w14:textId="77777777" w:rsidR="00292202" w:rsidRPr="005062D9" w:rsidRDefault="00292202" w:rsidP="002A7DFC">
            <w:r w:rsidRPr="005062D9">
              <w:t>1</w:t>
            </w:r>
          </w:p>
        </w:tc>
        <w:tc>
          <w:tcPr>
            <w:tcW w:w="659" w:type="dxa"/>
            <w:tcBorders>
              <w:top w:val="single" w:sz="4" w:space="0" w:color="auto"/>
              <w:left w:val="single" w:sz="4" w:space="0" w:color="auto"/>
              <w:bottom w:val="single" w:sz="4" w:space="0" w:color="auto"/>
              <w:right w:val="single" w:sz="4" w:space="0" w:color="auto"/>
            </w:tcBorders>
            <w:noWrap/>
            <w:hideMark/>
          </w:tcPr>
          <w:p w14:paraId="38C909AD" w14:textId="77777777" w:rsidR="00292202" w:rsidRPr="005062D9" w:rsidRDefault="00292202" w:rsidP="002A7DFC">
            <w:r w:rsidRPr="005062D9">
              <w:t>4</w:t>
            </w:r>
          </w:p>
        </w:tc>
        <w:tc>
          <w:tcPr>
            <w:tcW w:w="659" w:type="dxa"/>
            <w:tcBorders>
              <w:top w:val="single" w:sz="4" w:space="0" w:color="auto"/>
              <w:left w:val="single" w:sz="4" w:space="0" w:color="auto"/>
              <w:bottom w:val="single" w:sz="4" w:space="0" w:color="auto"/>
              <w:right w:val="single" w:sz="4" w:space="0" w:color="auto"/>
            </w:tcBorders>
            <w:noWrap/>
            <w:hideMark/>
          </w:tcPr>
          <w:p w14:paraId="1385015A" w14:textId="77777777" w:rsidR="00292202" w:rsidRPr="005062D9" w:rsidRDefault="00292202" w:rsidP="002A7DFC">
            <w:r w:rsidRPr="005062D9">
              <w:t>3</w:t>
            </w:r>
          </w:p>
        </w:tc>
        <w:tc>
          <w:tcPr>
            <w:tcW w:w="659" w:type="dxa"/>
            <w:tcBorders>
              <w:top w:val="single" w:sz="4" w:space="0" w:color="auto"/>
              <w:left w:val="single" w:sz="4" w:space="0" w:color="auto"/>
              <w:bottom w:val="single" w:sz="4" w:space="0" w:color="auto"/>
              <w:right w:val="single" w:sz="4" w:space="0" w:color="auto"/>
            </w:tcBorders>
            <w:noWrap/>
            <w:hideMark/>
          </w:tcPr>
          <w:p w14:paraId="70918274" w14:textId="77777777" w:rsidR="00292202" w:rsidRPr="005062D9" w:rsidRDefault="00292202" w:rsidP="002A7DFC">
            <w:r w:rsidRPr="005062D9">
              <w:t>5</w:t>
            </w:r>
          </w:p>
        </w:tc>
        <w:tc>
          <w:tcPr>
            <w:tcW w:w="659" w:type="dxa"/>
            <w:tcBorders>
              <w:top w:val="single" w:sz="4" w:space="0" w:color="auto"/>
              <w:left w:val="single" w:sz="4" w:space="0" w:color="auto"/>
              <w:bottom w:val="single" w:sz="4" w:space="0" w:color="auto"/>
              <w:right w:val="single" w:sz="4" w:space="0" w:color="auto"/>
            </w:tcBorders>
            <w:noWrap/>
            <w:hideMark/>
          </w:tcPr>
          <w:p w14:paraId="19469527" w14:textId="77777777" w:rsidR="00292202" w:rsidRPr="005062D9" w:rsidRDefault="00292202" w:rsidP="002A7DFC">
            <w:r w:rsidRPr="005062D9">
              <w:t>12</w:t>
            </w:r>
          </w:p>
        </w:tc>
        <w:tc>
          <w:tcPr>
            <w:tcW w:w="659" w:type="dxa"/>
            <w:tcBorders>
              <w:top w:val="single" w:sz="4" w:space="0" w:color="auto"/>
              <w:left w:val="single" w:sz="4" w:space="0" w:color="auto"/>
              <w:bottom w:val="single" w:sz="4" w:space="0" w:color="auto"/>
              <w:right w:val="single" w:sz="4" w:space="0" w:color="auto"/>
            </w:tcBorders>
            <w:noWrap/>
            <w:hideMark/>
          </w:tcPr>
          <w:p w14:paraId="43D4BA22" w14:textId="77777777" w:rsidR="00292202" w:rsidRPr="005062D9" w:rsidRDefault="00292202" w:rsidP="002A7DFC">
            <w:r w:rsidRPr="005062D9">
              <w:t>34</w:t>
            </w:r>
          </w:p>
        </w:tc>
        <w:tc>
          <w:tcPr>
            <w:tcW w:w="549" w:type="dxa"/>
            <w:tcBorders>
              <w:top w:val="single" w:sz="4" w:space="0" w:color="auto"/>
              <w:left w:val="single" w:sz="4" w:space="0" w:color="auto"/>
              <w:bottom w:val="single" w:sz="4" w:space="0" w:color="auto"/>
              <w:right w:val="single" w:sz="4" w:space="0" w:color="auto"/>
            </w:tcBorders>
            <w:noWrap/>
            <w:hideMark/>
          </w:tcPr>
          <w:p w14:paraId="52F57055" w14:textId="77777777" w:rsidR="00292202" w:rsidRPr="005062D9" w:rsidRDefault="00292202" w:rsidP="002A7DFC">
            <w:r w:rsidRPr="005062D9">
              <w:t>45</w:t>
            </w:r>
          </w:p>
        </w:tc>
        <w:tc>
          <w:tcPr>
            <w:tcW w:w="1224" w:type="dxa"/>
            <w:tcBorders>
              <w:top w:val="single" w:sz="4" w:space="0" w:color="auto"/>
              <w:left w:val="single" w:sz="4" w:space="0" w:color="auto"/>
              <w:bottom w:val="single" w:sz="4" w:space="0" w:color="auto"/>
              <w:right w:val="single" w:sz="4" w:space="0" w:color="auto"/>
            </w:tcBorders>
            <w:noWrap/>
            <w:hideMark/>
          </w:tcPr>
          <w:p w14:paraId="2CE35FBF" w14:textId="77777777" w:rsidR="00292202" w:rsidRPr="005062D9" w:rsidRDefault="00292202" w:rsidP="002A7DFC">
            <w:r w:rsidRPr="005062D9">
              <w:t>121</w:t>
            </w:r>
          </w:p>
        </w:tc>
      </w:tr>
      <w:tr w:rsidR="00292202" w:rsidRPr="005062D9" w14:paraId="7D01630D" w14:textId="77777777" w:rsidTr="002A7DFC">
        <w:trPr>
          <w:trHeight w:val="288"/>
        </w:trPr>
        <w:tc>
          <w:tcPr>
            <w:tcW w:w="1976" w:type="dxa"/>
            <w:tcBorders>
              <w:top w:val="single" w:sz="4" w:space="0" w:color="auto"/>
              <w:left w:val="single" w:sz="4" w:space="0" w:color="auto"/>
              <w:bottom w:val="single" w:sz="4" w:space="0" w:color="auto"/>
              <w:right w:val="single" w:sz="4" w:space="0" w:color="auto"/>
            </w:tcBorders>
            <w:noWrap/>
            <w:hideMark/>
          </w:tcPr>
          <w:p w14:paraId="1AA312D4" w14:textId="77777777" w:rsidR="00292202" w:rsidRPr="005062D9" w:rsidRDefault="00292202" w:rsidP="002A7DFC">
            <w:r w:rsidRPr="005062D9">
              <w:t>Choral blend/sound unity</w:t>
            </w:r>
          </w:p>
        </w:tc>
        <w:tc>
          <w:tcPr>
            <w:tcW w:w="659" w:type="dxa"/>
            <w:tcBorders>
              <w:top w:val="single" w:sz="4" w:space="0" w:color="auto"/>
              <w:left w:val="single" w:sz="4" w:space="0" w:color="auto"/>
              <w:bottom w:val="single" w:sz="4" w:space="0" w:color="auto"/>
              <w:right w:val="single" w:sz="4" w:space="0" w:color="auto"/>
            </w:tcBorders>
            <w:noWrap/>
            <w:hideMark/>
          </w:tcPr>
          <w:p w14:paraId="7D1600EA" w14:textId="77777777" w:rsidR="00292202" w:rsidRPr="005062D9" w:rsidRDefault="00292202" w:rsidP="002A7DFC">
            <w:r w:rsidRPr="005062D9">
              <w:t>2</w:t>
            </w:r>
          </w:p>
        </w:tc>
        <w:tc>
          <w:tcPr>
            <w:tcW w:w="659" w:type="dxa"/>
            <w:tcBorders>
              <w:top w:val="single" w:sz="4" w:space="0" w:color="auto"/>
              <w:left w:val="single" w:sz="4" w:space="0" w:color="auto"/>
              <w:bottom w:val="single" w:sz="4" w:space="0" w:color="auto"/>
              <w:right w:val="single" w:sz="4" w:space="0" w:color="auto"/>
            </w:tcBorders>
            <w:noWrap/>
            <w:hideMark/>
          </w:tcPr>
          <w:p w14:paraId="502E1029" w14:textId="77777777" w:rsidR="00292202" w:rsidRPr="005062D9" w:rsidRDefault="00292202" w:rsidP="002A7DFC">
            <w:r w:rsidRPr="005062D9">
              <w:t>0</w:t>
            </w:r>
          </w:p>
        </w:tc>
        <w:tc>
          <w:tcPr>
            <w:tcW w:w="659" w:type="dxa"/>
            <w:tcBorders>
              <w:top w:val="single" w:sz="4" w:space="0" w:color="auto"/>
              <w:left w:val="single" w:sz="4" w:space="0" w:color="auto"/>
              <w:bottom w:val="single" w:sz="4" w:space="0" w:color="auto"/>
              <w:right w:val="single" w:sz="4" w:space="0" w:color="auto"/>
            </w:tcBorders>
            <w:noWrap/>
            <w:hideMark/>
          </w:tcPr>
          <w:p w14:paraId="122ED82D" w14:textId="77777777" w:rsidR="00292202" w:rsidRPr="005062D9" w:rsidRDefault="00292202" w:rsidP="002A7DFC">
            <w:r w:rsidRPr="005062D9">
              <w:t>2</w:t>
            </w:r>
          </w:p>
        </w:tc>
        <w:tc>
          <w:tcPr>
            <w:tcW w:w="659" w:type="dxa"/>
            <w:tcBorders>
              <w:top w:val="single" w:sz="4" w:space="0" w:color="auto"/>
              <w:left w:val="single" w:sz="4" w:space="0" w:color="auto"/>
              <w:bottom w:val="single" w:sz="4" w:space="0" w:color="auto"/>
              <w:right w:val="single" w:sz="4" w:space="0" w:color="auto"/>
            </w:tcBorders>
            <w:noWrap/>
            <w:hideMark/>
          </w:tcPr>
          <w:p w14:paraId="2A2803AD" w14:textId="77777777" w:rsidR="00292202" w:rsidRPr="005062D9" w:rsidRDefault="00292202" w:rsidP="002A7DFC">
            <w:r w:rsidRPr="005062D9">
              <w:t>0</w:t>
            </w:r>
          </w:p>
        </w:tc>
        <w:tc>
          <w:tcPr>
            <w:tcW w:w="659" w:type="dxa"/>
            <w:tcBorders>
              <w:top w:val="single" w:sz="4" w:space="0" w:color="auto"/>
              <w:left w:val="single" w:sz="4" w:space="0" w:color="auto"/>
              <w:bottom w:val="single" w:sz="4" w:space="0" w:color="auto"/>
              <w:right w:val="single" w:sz="4" w:space="0" w:color="auto"/>
            </w:tcBorders>
            <w:noWrap/>
            <w:hideMark/>
          </w:tcPr>
          <w:p w14:paraId="5C21C8B5" w14:textId="77777777" w:rsidR="00292202" w:rsidRPr="005062D9" w:rsidRDefault="00292202" w:rsidP="002A7DFC">
            <w:r w:rsidRPr="005062D9">
              <w:t>9</w:t>
            </w:r>
          </w:p>
        </w:tc>
        <w:tc>
          <w:tcPr>
            <w:tcW w:w="659" w:type="dxa"/>
            <w:tcBorders>
              <w:top w:val="single" w:sz="4" w:space="0" w:color="auto"/>
              <w:left w:val="single" w:sz="4" w:space="0" w:color="auto"/>
              <w:bottom w:val="single" w:sz="4" w:space="0" w:color="auto"/>
              <w:right w:val="single" w:sz="4" w:space="0" w:color="auto"/>
            </w:tcBorders>
            <w:noWrap/>
            <w:hideMark/>
          </w:tcPr>
          <w:p w14:paraId="171D9ED3" w14:textId="77777777" w:rsidR="00292202" w:rsidRPr="005062D9" w:rsidRDefault="00292202" w:rsidP="002A7DFC">
            <w:r w:rsidRPr="005062D9">
              <w:t>5</w:t>
            </w:r>
          </w:p>
        </w:tc>
        <w:tc>
          <w:tcPr>
            <w:tcW w:w="659" w:type="dxa"/>
            <w:tcBorders>
              <w:top w:val="single" w:sz="4" w:space="0" w:color="auto"/>
              <w:left w:val="single" w:sz="4" w:space="0" w:color="auto"/>
              <w:bottom w:val="single" w:sz="4" w:space="0" w:color="auto"/>
              <w:right w:val="single" w:sz="4" w:space="0" w:color="auto"/>
            </w:tcBorders>
            <w:noWrap/>
            <w:hideMark/>
          </w:tcPr>
          <w:p w14:paraId="6662BAAC" w14:textId="77777777" w:rsidR="00292202" w:rsidRPr="005062D9" w:rsidRDefault="00292202" w:rsidP="002A7DFC">
            <w:r w:rsidRPr="005062D9">
              <w:t>22</w:t>
            </w:r>
          </w:p>
        </w:tc>
        <w:tc>
          <w:tcPr>
            <w:tcW w:w="659" w:type="dxa"/>
            <w:tcBorders>
              <w:top w:val="single" w:sz="4" w:space="0" w:color="auto"/>
              <w:left w:val="single" w:sz="4" w:space="0" w:color="auto"/>
              <w:bottom w:val="single" w:sz="4" w:space="0" w:color="auto"/>
              <w:right w:val="single" w:sz="4" w:space="0" w:color="auto"/>
            </w:tcBorders>
            <w:noWrap/>
            <w:hideMark/>
          </w:tcPr>
          <w:p w14:paraId="74A05743" w14:textId="77777777" w:rsidR="00292202" w:rsidRPr="005062D9" w:rsidRDefault="00292202" w:rsidP="002A7DFC">
            <w:r w:rsidRPr="005062D9">
              <w:t>44</w:t>
            </w:r>
          </w:p>
        </w:tc>
        <w:tc>
          <w:tcPr>
            <w:tcW w:w="549" w:type="dxa"/>
            <w:tcBorders>
              <w:top w:val="single" w:sz="4" w:space="0" w:color="auto"/>
              <w:left w:val="single" w:sz="4" w:space="0" w:color="auto"/>
              <w:bottom w:val="single" w:sz="4" w:space="0" w:color="auto"/>
              <w:right w:val="single" w:sz="4" w:space="0" w:color="auto"/>
            </w:tcBorders>
            <w:noWrap/>
            <w:hideMark/>
          </w:tcPr>
          <w:p w14:paraId="46408C11" w14:textId="77777777" w:rsidR="00292202" w:rsidRPr="005062D9" w:rsidRDefault="00292202" w:rsidP="002A7DFC">
            <w:r w:rsidRPr="005062D9">
              <w:t>40</w:t>
            </w:r>
          </w:p>
        </w:tc>
        <w:tc>
          <w:tcPr>
            <w:tcW w:w="1224" w:type="dxa"/>
            <w:tcBorders>
              <w:top w:val="single" w:sz="4" w:space="0" w:color="auto"/>
              <w:left w:val="single" w:sz="4" w:space="0" w:color="auto"/>
              <w:bottom w:val="single" w:sz="4" w:space="0" w:color="auto"/>
              <w:right w:val="single" w:sz="4" w:space="0" w:color="auto"/>
            </w:tcBorders>
            <w:noWrap/>
            <w:hideMark/>
          </w:tcPr>
          <w:p w14:paraId="354A4337" w14:textId="77777777" w:rsidR="00292202" w:rsidRPr="005062D9" w:rsidRDefault="00292202" w:rsidP="002A7DFC">
            <w:r w:rsidRPr="005062D9">
              <w:t>105</w:t>
            </w:r>
          </w:p>
        </w:tc>
      </w:tr>
      <w:tr w:rsidR="00292202" w:rsidRPr="005062D9" w14:paraId="4FC91308" w14:textId="77777777" w:rsidTr="002A7DFC">
        <w:trPr>
          <w:trHeight w:val="288"/>
        </w:trPr>
        <w:tc>
          <w:tcPr>
            <w:tcW w:w="1976" w:type="dxa"/>
            <w:tcBorders>
              <w:top w:val="single" w:sz="4" w:space="0" w:color="auto"/>
              <w:left w:val="single" w:sz="4" w:space="0" w:color="auto"/>
              <w:bottom w:val="single" w:sz="4" w:space="0" w:color="auto"/>
              <w:right w:val="single" w:sz="4" w:space="0" w:color="auto"/>
            </w:tcBorders>
            <w:noWrap/>
            <w:hideMark/>
          </w:tcPr>
          <w:p w14:paraId="3941F444" w14:textId="77777777" w:rsidR="00292202" w:rsidRPr="005062D9" w:rsidRDefault="00292202" w:rsidP="002A7DFC">
            <w:r w:rsidRPr="005062D9">
              <w:t>Overall quality of choral sound</w:t>
            </w:r>
          </w:p>
        </w:tc>
        <w:tc>
          <w:tcPr>
            <w:tcW w:w="659" w:type="dxa"/>
            <w:tcBorders>
              <w:top w:val="single" w:sz="4" w:space="0" w:color="auto"/>
              <w:left w:val="single" w:sz="4" w:space="0" w:color="auto"/>
              <w:bottom w:val="single" w:sz="4" w:space="0" w:color="auto"/>
              <w:right w:val="single" w:sz="4" w:space="0" w:color="auto"/>
            </w:tcBorders>
            <w:noWrap/>
            <w:hideMark/>
          </w:tcPr>
          <w:p w14:paraId="3244A900" w14:textId="77777777" w:rsidR="00292202" w:rsidRPr="005062D9" w:rsidRDefault="00292202" w:rsidP="002A7DFC">
            <w:r w:rsidRPr="005062D9">
              <w:t>2</w:t>
            </w:r>
          </w:p>
        </w:tc>
        <w:tc>
          <w:tcPr>
            <w:tcW w:w="659" w:type="dxa"/>
            <w:tcBorders>
              <w:top w:val="single" w:sz="4" w:space="0" w:color="auto"/>
              <w:left w:val="single" w:sz="4" w:space="0" w:color="auto"/>
              <w:bottom w:val="single" w:sz="4" w:space="0" w:color="auto"/>
              <w:right w:val="single" w:sz="4" w:space="0" w:color="auto"/>
            </w:tcBorders>
            <w:noWrap/>
            <w:hideMark/>
          </w:tcPr>
          <w:p w14:paraId="0F1425BE" w14:textId="77777777" w:rsidR="00292202" w:rsidRPr="005062D9" w:rsidRDefault="00292202" w:rsidP="002A7DFC">
            <w:r w:rsidRPr="005062D9">
              <w:t>1</w:t>
            </w:r>
          </w:p>
        </w:tc>
        <w:tc>
          <w:tcPr>
            <w:tcW w:w="659" w:type="dxa"/>
            <w:tcBorders>
              <w:top w:val="single" w:sz="4" w:space="0" w:color="auto"/>
              <w:left w:val="single" w:sz="4" w:space="0" w:color="auto"/>
              <w:bottom w:val="single" w:sz="4" w:space="0" w:color="auto"/>
              <w:right w:val="single" w:sz="4" w:space="0" w:color="auto"/>
            </w:tcBorders>
            <w:noWrap/>
            <w:hideMark/>
          </w:tcPr>
          <w:p w14:paraId="12F89B1B" w14:textId="77777777" w:rsidR="00292202" w:rsidRPr="005062D9" w:rsidRDefault="00292202" w:rsidP="002A7DFC">
            <w:r w:rsidRPr="005062D9">
              <w:t>0</w:t>
            </w:r>
          </w:p>
        </w:tc>
        <w:tc>
          <w:tcPr>
            <w:tcW w:w="659" w:type="dxa"/>
            <w:tcBorders>
              <w:top w:val="single" w:sz="4" w:space="0" w:color="auto"/>
              <w:left w:val="single" w:sz="4" w:space="0" w:color="auto"/>
              <w:bottom w:val="single" w:sz="4" w:space="0" w:color="auto"/>
              <w:right w:val="single" w:sz="4" w:space="0" w:color="auto"/>
            </w:tcBorders>
            <w:noWrap/>
            <w:hideMark/>
          </w:tcPr>
          <w:p w14:paraId="66630D4F" w14:textId="77777777" w:rsidR="00292202" w:rsidRPr="005062D9" w:rsidRDefault="00292202" w:rsidP="002A7DFC">
            <w:r w:rsidRPr="005062D9">
              <w:t>0</w:t>
            </w:r>
          </w:p>
        </w:tc>
        <w:tc>
          <w:tcPr>
            <w:tcW w:w="659" w:type="dxa"/>
            <w:tcBorders>
              <w:top w:val="single" w:sz="4" w:space="0" w:color="auto"/>
              <w:left w:val="single" w:sz="4" w:space="0" w:color="auto"/>
              <w:bottom w:val="single" w:sz="4" w:space="0" w:color="auto"/>
              <w:right w:val="single" w:sz="4" w:space="0" w:color="auto"/>
            </w:tcBorders>
            <w:noWrap/>
            <w:hideMark/>
          </w:tcPr>
          <w:p w14:paraId="010279E0" w14:textId="77777777" w:rsidR="00292202" w:rsidRPr="005062D9" w:rsidRDefault="00292202" w:rsidP="002A7DFC">
            <w:r w:rsidRPr="005062D9">
              <w:t>2</w:t>
            </w:r>
          </w:p>
        </w:tc>
        <w:tc>
          <w:tcPr>
            <w:tcW w:w="659" w:type="dxa"/>
            <w:tcBorders>
              <w:top w:val="single" w:sz="4" w:space="0" w:color="auto"/>
              <w:left w:val="single" w:sz="4" w:space="0" w:color="auto"/>
              <w:bottom w:val="single" w:sz="4" w:space="0" w:color="auto"/>
              <w:right w:val="single" w:sz="4" w:space="0" w:color="auto"/>
            </w:tcBorders>
            <w:noWrap/>
            <w:hideMark/>
          </w:tcPr>
          <w:p w14:paraId="570A489C" w14:textId="77777777" w:rsidR="00292202" w:rsidRPr="005062D9" w:rsidRDefault="00292202" w:rsidP="002A7DFC">
            <w:r w:rsidRPr="005062D9">
              <w:t>4</w:t>
            </w:r>
          </w:p>
        </w:tc>
        <w:tc>
          <w:tcPr>
            <w:tcW w:w="659" w:type="dxa"/>
            <w:tcBorders>
              <w:top w:val="single" w:sz="4" w:space="0" w:color="auto"/>
              <w:left w:val="single" w:sz="4" w:space="0" w:color="auto"/>
              <w:bottom w:val="single" w:sz="4" w:space="0" w:color="auto"/>
              <w:right w:val="single" w:sz="4" w:space="0" w:color="auto"/>
            </w:tcBorders>
            <w:noWrap/>
            <w:hideMark/>
          </w:tcPr>
          <w:p w14:paraId="40907864" w14:textId="77777777" w:rsidR="00292202" w:rsidRPr="005062D9" w:rsidRDefault="00292202" w:rsidP="002A7DFC">
            <w:r w:rsidRPr="005062D9">
              <w:t>18</w:t>
            </w:r>
          </w:p>
        </w:tc>
        <w:tc>
          <w:tcPr>
            <w:tcW w:w="659" w:type="dxa"/>
            <w:tcBorders>
              <w:top w:val="single" w:sz="4" w:space="0" w:color="auto"/>
              <w:left w:val="single" w:sz="4" w:space="0" w:color="auto"/>
              <w:bottom w:val="single" w:sz="4" w:space="0" w:color="auto"/>
              <w:right w:val="single" w:sz="4" w:space="0" w:color="auto"/>
            </w:tcBorders>
            <w:noWrap/>
            <w:hideMark/>
          </w:tcPr>
          <w:p w14:paraId="016772F7" w14:textId="77777777" w:rsidR="00292202" w:rsidRPr="005062D9" w:rsidRDefault="00292202" w:rsidP="002A7DFC">
            <w:r w:rsidRPr="005062D9">
              <w:t>45</w:t>
            </w:r>
          </w:p>
        </w:tc>
        <w:tc>
          <w:tcPr>
            <w:tcW w:w="549" w:type="dxa"/>
            <w:tcBorders>
              <w:top w:val="single" w:sz="4" w:space="0" w:color="auto"/>
              <w:left w:val="single" w:sz="4" w:space="0" w:color="auto"/>
              <w:bottom w:val="single" w:sz="4" w:space="0" w:color="auto"/>
              <w:right w:val="single" w:sz="4" w:space="0" w:color="auto"/>
            </w:tcBorders>
            <w:noWrap/>
            <w:hideMark/>
          </w:tcPr>
          <w:p w14:paraId="78B23103" w14:textId="77777777" w:rsidR="00292202" w:rsidRPr="005062D9" w:rsidRDefault="00292202" w:rsidP="002A7DFC">
            <w:r w:rsidRPr="005062D9">
              <w:t>34</w:t>
            </w:r>
          </w:p>
        </w:tc>
        <w:tc>
          <w:tcPr>
            <w:tcW w:w="1224" w:type="dxa"/>
            <w:tcBorders>
              <w:top w:val="single" w:sz="4" w:space="0" w:color="auto"/>
              <w:left w:val="single" w:sz="4" w:space="0" w:color="auto"/>
              <w:bottom w:val="single" w:sz="4" w:space="0" w:color="auto"/>
              <w:right w:val="single" w:sz="4" w:space="0" w:color="auto"/>
            </w:tcBorders>
            <w:noWrap/>
            <w:hideMark/>
          </w:tcPr>
          <w:p w14:paraId="670F44A3" w14:textId="77777777" w:rsidR="00292202" w:rsidRPr="005062D9" w:rsidRDefault="00292202" w:rsidP="002A7DFC">
            <w:pPr>
              <w:keepNext/>
            </w:pPr>
            <w:r w:rsidRPr="005062D9">
              <w:t>123</w:t>
            </w:r>
          </w:p>
        </w:tc>
      </w:tr>
    </w:tbl>
    <w:p w14:paraId="6FEBF05F" w14:textId="65C5B1C5" w:rsidR="00292202" w:rsidRPr="005062D9" w:rsidRDefault="00292202" w:rsidP="00292202">
      <w:pPr>
        <w:pStyle w:val="Caption"/>
      </w:pPr>
      <w:bookmarkStart w:id="6" w:name="_Toc83645605"/>
      <w:r w:rsidRPr="005062D9">
        <w:t xml:space="preserve">Figure </w:t>
      </w:r>
      <w:fldSimple w:instr=" SEQ Figure \* ARABIC ">
        <w:r w:rsidR="007A0B89">
          <w:rPr>
            <w:noProof/>
          </w:rPr>
          <w:t>1</w:t>
        </w:r>
      </w:fldSimple>
      <w:r w:rsidRPr="005062D9">
        <w:t xml:space="preserve"> - Table of analysis of responses to Likert scale items in conductor survey</w:t>
      </w:r>
      <w:bookmarkEnd w:id="6"/>
    </w:p>
    <w:p w14:paraId="49715DE1" w14:textId="77777777" w:rsidR="00292202" w:rsidRPr="005062D9" w:rsidRDefault="00292202" w:rsidP="00292202">
      <w:pPr>
        <w:spacing w:after="240" w:line="480" w:lineRule="auto"/>
        <w:rPr>
          <w:rFonts w:ascii="Calibri" w:eastAsia="Calibri" w:hAnsi="Calibri" w:cs="Times New Roman"/>
          <w:b/>
          <w:bCs/>
          <w:sz w:val="24"/>
          <w:szCs w:val="24"/>
        </w:rPr>
      </w:pPr>
    </w:p>
    <w:p w14:paraId="1D2B53D6"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Percentages of those rating any rehearsal elements as 8,9, or 10 were then calculated as follows: </w:t>
      </w:r>
    </w:p>
    <w:p w14:paraId="223BFD14" w14:textId="77777777" w:rsidR="00292202" w:rsidRPr="005062D9" w:rsidRDefault="00292202" w:rsidP="00292202">
      <w:pPr>
        <w:keepNext/>
        <w:spacing w:after="240" w:line="480" w:lineRule="auto"/>
        <w:jc w:val="center"/>
      </w:pPr>
      <w:r w:rsidRPr="005062D9">
        <w:rPr>
          <w:rFonts w:ascii="Calibri" w:eastAsia="Calibri" w:hAnsi="Calibri" w:cs="Times New Roman"/>
          <w:noProof/>
          <w:sz w:val="24"/>
          <w:szCs w:val="24"/>
        </w:rPr>
        <w:drawing>
          <wp:inline distT="0" distB="0" distL="0" distR="0" wp14:anchorId="42FB0704" wp14:editId="3348FE4B">
            <wp:extent cx="5364480" cy="3215640"/>
            <wp:effectExtent l="0" t="0" r="7620" b="3810"/>
            <wp:docPr id="18"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b="6850"/>
                    <a:stretch>
                      <a:fillRect/>
                    </a:stretch>
                  </pic:blipFill>
                  <pic:spPr bwMode="auto">
                    <a:xfrm>
                      <a:off x="0" y="0"/>
                      <a:ext cx="5364480" cy="3215640"/>
                    </a:xfrm>
                    <a:prstGeom prst="rect">
                      <a:avLst/>
                    </a:prstGeom>
                    <a:noFill/>
                    <a:ln>
                      <a:noFill/>
                    </a:ln>
                  </pic:spPr>
                </pic:pic>
              </a:graphicData>
            </a:graphic>
          </wp:inline>
        </w:drawing>
      </w:r>
    </w:p>
    <w:p w14:paraId="7268B4EA" w14:textId="249FB13C" w:rsidR="00292202" w:rsidRPr="005062D9" w:rsidRDefault="00292202" w:rsidP="00292202">
      <w:pPr>
        <w:pStyle w:val="Caption"/>
        <w:rPr>
          <w:rFonts w:ascii="Calibri" w:eastAsia="Calibri" w:hAnsi="Calibri" w:cs="Times New Roman"/>
          <w:sz w:val="24"/>
          <w:szCs w:val="24"/>
        </w:rPr>
      </w:pPr>
      <w:bookmarkStart w:id="7" w:name="_Toc83645606"/>
      <w:r w:rsidRPr="005062D9">
        <w:t xml:space="preserve">Figure </w:t>
      </w:r>
      <w:fldSimple w:instr=" SEQ Figure \* ARABIC ">
        <w:r w:rsidR="007A0B89">
          <w:rPr>
            <w:noProof/>
          </w:rPr>
          <w:t>2</w:t>
        </w:r>
      </w:fldSimple>
      <w:r w:rsidRPr="005062D9">
        <w:t xml:space="preserve"> - Percentages of participants rating rehearsal aspects as important in conductor survey</w:t>
      </w:r>
      <w:bookmarkEnd w:id="7"/>
    </w:p>
    <w:p w14:paraId="35F16E3E" w14:textId="77777777" w:rsidR="00292202" w:rsidRPr="005062D9" w:rsidRDefault="00292202" w:rsidP="00292202">
      <w:pPr>
        <w:spacing w:after="240" w:line="480" w:lineRule="auto"/>
        <w:rPr>
          <w:rFonts w:ascii="Calibri" w:eastAsia="Calibri" w:hAnsi="Calibri" w:cs="Times New Roman"/>
          <w:sz w:val="24"/>
          <w:szCs w:val="24"/>
        </w:rPr>
      </w:pPr>
    </w:p>
    <w:p w14:paraId="0A1F1678"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As shown in the table above, the percentage of participants rating the teaching of vocal skills as important was just 56%, which is significantly lower than any other rehearsal aspect. This was particularly surprising due to the survey’s explicit focus on choral-vocal pedagogy. The opening page of the survey contained participant information which stated: “This project aims to establish current attitudes towards the teaching of vocal skills to singers during rehearsals” [Conductor Survey, p.1], emphasising that this question was fundamental to the project’s approach. It was therefore surprising that conductors who chose to engage with this survey after reading the participant information sheet indicated that vocal teaching was not a priority in their practice. These results therefore prompted deep reflection on whether the research’s aim and research questions were appropriate. </w:t>
      </w:r>
    </w:p>
    <w:p w14:paraId="65ADBA2E" w14:textId="77777777" w:rsidR="00292202" w:rsidRPr="005062D9" w:rsidRDefault="00292202" w:rsidP="00292202">
      <w:pPr>
        <w:spacing w:after="240" w:line="480" w:lineRule="auto"/>
        <w:rPr>
          <w:rFonts w:ascii="Calibri" w:eastAsia="Calibri" w:hAnsi="Calibri" w:cs="Times New Roman"/>
          <w:sz w:val="24"/>
          <w:szCs w:val="24"/>
        </w:rPr>
      </w:pPr>
    </w:p>
    <w:p w14:paraId="54CC6694"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This pragmatic reflection led to a realisation that the review of the choral conducting literature (Chapter 2) had not resulted in the formation of a suitable theoretical framework for the research. Consequently, this had led to initial data gathering in an area </w:t>
      </w:r>
      <w:r>
        <w:rPr>
          <w:rFonts w:ascii="Calibri" w:eastAsia="Calibri" w:hAnsi="Calibri" w:cs="Times New Roman"/>
          <w:sz w:val="24"/>
          <w:szCs w:val="24"/>
        </w:rPr>
        <w:t>that</w:t>
      </w:r>
      <w:r w:rsidRPr="005062D9">
        <w:rPr>
          <w:rFonts w:ascii="Calibri" w:eastAsia="Calibri" w:hAnsi="Calibri" w:cs="Times New Roman"/>
          <w:sz w:val="24"/>
          <w:szCs w:val="24"/>
        </w:rPr>
        <w:t xml:space="preserve"> did not respond well to the problem identified originally, that is the perception that conductors’ treatment of singers’ voices appeared to vary widely in terms of efficacy and safety. </w:t>
      </w:r>
    </w:p>
    <w:p w14:paraId="40881CDF" w14:textId="77777777" w:rsidR="00292202" w:rsidRPr="005062D9" w:rsidRDefault="00292202" w:rsidP="00292202">
      <w:pPr>
        <w:spacing w:after="240" w:line="480" w:lineRule="auto"/>
        <w:rPr>
          <w:rFonts w:ascii="Calibri" w:eastAsia="Calibri" w:hAnsi="Calibri" w:cs="Times New Roman"/>
          <w:sz w:val="24"/>
          <w:szCs w:val="24"/>
        </w:rPr>
      </w:pPr>
    </w:p>
    <w:p w14:paraId="40C88070"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It was therefore necessary to return to the literature and problematize the choral conductor’s role to develop a more appropriate theoretical framework and set of research questions (Chapter 3). Consequently, data gathering in this area was halted and further analysis of the data relating to vocal warm-ups and teaching exercises is not used in this thesis. </w:t>
      </w:r>
    </w:p>
    <w:p w14:paraId="66F411F7" w14:textId="77777777" w:rsidR="00292202" w:rsidRPr="005062D9" w:rsidRDefault="00292202" w:rsidP="00292202">
      <w:pPr>
        <w:spacing w:after="240" w:line="480" w:lineRule="auto"/>
        <w:rPr>
          <w:rFonts w:ascii="Calibri" w:eastAsia="Calibri" w:hAnsi="Calibri" w:cs="Times New Roman"/>
          <w:i/>
          <w:iCs/>
          <w:sz w:val="24"/>
          <w:szCs w:val="24"/>
        </w:rPr>
      </w:pPr>
    </w:p>
    <w:p w14:paraId="3C62234C" w14:textId="77777777" w:rsidR="00292202" w:rsidRPr="005062D9" w:rsidRDefault="00292202" w:rsidP="00292202">
      <w:pPr>
        <w:keepNext/>
        <w:keepLines/>
        <w:spacing w:before="240" w:after="240" w:line="480" w:lineRule="auto"/>
        <w:outlineLvl w:val="0"/>
        <w:rPr>
          <w:rFonts w:ascii="Calibri" w:eastAsia="Times New Roman" w:hAnsi="Calibri" w:cs="Times New Roman"/>
          <w:b/>
          <w:sz w:val="36"/>
          <w:szCs w:val="36"/>
        </w:rPr>
      </w:pPr>
      <w:bookmarkStart w:id="8" w:name="_Toc57131279"/>
      <w:bookmarkStart w:id="9" w:name="_Toc83645721"/>
      <w:bookmarkStart w:id="10" w:name="_Hlk55568877"/>
      <w:r w:rsidRPr="005062D9">
        <w:rPr>
          <w:rFonts w:ascii="Calibri" w:eastAsia="Times New Roman" w:hAnsi="Calibri" w:cs="Times New Roman"/>
          <w:b/>
          <w:sz w:val="36"/>
          <w:szCs w:val="36"/>
        </w:rPr>
        <w:t>5.2 Change of direction</w:t>
      </w:r>
      <w:bookmarkEnd w:id="8"/>
      <w:bookmarkEnd w:id="9"/>
    </w:p>
    <w:p w14:paraId="1BF0EA09" w14:textId="77777777" w:rsidR="00292202" w:rsidRPr="005062D9" w:rsidRDefault="00292202" w:rsidP="00292202">
      <w:pPr>
        <w:spacing w:before="240"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Following this </w:t>
      </w:r>
      <w:r w:rsidRPr="002C6B9A">
        <w:rPr>
          <w:rFonts w:ascii="Calibri" w:eastAsia="Calibri" w:hAnsi="Calibri" w:cs="Times New Roman"/>
          <w:sz w:val="24"/>
          <w:szCs w:val="24"/>
        </w:rPr>
        <w:t xml:space="preserve">process, the focus of this project altered considerably. A problematization process was used to generate new research questions </w:t>
      </w:r>
      <w:r w:rsidRPr="002C6B9A">
        <w:rPr>
          <w:sz w:val="24"/>
          <w:szCs w:val="24"/>
        </w:rPr>
        <w:t>and to situate the research within a pragmatic paradigm</w:t>
      </w:r>
      <w:r w:rsidRPr="002C6B9A">
        <w:rPr>
          <w:rFonts w:ascii="Calibri" w:eastAsia="Calibri" w:hAnsi="Calibri" w:cs="Times New Roman"/>
          <w:sz w:val="24"/>
          <w:szCs w:val="24"/>
        </w:rPr>
        <w:t xml:space="preserve"> (Chapter</w:t>
      </w:r>
      <w:r w:rsidRPr="005062D9">
        <w:rPr>
          <w:rFonts w:ascii="Calibri" w:eastAsia="Calibri" w:hAnsi="Calibri" w:cs="Times New Roman"/>
          <w:sz w:val="24"/>
          <w:szCs w:val="24"/>
        </w:rPr>
        <w:t xml:space="preserve"> 3).</w:t>
      </w:r>
      <w:bookmarkStart w:id="11" w:name="_Hlk54261497"/>
      <w:r w:rsidRPr="005062D9">
        <w:rPr>
          <w:rFonts w:ascii="Calibri" w:eastAsia="Calibri" w:hAnsi="Calibri" w:cs="Times New Roman"/>
          <w:sz w:val="24"/>
          <w:szCs w:val="24"/>
        </w:rPr>
        <w:t xml:space="preserve"> In responding to these research questions, a pragmatic approach provides space for the researcher to draw from existing literature in the field, and from the practical experiences of the self and others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{"citationItems":[{"id":"ITEM-1","itemData":{"DOI":"10.3390/socsci8090255","ISSN":"20760760","abstract":"Debates around the issues of knowledge of, and for, social work and other social justice-oriented professions are not uncommon. More prevalent are the discussions around the ways by which social work knowledge is obtained. In recent years, social work scholars have drawn on the epistemology of pragmatism to present a case for its value in the creation of knowledge for social work and other social justice-oriented professions. The primary focus of this essay is on providing a critical review and synthesis of the literature regarding pragmatism as a research paradigm. In this essay, we analyze the major philosophical underpinnings and methodological challenges associated with pragmatism, synthesize the works of scholars who have contributed to the understanding of pragmatism as a research paradigm, articulate our thoughts about how pragmatism fits within social work research, and illustrate how it is linked to the pursuit of social justice. This article brings together a variety of perspectives to argue that pragmatism has the potential to closely engage and empower marginalized and oppressed communities and provide hard evidence for the macro level discourse.","author":[{"dropping-particle":"","family":"Kaushik","given":"Vibha","non-dropping-particle":"","parse-names":false,"suffix":""},{"dropping-particle":"","family":"Walsh","given":"Christine A.","non-dropping-particle":"","parse-names":false,"suffix":""}],"container-title":"Social Sciences","id":"ITEM-1","issue":"9","issued":{"date-parts":[["2019"]]},"title":"Pragmatism as a research paradigm and its implications for Social Work research","type":"article-journal","volume":"8"},"uris":["http://www.mendeley.com/documents/?uuid=4f342b5c-6aa8-42da-b4d3-b4421a2efea3"]}],"mendeley":{"formattedCitation":"(Kaushik &amp; Walsh, 2019)","plainTextFormattedCitation":"(Kaushik &amp; Walsh, 2019)","previouslyFormattedCitation":"(Kaushik &amp; Walsh, 2019)"},"properties":{"noteIndex":0},"schema":"https://github.com/citation-style-language/schema/raw/master/csl-citation.json"}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(Kaushik &amp; Walsh, 2019)</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The researcher should then use this to address a specific problem or to problematise observable practices. Therefore during this study my practical experience alongside both the conducting literature and leadership theory were drawn upon in shaping the research design. Due to the inevitably unique nature of personal practical experience and the fact that an interdisciplinary body of literature was drawn upon, it was judged to be unlikely that an “‘off-the-shelf’” methodology”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10.1002/capr.12360","author":[{"dropping-particle":"","family":"Braun","given":"Virginia","non-dropping-particle":"","parse-names":false,"suffix":""},{"dropping-particle":"","family":"Clarke","given":"Victoria","non-dropping-particle":"","parse-names":false,"suffix":""}],"container-title":"Counselling &amp; Psychotherapy Research.","id":"ITEM-1","issue":"August","issued":{"date-parts":[["2020"]]},"page":"1-11","title":"Can I use TA ? Should I use TA ? Should I not use TA ? Comparing reflexive thematic analysis and other pattern-based qualitative analytic approaches","type":"article-journal"},"uris":["http://www.mendeley.com/documents/?uuid=a2d4c3ac-00b4-4259-871f-bde30b9b6fc3"]}],"mendeley":{"formattedCitation":"(Virginia Braun &amp; Clarke, 2020a)","manualFormatting":"(Braun &amp; Clarke, 2020, p.2)","plainTextFormattedCitation":"(Virginia Braun &amp; Clarke, 2020a)","previouslyFormattedCitation":"(Virginia Braun &amp; Clarke, 2020a)"},"properties":{"noteIndex":0},"schema":"https://github.com/citation-style-language/schema/raw/master/csl-citation.json"}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&amp; Clarke, 2020, p.2)</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which comprises a rigidly pre-set bundle of theory, form of analysis, and research design would be appropriate. Rather, a bespoke research design comprising a complementary set of data gathering tools and analytical processes was required. The process of shaping this design thus stemmed from an initial consideration of the type of data necessary to respond to the stated research questions. </w:t>
      </w:r>
    </w:p>
    <w:p w14:paraId="044F236E" w14:textId="77777777" w:rsidR="00292202" w:rsidRPr="005062D9" w:rsidRDefault="00292202" w:rsidP="00292202">
      <w:pPr>
        <w:spacing w:before="240" w:after="240" w:line="480" w:lineRule="auto"/>
        <w:rPr>
          <w:rFonts w:ascii="Calibri" w:eastAsia="Calibri" w:hAnsi="Calibri" w:cs="Times New Roman"/>
          <w:sz w:val="24"/>
          <w:szCs w:val="24"/>
        </w:rPr>
      </w:pPr>
    </w:p>
    <w:p w14:paraId="6B0EE35D" w14:textId="77777777" w:rsidR="00292202" w:rsidRPr="005062D9" w:rsidRDefault="00292202" w:rsidP="00292202">
      <w:pPr>
        <w:keepNext/>
        <w:keepLines/>
        <w:spacing w:before="240" w:after="0" w:line="480" w:lineRule="auto"/>
        <w:outlineLvl w:val="0"/>
        <w:rPr>
          <w:rFonts w:ascii="Calibri" w:eastAsia="Times New Roman" w:hAnsi="Calibri" w:cs="Times New Roman"/>
          <w:b/>
          <w:sz w:val="36"/>
          <w:szCs w:val="36"/>
        </w:rPr>
      </w:pPr>
      <w:bookmarkStart w:id="12" w:name="_Toc57131280"/>
      <w:bookmarkStart w:id="13" w:name="_Toc83645722"/>
      <w:r w:rsidRPr="005062D9">
        <w:rPr>
          <w:rFonts w:ascii="Calibri" w:eastAsia="Times New Roman" w:hAnsi="Calibri" w:cs="Times New Roman"/>
          <w:b/>
          <w:sz w:val="36"/>
          <w:szCs w:val="36"/>
        </w:rPr>
        <w:lastRenderedPageBreak/>
        <w:t>5.3 Data Types - Rationale</w:t>
      </w:r>
      <w:bookmarkEnd w:id="12"/>
      <w:bookmarkEnd w:id="13"/>
      <w:r w:rsidRPr="005062D9">
        <w:rPr>
          <w:rFonts w:ascii="Calibri" w:eastAsia="Times New Roman" w:hAnsi="Calibri" w:cs="Times New Roman"/>
          <w:b/>
          <w:sz w:val="36"/>
          <w:szCs w:val="36"/>
        </w:rPr>
        <w:t xml:space="preserve"> </w:t>
      </w:r>
    </w:p>
    <w:bookmarkEnd w:id="10"/>
    <w:bookmarkEnd w:id="11"/>
    <w:p w14:paraId="35354DA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responding to the primary research question, </w:t>
      </w:r>
      <w:r w:rsidRPr="005062D9">
        <w:rPr>
          <w:rFonts w:ascii="Calibri" w:eastAsia="Calibri" w:hAnsi="Calibri" w:cs="Times New Roman"/>
          <w:b/>
          <w:bCs/>
          <w:sz w:val="24"/>
          <w:szCs w:val="24"/>
        </w:rPr>
        <w:t>What do singers expect of a UK-based choral leader, with particular reference to the voice-centred aspects of their role?</w:t>
      </w:r>
      <w:r w:rsidRPr="005062D9">
        <w:rPr>
          <w:rFonts w:ascii="Calibri" w:eastAsia="Calibri" w:hAnsi="Calibri" w:cs="Times New Roman"/>
          <w:sz w:val="24"/>
          <w:szCs w:val="24"/>
        </w:rPr>
        <w:t xml:space="preserve">, it was clearly necessary to collect data which first and foremost took account of the singers’ experience in a choral setting. The “impact </w:t>
      </w:r>
      <w:r>
        <w:rPr>
          <w:rFonts w:ascii="Calibri" w:eastAsia="Calibri" w:hAnsi="Calibri" w:cs="Times New Roman"/>
          <w:sz w:val="24"/>
          <w:szCs w:val="24"/>
        </w:rPr>
        <w:t>view</w:t>
      </w:r>
      <w:r w:rsidRPr="005062D9">
        <w:rPr>
          <w:rFonts w:ascii="Calibri" w:eastAsia="Calibri" w:hAnsi="Calibri" w:cs="Times New Roman"/>
          <w:sz w:val="24"/>
          <w:szCs w:val="24"/>
        </w:rPr>
        <w:t xml:space="preserve">” </w:t>
      </w:r>
      <w:r w:rsidRPr="005062D9">
        <w:rPr>
          <w:rFonts w:ascii="Calibri" w:eastAsia="Calibri" w:hAnsi="Calibri" w:cs="Times New Roman"/>
        </w:rPr>
        <w:fldChar w:fldCharType="begin" w:fldLock="1"/>
      </w:r>
      <w:r>
        <w:rPr>
          <w:rFonts w:ascii="Calibri" w:eastAsia="Calibri" w:hAnsi="Calibri" w:cs="Times New Roman"/>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p.866)","plainTextFormattedCitation":"(Jansson, 2019)","previouslyFormattedCitation":"(Jansson, 2019)"},"properties":{"noteIndex":0},"schema":"https://github.com/citation-style-language/schema/raw/master/csl-citation.json"}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(Jansson, 2019, p.</w:t>
      </w:r>
      <w:r>
        <w:rPr>
          <w:rFonts w:ascii="Calibri" w:eastAsia="Calibri" w:hAnsi="Calibri" w:cs="Times New Roman"/>
          <w:noProof/>
          <w:sz w:val="24"/>
          <w:szCs w:val="24"/>
        </w:rPr>
        <w:t>866</w:t>
      </w:r>
      <w:r w:rsidRPr="005062D9">
        <w:rPr>
          <w:rFonts w:ascii="Calibri" w:eastAsia="Calibri" w:hAnsi="Calibri" w:cs="Times New Roman"/>
          <w:noProof/>
          <w:sz w:val="24"/>
          <w:szCs w:val="24"/>
        </w:rPr>
        <w:t>)</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that is to say the effect of a conductor’s actions on singers, is an important yet often overlooked aspect of choral leadership research, with data more frequently gathered from choral leaders than their followers. This factor is responded to in the primary research question in that the focus is placed on singers’ expectations. Singers are an underrepresented group of stakeholders in choral research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2019)","plainTextFormattedCitation":"(Jansson, 2019)","previouslyFormattedCitation":"(Jansson, 2019)"},"properties":{"noteIndex":0},"schema":"https://github.com/citation-style-language/schema/raw/master/csl-citation.json"}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(Jansson, 2019)</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so it was appropriate to gather data directly from them. In addition to this, pragmatically speaking in order to produce positive change for singers, it is logical to collect data from singers during the study in order to understand their current experiences, both positive and negative, of choral leadership. </w:t>
      </w:r>
    </w:p>
    <w:p w14:paraId="58F1355E" w14:textId="77777777" w:rsidR="00292202" w:rsidRPr="005062D9" w:rsidRDefault="00292202" w:rsidP="00292202">
      <w:pPr>
        <w:spacing w:after="240" w:line="480" w:lineRule="auto"/>
        <w:rPr>
          <w:rFonts w:ascii="Calibri" w:eastAsia="Calibri" w:hAnsi="Calibri" w:cs="Times New Roman"/>
          <w:sz w:val="24"/>
          <w:szCs w:val="24"/>
        </w:rPr>
      </w:pPr>
    </w:p>
    <w:p w14:paraId="38994358"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considering singers to be a relatively underrepresented group in this area of research </w:t>
      </w:r>
      <w:r w:rsidRPr="005062D9">
        <w:rPr>
          <w:sz w:val="24"/>
          <w:szCs w:val="24"/>
        </w:rPr>
        <w:t>(</w:t>
      </w:r>
      <w:r w:rsidRPr="005062D9">
        <w:rPr>
          <w:i/>
          <w:iCs/>
          <w:sz w:val="24"/>
          <w:szCs w:val="24"/>
        </w:rPr>
        <w:t>Ibid.</w:t>
      </w:r>
      <w:r w:rsidRPr="005062D9">
        <w:rPr>
          <w:sz w:val="24"/>
          <w:szCs w:val="24"/>
        </w:rPr>
        <w:t>)</w:t>
      </w:r>
      <w:r w:rsidRPr="005062D9">
        <w:rPr>
          <w:rFonts w:ascii="Calibri" w:eastAsia="Calibri" w:hAnsi="Calibri" w:cs="Times New Roman"/>
          <w:sz w:val="24"/>
          <w:szCs w:val="24"/>
        </w:rPr>
        <w:t xml:space="preserve">, and in order to respond to the research questions relating to their expectations and perceptions of the choral leader’s role, the focus was on gathering of qualitative data which ‘gives voice’ to choral singers. Due to the potentially wide demographic spread of choral singers that might participate in the study, the gathering of a small amount of quantitative data was also useful in order to contextualise the participants’ responses. As a pragmatic study, the use of mixed methods in data gathering presented no epistemological issues. This was justified with a pragmatic rejection of the notion that reality can be accessed via only one scientific method, and that instead there may be a single or multiple realities, accessed </w:t>
      </w:r>
      <w:r w:rsidRPr="005062D9">
        <w:rPr>
          <w:rFonts w:ascii="Calibri" w:eastAsia="Calibri" w:hAnsi="Calibri" w:cs="Times New Roman"/>
          <w:sz w:val="24"/>
          <w:szCs w:val="24"/>
        </w:rPr>
        <w:lastRenderedPageBreak/>
        <w:t xml:space="preserve">by a variety of methods of inquiry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{"citationItems":[{"id":"ITEM-1","itemData":{"DOI":"10.3390/socsci8090255","ISSN":"20760760","abstract":"Debates around the issues of knowledge of, and for, social work and other social justice-oriented professions are not uncommon. More prevalent are the discussions around the ways by which social work knowledge is obtained. In recent years, social work scholars have drawn on the epistemology of pragmatism to present a case for its value in the creation of knowledge for social work and other social justice-oriented professions. The primary focus of this essay is on providing a critical review and synthesis of the literature regarding pragmatism as a research paradigm. In this essay, we analyze the major philosophical underpinnings and methodological challenges associated with pragmatism, synthesize the works of scholars who have contributed to the understanding of pragmatism as a research paradigm, articulate our thoughts about how pragmatism fits within social work research, and illustrate how it is linked to the pursuit of social justice. This article brings together a variety of perspectives to argue that pragmatism has the potential to closely engage and empower marginalized and oppressed communities and provide hard evidence for the macro level discourse.","author":[{"dropping-particle":"","family":"Kaushik","given":"Vibha","non-dropping-particle":"","parse-names":false,"suffix":""},{"dropping-particle":"","family":"Walsh","given":"Christine A.","non-dropping-particle":"","parse-names":false,"suffix":""}],"container-title":"Social Sciences","id":"ITEM-1","issue":"9","issued":{"date-parts":[["2019"]]},"title":"Pragmatism as a research paradigm and its implications for Social Work research","type":"article-journal","volume":"8"},"uris":["http://www.mendeley.com/documents/?uuid=4f342b5c-6aa8-42da-b4d3-b4421a2efea3"]}],"mendeley":{"formattedCitation":"(Kaushik &amp; Walsh, 2019)","plainTextFormattedCitation":"(Kaushik &amp; Walsh, 2019)","previouslyFormattedCitation":"(Kaushik &amp; Walsh, 2019)"},"properties":{"noteIndex":0},"schema":"https://github.com/citation-style-language/schema/raw/master/csl-citation.json"}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(Kaushik &amp; Walsh, 2019)</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It was therefore determined that it would be acceptable, to collect both forms of data. However, the amount of quantitative data collected was intentionally limited with the qualitative data informing the majority of the analysis in order to amplify participant voices in this research. </w:t>
      </w:r>
    </w:p>
    <w:p w14:paraId="6AB96BE5" w14:textId="77777777" w:rsidR="00292202" w:rsidRPr="005062D9" w:rsidRDefault="00292202" w:rsidP="00292202">
      <w:pPr>
        <w:spacing w:after="240" w:line="480" w:lineRule="auto"/>
        <w:rPr>
          <w:rFonts w:ascii="Calibri" w:eastAsia="Calibri" w:hAnsi="Calibri" w:cs="Times New Roman"/>
          <w:sz w:val="24"/>
          <w:szCs w:val="24"/>
        </w:rPr>
      </w:pPr>
    </w:p>
    <w:p w14:paraId="666D23BB"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taking a pragmatic approach, a commitment was made to producing results </w:t>
      </w:r>
      <w:r>
        <w:rPr>
          <w:rFonts w:ascii="Calibri" w:eastAsia="Calibri" w:hAnsi="Calibri" w:cs="Times New Roman"/>
          <w:sz w:val="24"/>
          <w:szCs w:val="24"/>
        </w:rPr>
        <w:t>that</w:t>
      </w:r>
      <w:r w:rsidRPr="005062D9">
        <w:rPr>
          <w:rFonts w:ascii="Calibri" w:eastAsia="Calibri" w:hAnsi="Calibri" w:cs="Times New Roman"/>
          <w:sz w:val="24"/>
          <w:szCs w:val="24"/>
        </w:rPr>
        <w:t xml:space="preserve"> can lead to positive social change and/or make a positive contribution to future practice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{"citationItems":[{"id":"ITEM-1","itemData":{"DOI":"10.1558/eph.33216","ISSN":"1522-7340","author":[{"dropping-particle":"","family":"Hogan","given":"Eric","non-dropping-particle":"","parse-names":false,"suffix":""}],"container-title":"Essays in the Philosophy of Humanism","id":"ITEM-1","issue":"1","issued":{"date-parts":[["2017"]]},"page":"43-52","title":"Pragmatic Social Justice: A Conceptual Framework for Practitioners","type":"article-journal","volume":"25"},"uris":["http://www.mendeley.com/documents/?uuid=e2f2b052-9c48-48a8-b37c-dce0b4de1f69"]}],"mendeley":{"formattedCitation":"(Hogan, 2017)","plainTextFormattedCitation":"(Hogan, 2017)","previouslyFormattedCitation":"(Hogan, 2017)"},"properties":{"noteIndex":0},"schema":"https://github.com/citation-style-language/schema/raw/master/csl-citation.json"}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(Hogan, 2017)</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The decision to gather data primarily from singers and to place emphasis on the gathering of qualitative data to highlight singers’ experiences and opinions was judged to satisfy this commitment. Taking a pragmatic approach, however, also meant accepting that the study’s results are unlikely to represent definitive knowledge or truths, rather that warranted assertions would be made which would be useful for future inquiry only in certain contexts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{"citationItems":[{"id":"ITEM-1","itemData":{"author":[{"dropping-particle":"","family":"Biesta","given":"Gert","non-dropping-particle":"","parse-names":false,"suffix":""},{"dropping-particle":"","family":"Burbules","given":"Nicholas C.","non-dropping-particle":"","parse-names":false,"suffix":""}],"id":"ITEM-1","issued":{"date-parts":[["2003"]]},"publisher":"Rowman &amp; Littlefield Publishers Inc.","publisher-place":"Lanham, MD","title":"Pragmatism and Educational Research","type":"book"},"uris":["http://www.mendeley.com/documents/?uuid=51f0dd7b-b681-4092-b774-b747143d3f6b"]}],"mendeley":{"formattedCitation":"(Biesta &amp; Burbules, 2003)","plainTextFormattedCitation":"(Biesta &amp; Burbules, 2003)","previouslyFormattedCitation":"(Biesta &amp; Burbules, 2003)"},"properties":{"noteIndex":0},"schema":"https://github.com/citation-style-language/schema/raw/master/csl-citation.json"}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(Biesta &amp; Burbules, 2003)</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It was therefore important to clearly delineate the scope of the project in order to determine where these assertions would be likely to be of practical use. </w:t>
      </w:r>
    </w:p>
    <w:p w14:paraId="04009A39" w14:textId="77777777" w:rsidR="00292202" w:rsidRPr="005062D9" w:rsidRDefault="00292202" w:rsidP="00292202">
      <w:pPr>
        <w:spacing w:after="240" w:line="480" w:lineRule="auto"/>
        <w:rPr>
          <w:rFonts w:ascii="Calibri" w:eastAsia="Calibri" w:hAnsi="Calibri" w:cs="Times New Roman"/>
          <w:sz w:val="24"/>
          <w:szCs w:val="24"/>
        </w:rPr>
      </w:pPr>
    </w:p>
    <w:p w14:paraId="262935A8" w14:textId="77777777" w:rsidR="00292202" w:rsidRPr="005062D9" w:rsidRDefault="00292202" w:rsidP="00292202">
      <w:pPr>
        <w:keepNext/>
        <w:keepLines/>
        <w:spacing w:before="40" w:after="0" w:line="480" w:lineRule="auto"/>
        <w:outlineLvl w:val="1"/>
        <w:rPr>
          <w:rFonts w:ascii="Calibri" w:eastAsia="Times New Roman" w:hAnsi="Calibri" w:cs="Times New Roman"/>
          <w:b/>
          <w:sz w:val="28"/>
          <w:szCs w:val="28"/>
        </w:rPr>
      </w:pPr>
      <w:bookmarkStart w:id="14" w:name="_Toc57131281"/>
      <w:bookmarkStart w:id="15" w:name="_Toc83645723"/>
      <w:r w:rsidRPr="005062D9">
        <w:rPr>
          <w:rFonts w:ascii="Calibri" w:eastAsia="Times New Roman" w:hAnsi="Calibri" w:cs="Times New Roman"/>
          <w:b/>
          <w:sz w:val="28"/>
          <w:szCs w:val="28"/>
        </w:rPr>
        <w:t>5.3.1 Scope of study</w:t>
      </w:r>
      <w:bookmarkEnd w:id="14"/>
      <w:bookmarkEnd w:id="15"/>
    </w:p>
    <w:p w14:paraId="15FC234F"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UK has a large choral community, with an estimated 40,000 choirs and 2.14 million singers participating in choral singing each week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2017)","plainTextFormattedCitation":"(Voices Now, 2017)","previouslyFormattedCitation":"(Voices Now, 2017)"},"properties":{"noteIndex":0},"schema":"https://github.com/citation-style-language/schema/raw/master/csl-citation.json"}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(Voices Now, 2017)</w:t>
      </w:r>
      <w:r w:rsidRPr="005062D9">
        <w:rPr>
          <w:rFonts w:ascii="Calibri" w:eastAsia="Calibri" w:hAnsi="Calibri" w:cs="Times New Roman"/>
        </w:rPr>
        <w:fldChar w:fldCharType="end"/>
      </w:r>
      <w:r w:rsidRPr="005062D9">
        <w:rPr>
          <w:rFonts w:ascii="Calibri" w:eastAsia="Calibri" w:hAnsi="Calibri" w:cs="Times New Roman"/>
          <w:sz w:val="24"/>
          <w:szCs w:val="24"/>
        </w:rPr>
        <w:t>. This is the 4</w:t>
      </w:r>
      <w:r w:rsidRPr="005062D9">
        <w:rPr>
          <w:rFonts w:ascii="Calibri" w:eastAsia="Calibri" w:hAnsi="Calibri" w:cs="Times New Roman"/>
          <w:sz w:val="24"/>
          <w:szCs w:val="24"/>
          <w:vertAlign w:val="superscript"/>
        </w:rPr>
        <w:t>th</w:t>
      </w:r>
      <w:r w:rsidRPr="005062D9">
        <w:rPr>
          <w:rFonts w:ascii="Calibri" w:eastAsia="Calibri" w:hAnsi="Calibri" w:cs="Times New Roman"/>
          <w:sz w:val="24"/>
          <w:szCs w:val="24"/>
        </w:rPr>
        <w:t xml:space="preserve"> highest estimated number of active choral singers in any country in Europe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{"citationItems":[{"id":"ITEM-1","itemData":{"ISBN":"5917796661","author":[{"dropping-particle":"","family":"Bartel","given":"Roman","non-dropping-particle":"","parse-names":false,"suffix":""},{"dropping-particle":"","family":"Cooper","given":"Come Ferrand","non-dropping-particle":"","parse-names":false,"suffix":""}],"id":"ITEM-1","issued":{"date-parts":[["2015"]]},"title":"Singing in Europe","type":"book"},"uris":["http://www.mendeley.com/documents/?uuid=6868f661-1e72-4736-b8d7-d3dd2f4ced67"]}],"mendeley":{"formattedCitation":"(Bartel &amp; Cooper, 2015)","plainTextFormattedCitation":"(Bartel &amp; Cooper, 2015)","previouslyFormattedCitation":"(Bartel &amp; Cooper, 2015)"},"properties":{"noteIndex":0},"schema":"https://github.com/citation-style-language/schema/raw/master/csl-citation.json"}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(Bartel &amp; Cooper, 2015)</w:t>
      </w:r>
      <w:r w:rsidRPr="005062D9">
        <w:rPr>
          <w:rFonts w:ascii="Calibri" w:eastAsia="Calibri" w:hAnsi="Calibri" w:cs="Times New Roman"/>
        </w:rPr>
        <w:fldChar w:fldCharType="end"/>
      </w:r>
      <w:r w:rsidRPr="005062D9">
        <w:rPr>
          <w:rFonts w:ascii="Calibri" w:eastAsia="Calibri" w:hAnsi="Calibri" w:cs="Times New Roman"/>
          <w:sz w:val="24"/>
          <w:szCs w:val="24"/>
        </w:rPr>
        <w:t>. The 2017 Voices Now choral census revealed that a wide variety of types of choirs are active within the UK:</w:t>
      </w:r>
    </w:p>
    <w:p w14:paraId="04E346CC" w14:textId="77777777" w:rsidR="00292202" w:rsidRPr="005062D9" w:rsidRDefault="00292202" w:rsidP="00292202">
      <w:pPr>
        <w:keepNext/>
        <w:spacing w:after="240" w:line="480" w:lineRule="auto"/>
        <w:jc w:val="center"/>
      </w:pPr>
      <w:r w:rsidRPr="005062D9">
        <w:rPr>
          <w:rFonts w:ascii="Calibri" w:eastAsia="Calibri" w:hAnsi="Calibri" w:cs="Times New Roman"/>
          <w:noProof/>
          <w:sz w:val="24"/>
          <w:szCs w:val="24"/>
        </w:rPr>
        <w:lastRenderedPageBreak/>
        <w:drawing>
          <wp:inline distT="0" distB="0" distL="0" distR="0" wp14:anchorId="125054EC" wp14:editId="2ED694C3">
            <wp:extent cx="6156960" cy="3177540"/>
            <wp:effectExtent l="0" t="0" r="0" b="3810"/>
            <wp:docPr id="1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t="2100"/>
                    <a:stretch>
                      <a:fillRect/>
                    </a:stretch>
                  </pic:blipFill>
                  <pic:spPr bwMode="auto">
                    <a:xfrm>
                      <a:off x="0" y="0"/>
                      <a:ext cx="6156960" cy="3177540"/>
                    </a:xfrm>
                    <a:prstGeom prst="rect">
                      <a:avLst/>
                    </a:prstGeom>
                    <a:noFill/>
                    <a:ln>
                      <a:noFill/>
                    </a:ln>
                  </pic:spPr>
                </pic:pic>
              </a:graphicData>
            </a:graphic>
          </wp:inline>
        </w:drawing>
      </w:r>
    </w:p>
    <w:p w14:paraId="1E1FC353" w14:textId="30E474FF" w:rsidR="00292202" w:rsidRPr="005062D9" w:rsidRDefault="00292202" w:rsidP="00292202">
      <w:pPr>
        <w:pStyle w:val="Caption"/>
        <w:rPr>
          <w:rFonts w:ascii="Calibri" w:eastAsia="Calibri" w:hAnsi="Calibri" w:cs="Times New Roman"/>
          <w:sz w:val="24"/>
          <w:szCs w:val="24"/>
        </w:rPr>
      </w:pPr>
      <w:bookmarkStart w:id="16" w:name="_Toc83645607"/>
      <w:r w:rsidRPr="005062D9">
        <w:t xml:space="preserve">Figure </w:t>
      </w:r>
      <w:fldSimple w:instr=" SEQ Figure \* ARABIC ">
        <w:r w:rsidR="007A0B89">
          <w:rPr>
            <w:noProof/>
          </w:rPr>
          <w:t>3</w:t>
        </w:r>
      </w:fldSimple>
      <w:r w:rsidRPr="005062D9">
        <w:t xml:space="preserve"> - “Type of Choir” participated in by UK choral singers from the Voices Now Big Choral Census (Voices Now, 2017, p.10)</w:t>
      </w:r>
      <w:bookmarkEnd w:id="16"/>
    </w:p>
    <w:p w14:paraId="4394F801" w14:textId="77777777" w:rsidR="00292202" w:rsidRPr="005062D9" w:rsidRDefault="00292202" w:rsidP="00292202">
      <w:pPr>
        <w:spacing w:after="240" w:line="480" w:lineRule="auto"/>
        <w:rPr>
          <w:rFonts w:ascii="Calibri" w:eastAsia="Calibri" w:hAnsi="Calibri" w:cs="Times New Roman"/>
          <w:sz w:val="24"/>
          <w:szCs w:val="24"/>
        </w:rPr>
      </w:pPr>
    </w:p>
    <w:p w14:paraId="44FB28B0"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Whilst community choirs are more heavily represented than any other choral group in Figure 12, making up around one third of the choir types identified, there is still considerable variety. It is also demonstrably true that “community choir” is a flexible term, encompassing many different types of choir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2017)","plainTextFormattedCitation":"(Voices Now, 2017)","previouslyFormattedCitation":"(Voices Now, 2017)"},"properties":{"noteIndex":0},"schema":"https://github.com/citation-style-language/schema/raw/master/csl-citation.json"}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(Voices Now, 2017)</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This is seen in the text box accompanying the table where a “Peace and protest </w:t>
      </w:r>
      <w:r w:rsidRPr="005062D9">
        <w:rPr>
          <w:rFonts w:ascii="Calibri" w:eastAsia="Calibri" w:hAnsi="Calibri" w:cs="Times New Roman"/>
          <w:i/>
          <w:iCs/>
          <w:sz w:val="24"/>
          <w:szCs w:val="24"/>
        </w:rPr>
        <w:t>community</w:t>
      </w:r>
      <w:r w:rsidRPr="005062D9">
        <w:rPr>
          <w:rFonts w:ascii="Calibri" w:eastAsia="Calibri" w:hAnsi="Calibri" w:cs="Times New Roman"/>
          <w:sz w:val="24"/>
          <w:szCs w:val="24"/>
        </w:rPr>
        <w:t xml:space="preserve"> choir” [emphasis added] is recorded as a “socially engaged choir” in the “Other (please specify)” category, as opposed to being defined as just a community choir. </w:t>
      </w:r>
    </w:p>
    <w:p w14:paraId="7254B81C" w14:textId="77777777" w:rsidR="00292202" w:rsidRPr="005062D9" w:rsidRDefault="00292202" w:rsidP="00292202">
      <w:pPr>
        <w:spacing w:after="240" w:line="480" w:lineRule="auto"/>
        <w:rPr>
          <w:rFonts w:ascii="Calibri" w:eastAsia="Calibri" w:hAnsi="Calibri" w:cs="Times New Roman"/>
          <w:sz w:val="24"/>
          <w:szCs w:val="24"/>
        </w:rPr>
      </w:pPr>
    </w:p>
    <w:p w14:paraId="3727F1A6"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UK’s choral scene is varied with many different types of choir in existence. As noted in the Voices Now report, “Choirs are diverse. Choirs can have as many as 700 people singing in them or as few as 4. Some choirs sing exclusively pop music or classical music whilst </w:t>
      </w:r>
      <w:r w:rsidRPr="005062D9">
        <w:rPr>
          <w:rFonts w:ascii="Calibri" w:eastAsia="Calibri" w:hAnsi="Calibri" w:cs="Times New Roman"/>
          <w:sz w:val="24"/>
          <w:szCs w:val="24"/>
        </w:rPr>
        <w:lastRenderedPageBreak/>
        <w:t xml:space="preserve">others sing a range of music from gospel to musical theatre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2017)","manualFormatting":"(Voices Now, 2017, p.15)","plainTextFormattedCitation":"(Voices Now, 2017)","previouslyFormattedCitation":"(Voices Now, 2017)"},"properties":{"noteIndex":0},"schema":"https://github.com/citation-style-language/schema/raw/master/csl-citation.json"}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(Voices Now, 2017, p.15)</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In order to answer the question of what is expected of a UK-based choral leader by singers, a research design which takes account of the breadth of choral activity in the UK was required. It was thus necessary to select data gathering methods which would be capable of sampling a broad cross-section of the UK choral community. </w:t>
      </w:r>
    </w:p>
    <w:p w14:paraId="126E414D" w14:textId="77777777" w:rsidR="00292202" w:rsidRPr="005062D9" w:rsidRDefault="00292202" w:rsidP="00292202">
      <w:pPr>
        <w:spacing w:after="240" w:line="480" w:lineRule="auto"/>
        <w:rPr>
          <w:rFonts w:ascii="Calibri" w:eastAsia="Calibri" w:hAnsi="Calibri" w:cs="Times New Roman"/>
          <w:sz w:val="24"/>
          <w:szCs w:val="24"/>
        </w:rPr>
      </w:pPr>
    </w:p>
    <w:p w14:paraId="2ACBF234" w14:textId="77777777" w:rsidR="00292202" w:rsidRPr="005062D9" w:rsidRDefault="00292202" w:rsidP="00292202">
      <w:pPr>
        <w:keepNext/>
        <w:keepLines/>
        <w:spacing w:before="240" w:after="240" w:line="480" w:lineRule="auto"/>
        <w:outlineLvl w:val="0"/>
        <w:rPr>
          <w:rFonts w:ascii="Calibri" w:eastAsia="Calibri" w:hAnsi="Calibri" w:cs="Times New Roman"/>
          <w:b/>
          <w:sz w:val="36"/>
          <w:szCs w:val="36"/>
        </w:rPr>
      </w:pPr>
      <w:bookmarkStart w:id="17" w:name="_Toc57131282"/>
      <w:bookmarkStart w:id="18" w:name="_Toc83645724"/>
      <w:r w:rsidRPr="005062D9">
        <w:rPr>
          <w:rFonts w:ascii="Calibri" w:eastAsia="Calibri" w:hAnsi="Calibri" w:cs="Times New Roman"/>
          <w:b/>
          <w:sz w:val="36"/>
          <w:szCs w:val="36"/>
        </w:rPr>
        <w:t>5.4 Data gathering tools</w:t>
      </w:r>
      <w:bookmarkEnd w:id="17"/>
      <w:bookmarkEnd w:id="18"/>
    </w:p>
    <w:p w14:paraId="6D177673" w14:textId="77777777" w:rsidR="00292202" w:rsidRPr="005062D9" w:rsidRDefault="00292202" w:rsidP="00292202">
      <w:pPr>
        <w:keepNext/>
        <w:keepLines/>
        <w:spacing w:before="40" w:after="240" w:line="480" w:lineRule="auto"/>
        <w:outlineLvl w:val="1"/>
        <w:rPr>
          <w:rFonts w:ascii="Calibri" w:eastAsia="Times New Roman" w:hAnsi="Calibri" w:cs="Times New Roman"/>
          <w:b/>
          <w:sz w:val="28"/>
          <w:szCs w:val="28"/>
        </w:rPr>
      </w:pPr>
      <w:bookmarkStart w:id="19" w:name="_Toc57131283"/>
      <w:bookmarkStart w:id="20" w:name="_Toc83645725"/>
      <w:r w:rsidRPr="005062D9">
        <w:rPr>
          <w:rFonts w:ascii="Calibri" w:eastAsia="Times New Roman" w:hAnsi="Calibri" w:cs="Times New Roman"/>
          <w:b/>
          <w:sz w:val="28"/>
          <w:szCs w:val="28"/>
        </w:rPr>
        <w:t>5.4.1 Online, mixed-method surveys</w:t>
      </w:r>
      <w:bookmarkEnd w:id="19"/>
      <w:bookmarkEnd w:id="20"/>
    </w:p>
    <w:p w14:paraId="38281782"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Due to the need to collect data from a broad spectrum of participants, online mixed-method surveys were identified as appropriate data gathering tools due to their accessibility and capacity for gathering data from large numbers of participants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As previously noted, the majority of data collected was qualitative with a smaller set of quantitative data gathered to contextualise the qualitative responses. The use of questionnaires to gather quantitative data is well established. The use of online surveys to gather qualitative data however, whilst not original, is less common than the use of other methods such as focus groups or interviews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{"citationItems":[{"id":"ITEM-1","itemData":{"DOI":"10.1191/1478088704qp006oa","ISSN":"14780895","abstract":"Women's body hair removal is highly normative across contemporary western cultures. Nevertheless, little is known about the production and maintenance of this norm. Drawing on qualitative survey data from 678 women in the UK, this study offers two explanations: First, hairlessness and hairiness are predominantly constructed as positive and negative alternatives, respectively. Consequently, the ‘options’ to depilate, or not, are unequally weighted. Second, should a woman fail to depilate, she is likely to be subject to interactional sanctions. These exact a social price for being hairy, and serve to ‘enforce’ the depilation norm. Depilation is, then, shown to be a matter not merely of personal preference, but of conforming to a social norm reflecting an imperative to ‘improve’ the body. Taking a feminist perspective, this study understands the depilation norm as an instance of the ‘policing’ of women's bodies within a narrow ideal of social acceptability. © 2004 Taylor &amp; Francis Group, LLC. All rights reserved.","author":[{"dropping-particle":"","family":"Toerien","given":"Merran","non-dropping-particle":"","parse-names":false,"suffix":""},{"dropping-particle":"","family":"Wilkinson","given":"Sue","non-dropping-particle":"","parse-names":false,"suffix":""}],"container-title":"Qualitative Research in Psychology","id":"ITEM-1","issue":"1","issued":{"date-parts":[["2004"]]},"page":"69-92","title":"Exploring the depilation norm: A qualitative questionnaire study of women’s body hair removal","type":"article-journal","volume":"1"},"uris":["http://www.mendeley.com/documents/?uuid=9535ee9b-c92b-403b-bd19-00548f9a9910"]}],"mendeley":{"formattedCitation":"(Toerien &amp; Wilkinson, 2004)","plainTextFormattedCitation":"(Toerien &amp; Wilkinson, 2004)","previouslyFormattedCitation":"(Toerien &amp; Wilkinson, 2004)"},"properties":{"noteIndex":0},"schema":"https://github.com/citation-style-language/schema/raw/master/csl-citation.json"}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(Toerien &amp; Wilkinson, 2004)</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A comprehensive rationale will therefore be offered for collecting qualitative data in this way. </w:t>
      </w:r>
    </w:p>
    <w:p w14:paraId="751AA845" w14:textId="77777777" w:rsidR="00292202" w:rsidRPr="005062D9" w:rsidRDefault="00292202" w:rsidP="00292202">
      <w:pPr>
        <w:spacing w:after="240" w:line="480" w:lineRule="auto"/>
        <w:rPr>
          <w:rFonts w:ascii="Calibri" w:eastAsia="Calibri" w:hAnsi="Calibri" w:cs="Times New Roman"/>
          <w:sz w:val="24"/>
          <w:szCs w:val="24"/>
        </w:rPr>
      </w:pPr>
    </w:p>
    <w:p w14:paraId="1AB65B4D" w14:textId="77777777" w:rsidR="00292202" w:rsidRPr="005062D9" w:rsidRDefault="00292202" w:rsidP="00292202">
      <w:pPr>
        <w:spacing w:before="240" w:after="240" w:line="480" w:lineRule="auto"/>
        <w:rPr>
          <w:rFonts w:ascii="Calibri" w:eastAsia="Calibri" w:hAnsi="Calibri" w:cs="Times New Roman"/>
          <w:i/>
          <w:iCs/>
          <w:sz w:val="24"/>
          <w:szCs w:val="24"/>
        </w:rPr>
      </w:pPr>
      <w:r w:rsidRPr="005062D9">
        <w:rPr>
          <w:rFonts w:ascii="Calibri" w:eastAsia="Calibri" w:hAnsi="Calibri" w:cs="Times New Roman"/>
          <w:sz w:val="24"/>
          <w:szCs w:val="24"/>
        </w:rPr>
        <w:t xml:space="preserve">First and foremost, gathering qualitative data via surveys offers an excellent method of gathering a “wide-angle lens”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 p.3)","plainTextFormattedCitation":"(Virginia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 p.3)</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perspective on a subject. This is distinct from other qualitative methods which favour small sample sizes. This provides a </w:t>
      </w:r>
      <w:r w:rsidRPr="005062D9">
        <w:rPr>
          <w:rFonts w:ascii="Calibri" w:eastAsia="Calibri" w:hAnsi="Calibri" w:cs="Times New Roman"/>
          <w:sz w:val="24"/>
          <w:szCs w:val="24"/>
        </w:rPr>
        <w:lastRenderedPageBreak/>
        <w:t xml:space="preserve">useful method of recording a diverse range of perspectives and experiences which is useful in research that focuses on underexplored samples or topics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{"citationItems":[{"id":"ITEM-1","itemData":{"DOI":"10.1080/14780880701752950","ISBN":"1478088070175","ISSN":"14780887","abstract":"This qualitative research extends current theorizing on behavioural strategies for managing body distress by exploring how women manage body image through clothing practices. Eighty two women reported their subjective understanding of how body evaluation and clothing practices are interconnected in response to open-ended questionnaires. Thematic analysis of responses revealed that clothing practices are a mundane and agentic part of the adjustive and self-regulatory processes for managing distressing body image (cf. Cash, 2002b). Clothing is used strategically to manage bodily appearance and anxiety by hiding 'problem areas', accentuating 'assets,' and flattering the figure. Body image is actively negotiated and managed through everyday behaviours which fluctuate on 'fat' days and 'thin' days. These data illustrate the processes which underpin the active negotiation of body image and capture the fluidity of body evaluations and strategies for managing the appearance of the body. These findings raise a number of challenges for theorizing and research including the need to adopt methods which capture the dynamic interplay of body image processes, and the need to address body appreciation as well as distress.","author":[{"dropping-particle":"","family":"Frith","given":"Hannah","non-dropping-particle":"","parse-names":false,"suffix":""},{"dropping-particle":"","family":"Gleeson","given":"Kate","non-dropping-particle":"","parse-names":false,"suffix":""}],"container-title":"Qualitative Research in Psychology","id":"ITEM-1","issue":"4","issued":{"date-parts":[["2008"]]},"page":"249-264","title":"Dressing the body: The role of clothing in sustaining body pride and managing body distress","type":"article-journal","volume":"5"},"uris":["http://www.mendeley.com/documents/?uuid=e5f07424-2b50-4ab3-be69-37416cc7c603"]}],"mendeley":{"formattedCitation":"(Frith &amp; Gleeson, 2008)","plainTextFormattedCitation":"(Frith &amp; Gleeson, 2008)","previouslyFormattedCitation":"(Frith &amp; Gleeson, 2008)"},"properties":{"noteIndex":0},"schema":"https://github.com/citation-style-language/schema/raw/master/csl-citation.json"}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(Frith &amp; Gleeson, 2008)</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The singer’s perception of the role of a UK-based choral leader is an under-explored area, particularly within a leadership framework. An exploration of this area would therefore clearly benefit from the diversity of voices a qualitative survey can capture. With a pragmatic focus on social justice, a qualitative survey also represents a good choice in terms of participant inclusion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If done carefully, gathering a larger sample size may help the researcher avoid missing marginalised groups within the target community. The choral community is large and varied and so it is important that within this group underrepresented voices are not overlooked. Braun et al. (2020) present a strong case for using qualitative surveys to achieve this, arguing that in qualitative research which gathers data from multiple participants the range and diversity of the sample is important in improving the quality of results generated. They propose that qualitative surveys provide an opportunity for participants who may not be able to engage in more traditional data gathering methods such as interviews to be included in the sample </w:t>
      </w:r>
      <w:r w:rsidRPr="005062D9">
        <w:rPr>
          <w:sz w:val="24"/>
          <w:szCs w:val="24"/>
        </w:rPr>
        <w:t>(</w:t>
      </w:r>
      <w:r w:rsidRPr="005062D9">
        <w:rPr>
          <w:i/>
          <w:iCs/>
          <w:sz w:val="24"/>
          <w:szCs w:val="24"/>
        </w:rPr>
        <w:t>Ibid.</w:t>
      </w:r>
      <w:r w:rsidRPr="005062D9">
        <w:rPr>
          <w:sz w:val="24"/>
          <w:szCs w:val="24"/>
        </w:rPr>
        <w:t>)</w:t>
      </w:r>
      <w:r w:rsidRPr="005062D9">
        <w:rPr>
          <w:rFonts w:ascii="Calibri" w:eastAsia="Calibri" w:hAnsi="Calibri" w:cs="Times New Roman"/>
          <w:i/>
          <w:iCs/>
          <w:sz w:val="24"/>
          <w:szCs w:val="24"/>
        </w:rPr>
        <w:t>.</w:t>
      </w:r>
    </w:p>
    <w:p w14:paraId="60D952BE" w14:textId="77777777" w:rsidR="00292202" w:rsidRPr="005062D9" w:rsidRDefault="00292202" w:rsidP="00292202">
      <w:pPr>
        <w:spacing w:after="240" w:line="480" w:lineRule="auto"/>
        <w:rPr>
          <w:rFonts w:ascii="Calibri" w:eastAsia="Calibri" w:hAnsi="Calibri" w:cs="Times New Roman"/>
          <w:sz w:val="24"/>
          <w:szCs w:val="24"/>
        </w:rPr>
      </w:pPr>
    </w:p>
    <w:p w14:paraId="0C481E97"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use of surveys also offers potential advantages over other qualitative methods in terms of the amount of data that can be generated. Gathering data via an online survey means no time is spent transcribing audio which affords a researcher more time which can be spent on analysis. This might allow a researcher time to collect a larger sample and successfully analyse a larger volume of responses, increasing the potential variety of data analysed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{"citationItems":[{"id":"ITEM-1","itemData":{"DOI":"10.1191/1478088704qp006oa","ISSN":"14780895","abstract":"Women's body hair removal is highly normative across contemporary western cultures. Nevertheless, little is known about the production and maintenance of this norm. Drawing on qualitative survey data from 678 women in the UK, this study offers two explanations: First, hairlessness and hairiness are predominantly constructed as positive and negative alternatives, respectively. Consequently, the ‘options’ to depilate, or not, are unequally weighted. Second, should a woman fail to depilate, she is likely to be subject to interactional sanctions. These exact a social price for being hairy, and serve to ‘enforce’ the depilation norm. Depilation is, then, shown to be a matter not merely of personal preference, but of conforming to a social norm reflecting an imperative to ‘improve’ the body. Taking a feminist perspective, this study understands the depilation norm as an instance of the ‘policing’ of women's bodies within a narrow ideal of social acceptability. © 2004 Taylor &amp; Francis Group, LLC. All rights reserved.","author":[{"dropping-particle":"","family":"Toerien","given":"Merran","non-dropping-particle":"","parse-names":false,"suffix":""},{"dropping-particle":"","family":"Wilkinson","given":"Sue","non-dropping-particle":"","parse-names":false,"suffix":""}],"container-title":"Qualitative Research in Psychology","id":"ITEM-1","issue":"1","issued":{"date-parts":[["2004"]]},"page":"69-92","title":"Exploring the depilation norm: A qualitative questionnaire study of women’s body hair removal","type":"article-journal","volume":"1"},"uris":["http://www.mendeley.com/documents/?uuid=9535ee9b-c92b-403b-bd19-00548f9a9910"]}],"mendeley":{"formattedCitation":"(Toerien &amp; Wilkinson, 2004)","plainTextFormattedCitation":"(Toerien &amp; Wilkinson, 2004)","previouslyFormattedCitation":"(Toerien &amp; Wilkinson, 2004)"},"properties":{"noteIndex":0},"schema":"https://github.com/citation-style-language/schema/raw/master/csl-citation.json"}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(Toerien &amp; Wilkinson, 2004)</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Whilst research incorporating qualitative data is generally not concerned with generalisability, this is still of benefit as it decreases the likelihood of any </w:t>
      </w:r>
      <w:r w:rsidRPr="005062D9">
        <w:rPr>
          <w:rFonts w:ascii="Calibri" w:eastAsia="Calibri" w:hAnsi="Calibri" w:cs="Times New Roman"/>
          <w:sz w:val="24"/>
          <w:szCs w:val="24"/>
        </w:rPr>
        <w:lastRenderedPageBreak/>
        <w:t xml:space="preserve">one participant’s viewpoint being represented as the definitive view of their social group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This is particularly useful in pragmatic research where the consequences of a marginal viewpoint being overrepresented could be detrimental if the research output is used to attempt to make changes to practice affecting social groups. </w:t>
      </w:r>
    </w:p>
    <w:p w14:paraId="45CA38FC" w14:textId="77777777" w:rsidR="00292202" w:rsidRPr="005062D9" w:rsidRDefault="00292202" w:rsidP="00292202">
      <w:pPr>
        <w:spacing w:after="240" w:line="480" w:lineRule="auto"/>
        <w:rPr>
          <w:rFonts w:ascii="Calibri" w:eastAsia="Calibri" w:hAnsi="Calibri" w:cs="Times New Roman"/>
          <w:sz w:val="24"/>
          <w:szCs w:val="24"/>
        </w:rPr>
      </w:pPr>
    </w:p>
    <w:p w14:paraId="79F8E2E0"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Finally, online surveys offer participants the option of replying to the researcher anonymously. “[T]alking back”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 p.6)","plainTextFormattedCitation":"(Virginia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 p.6)</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to researchers via the survey, i.e. critiquing the researcher’s survey questions or their research intentions, is another useful form of data </w:t>
      </w:r>
      <w:r>
        <w:rPr>
          <w:rFonts w:ascii="Calibri" w:eastAsia="Calibri" w:hAnsi="Calibri" w:cs="Times New Roman"/>
          <w:sz w:val="24"/>
          <w:szCs w:val="24"/>
        </w:rPr>
        <w:t>that</w:t>
      </w:r>
      <w:r w:rsidRPr="005062D9">
        <w:rPr>
          <w:rFonts w:ascii="Calibri" w:eastAsia="Calibri" w:hAnsi="Calibri" w:cs="Times New Roman"/>
          <w:sz w:val="24"/>
          <w:szCs w:val="24"/>
        </w:rPr>
        <w:t xml:space="preserve"> may be generated. If a participant feels strongly that a question is inappropriate, badly constructed or do not ask for pertinent information, they have the opportunity to feed this back to the researcher in a direct manner. This data is useful in prompting the researcher to reflect on either their survey construction or their research questions. This is useful, particularly if a large volume of responses contain talk-back relating to any one question or particular aspect of the research. Talking-back is a feature of survey data which is less likely to be obtained via face-to-face data gathering methods as participants are more likely to feel comfortable offering this in an indirect manner than they would be during a conversation with a researcher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w:t>
      </w:r>
    </w:p>
    <w:p w14:paraId="5C24A894" w14:textId="77777777" w:rsidR="00292202" w:rsidRPr="005062D9" w:rsidRDefault="00292202" w:rsidP="00292202">
      <w:pPr>
        <w:spacing w:after="240" w:line="480" w:lineRule="auto"/>
        <w:rPr>
          <w:rFonts w:ascii="Calibri" w:eastAsia="Calibri" w:hAnsi="Calibri" w:cs="Times New Roman"/>
          <w:sz w:val="24"/>
          <w:szCs w:val="24"/>
        </w:rPr>
      </w:pPr>
    </w:p>
    <w:p w14:paraId="056423B0"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There are, however, a number of potential drawbacks to gathering qualitative data via a survey. The potential for generating large numbers of responses risks overwhelming the researcher with a surplus of data, making analysis difficult to carry out thoroughly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{"citationItems":[{"id":"ITEM-1","itemData":{"DOI":"10.1023/B:QUQU.0000019394.78970.df","ISSN":"00335177","abstract":"Free-text comments are often invited at the end of self-completion questionnaires, yet text books provide no guidance on how these might be used. We describe a variety of ways in which free-text comments can be used, drawing on two examples. An Audit Commission study of NHS maternity care included a national sample survey of 3570 women who gave birth in June and July 1995. At the end of the questionnaire women were asked: Is there anything else you would like to tell us about your care while you were pregnant or since you have had your baby. The United Kingdom Medical Careers Research Group conducts whole-cohort longitudinal studies of graduates from all UK medical schools. At the end of each survey doctors are invited to write comments on \"any aspect of your training, career choices or work\". The authors discuss the inherent limitations of free-text comments, the relative merits of quantifying the frequencies of themes, and the ways in which free-text comments can be used to enhance survey analysis. They conclude that while free-text comments are no substitute for properly designed research, they are nevertheless valuable in understanding and illustrating participants' survey responses, and in suggesting topics for further research.","author":[{"dropping-particle":"","family":"Garcia","given":"Jo","non-dropping-particle":"","parse-names":false,"suffix":""},{"dropping-particle":"","family":"Evans","given":"Julie","non-dropping-particle":"","parse-names":false,"suffix":""},{"dropping-particle":"","family":"Reshaw","given":"Maggie","non-dropping-particle":"","parse-names":false,"suffix":""}],"container-title":"Quality and Quantity","id":"ITEM-1","issued":{"date-parts":[["2004"]]},"page":"113-125","title":"\"Is there anything else you would like to tell us\" - Methodological issues in the use of free-text comments from postal surveys","type":"article-journal","volume":"38"},"uris":["http://www.mendeley.com/documents/?uuid=68d4c65c-9de1-45ab-8061-3cb18d5f904b"]}],"mendeley":{"formattedCitation":"(J. Garcia et al., 2004)","manualFormatting":"(Garcia et al., 2004)","plainTextFormattedCitation":"(J. Garcia et al., 2004)","previouslyFormattedCitation":"(J. Garcia et al., 2004)"},"properties":{"noteIndex":0},"schema":"https://github.com/citation-style-language/schema/raw/master/csl-citation.json"}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(Garcia et al., 2004)</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It is also possible that participants will supply too little data by submitting shorter </w:t>
      </w:r>
      <w:r w:rsidRPr="005062D9">
        <w:rPr>
          <w:rFonts w:ascii="Calibri" w:eastAsia="Calibri" w:hAnsi="Calibri" w:cs="Times New Roman"/>
          <w:sz w:val="24"/>
          <w:szCs w:val="24"/>
        </w:rPr>
        <w:lastRenderedPageBreak/>
        <w:t xml:space="preserve">responses to questions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{"citationItems":[{"id":"ITEM-1","itemData":{"DOI":"10.1177/0959353509342770","ISSN":"09593535","abstract":"In this article we contribute to the expansion of lesbian, gay, bisexual, transgender and queer (LGBTQ) health psychology beyond the confines of sexual health by examining the experiences of lesbian, gay and bisexual people living with non-HIV related chronic illness. Using a (predominantly) qualitative online survey, the perspectives of 190 LGB people with 52 different chronic illnesses from eight countries were collected. The five most commonly reported physical conditions were arthritis, hypertension, diabetes, asthma and chronic fatigue syndrome. Our analysis focuses on four themes within participants' written comments: (1) ableism within LGBT communities; (2) isolation from LGBT communities and other LGB people living with chronic illness; (3) heteronormativity within sources of information and support and; (4) homophobia from healthcare professionals. We conclude by suggesting that LGBTQ psychology could usefully draw on critical health psychology principles and frameworks to explore non-heterosexual's lived experiences of chronic illness, and also that there remains a need for specifically targeted support groups and services for LGB people with chronic illnesses. © 2009 SAGE.","author":[{"dropping-particle":"","family":"Jowett","given":"Adam","non-dropping-particle":"","parse-names":false,"suffix":""},{"dropping-particle":"","family":"Peel","given":"Elizabeth","non-dropping-particle":"","parse-names":false,"suffix":""}],"container-title":"Feminism and Psychology","id":"ITEM-1","issue":"4","issued":{"date-parts":[["2009"]]},"page":"454-474","title":"Chronic illness in non-heterosexual contexts: An online survey of experiences","type":"article-journal","volume":"19"},"uris":["http://www.mendeley.com/documents/?uuid=c43c0bad-0d27-4a8f-a511-ba7ea8798856"]}],"mendeley":{"formattedCitation":"(Jowett &amp; Peel, 2009)","plainTextFormattedCitation":"(Jowett &amp; Peel, 2009)","previouslyFormattedCitation":"(Jowett &amp; Peel, 2009)"},"properties":{"noteIndex":0},"schema":"https://github.com/citation-style-language/schema/raw/master/csl-citation.json"}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(Jowett &amp; Peel, 2009)</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Criticism in this area has been aimed at the use of surveys to generate qualitative data, with critics suggesting that surveys may gather data that is wide in breadth but too shallow in depth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It is true that where in an interview a researcher could ask the participant to elaborate on a statement, the scope for this is more limited in a survey where the questions are pre-determined. It is however possible to avoid this situation by enlarging text boxes to give a visual clue for participants as to how much the researcher is hoping they will write in response to a question, potentially encouraging them to supply more information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{"citationItems":[{"id":"ITEM-1","itemData":{"DOI":"10.1177/0959353509342770","ISSN":"09593535","abstract":"In this article we contribute to the expansion of lesbian, gay, bisexual, transgender and queer (LGBTQ) health psychology beyond the confines of sexual health by examining the experiences of lesbian, gay and bisexual people living with non-HIV related chronic illness. Using a (predominantly) qualitative online survey, the perspectives of 190 LGB people with 52 different chronic illnesses from eight countries were collected. The five most commonly reported physical conditions were arthritis, hypertension, diabetes, asthma and chronic fatigue syndrome. Our analysis focuses on four themes within participants' written comments: (1) ableism within LGBT communities; (2) isolation from LGBT communities and other LGB people living with chronic illness; (3) heteronormativity within sources of information and support and; (4) homophobia from healthcare professionals. We conclude by suggesting that LGBTQ psychology could usefully draw on critical health psychology principles and frameworks to explore non-heterosexual's lived experiences of chronic illness, and also that there remains a need for specifically targeted support groups and services for LGB people with chronic illnesses. © 2009 SAGE.","author":[{"dropping-particle":"","family":"Jowett","given":"Adam","non-dropping-particle":"","parse-names":false,"suffix":""},{"dropping-particle":"","family":"Peel","given":"Elizabeth","non-dropping-particle":"","parse-names":false,"suffix":""}],"container-title":"Feminism and Psychology","id":"ITEM-1","issue":"4","issued":{"date-parts":[["2009"]]},"page":"454-474","title":"Chronic illness in non-heterosexual contexts: An online survey of experiences","type":"article-journal","volume":"19"},"uris":["http://www.mendeley.com/documents/?uuid=c43c0bad-0d27-4a8f-a511-ba7ea8798856"]}],"mendeley":{"formattedCitation":"(Jowett &amp; Peel, 2009)","plainTextFormattedCitation":"(Jowett &amp; Peel, 2009)","previouslyFormattedCitation":"(Jowett &amp; Peel, 2009)"},"properties":{"noteIndex":0},"schema":"https://github.com/citation-style-language/schema/raw/master/csl-citation.json"}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(Jowett &amp; Peel, 2009)</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It is also good practice to add prompts such as ‘please explain why’ or ‘can you give an example of this’ in order to encourage fuller answers to questions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Researchers may also choose to add a final question to the survey which asks participants if they have any other thoughts or information that they would like to add. This encourages talk-back and also allows participants to share opinions or experiences that they feel are relevant. This often generates extremely rich data. Indeed, it has not been found that survey data is necessarily shallow in depth, only that researchers must be cautious when constructing their surveys to avoid missing pertinent or interesting information that participants might otherwise provide </w:t>
      </w:r>
      <w:r w:rsidRPr="005062D9">
        <w:rPr>
          <w:sz w:val="24"/>
          <w:szCs w:val="24"/>
        </w:rPr>
        <w:t>(</w:t>
      </w:r>
      <w:r w:rsidRPr="005062D9">
        <w:rPr>
          <w:i/>
          <w:iCs/>
          <w:sz w:val="24"/>
          <w:szCs w:val="24"/>
        </w:rPr>
        <w:t>Ibid.</w:t>
      </w:r>
      <w:r w:rsidRPr="005062D9">
        <w:rPr>
          <w:sz w:val="24"/>
          <w:szCs w:val="24"/>
        </w:rPr>
        <w:t>)</w:t>
      </w:r>
      <w:r w:rsidRPr="005062D9">
        <w:rPr>
          <w:rFonts w:ascii="Calibri" w:eastAsia="Calibri" w:hAnsi="Calibri" w:cs="Times New Roman"/>
          <w:sz w:val="24"/>
          <w:szCs w:val="24"/>
        </w:rPr>
        <w:t xml:space="preserve">. </w:t>
      </w:r>
    </w:p>
    <w:p w14:paraId="6DB9DC52" w14:textId="77777777" w:rsidR="00292202" w:rsidRPr="005062D9" w:rsidRDefault="00292202" w:rsidP="00292202">
      <w:pPr>
        <w:spacing w:after="240" w:line="480" w:lineRule="auto"/>
        <w:rPr>
          <w:rFonts w:ascii="Calibri" w:eastAsia="Calibri" w:hAnsi="Calibri" w:cs="Times New Roman"/>
          <w:sz w:val="24"/>
          <w:szCs w:val="24"/>
        </w:rPr>
      </w:pPr>
    </w:p>
    <w:p w14:paraId="0E461746"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Unlike semi-structured or unstructured interviews, the way that an online survey is constructed is usually fixed, meaning that the order of the questions, the way in which they are phrased, and the scope of what is asked of the participants is unable to be altered in real time as participants interact with the survey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{"citationItems":[{"id":"ITEM-1","itemData":{"DOI":"10.1191/1478088704qp006oa","ISSN":"14780895","abstract":"Women's body hair removal is highly normative across contemporary western cultures. Nevertheless, little is known about the production and maintenance of this norm. Drawing on qualitative survey data from 678 women in the UK, this study offers two explanations: First, hairlessness and hairiness are predominantly constructed as positive and negative alternatives, respectively. Consequently, the ‘options’ to depilate, or not, are unequally weighted. Second, should a woman fail to depilate, she is likely to be subject to interactional sanctions. These exact a social price for being hairy, and serve to ‘enforce’ the depilation norm. Depilation is, then, shown to be a matter not merely of personal preference, but of conforming to a social norm reflecting an imperative to ‘improve’ the body. Taking a feminist perspective, this study understands the depilation norm as an instance of the ‘policing’ of women's bodies within a narrow ideal of social acceptability. © 2004 Taylor &amp; Francis Group, LLC. All rights reserved.","author":[{"dropping-particle":"","family":"Toerien","given":"Merran","non-dropping-particle":"","parse-names":false,"suffix":""},{"dropping-particle":"","family":"Wilkinson","given":"Sue","non-dropping-particle":"","parse-names":false,"suffix":""}],"container-title":"Qualitative Research in Psychology","id":"ITEM-1","issue":"1","issued":{"date-parts":[["2004"]]},"page":"69-92","title":"Exploring the depilation norm: A qualitative questionnaire study of women’s body hair removal","type":"article-journal","volume":"1"},"uris":["http://www.mendeley.com/documents/?uuid=9535ee9b-c92b-403b-bd19-00548f9a9910"]}],"mendeley":{"formattedCitation":"(Toerien &amp; Wilkinson, 2004)","plainTextFormattedCitation":"(Toerien &amp; Wilkinson, 2004)","previouslyFormattedCitation":"(Toerien &amp; Wilkinson, 2004)"},"properties":{"noteIndex":0},"schema":"https://github.com/citation-style-language/schema/raw/master/csl-citation.json"}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(Toerien &amp; Wilkinson, 2004)</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It is therefore of vital importance that questions are phrased and ordered in a clear way, using examples if </w:t>
      </w:r>
      <w:r w:rsidRPr="005062D9">
        <w:rPr>
          <w:rFonts w:ascii="Calibri" w:eastAsia="Calibri" w:hAnsi="Calibri" w:cs="Times New Roman"/>
          <w:sz w:val="24"/>
          <w:szCs w:val="24"/>
        </w:rPr>
        <w:lastRenderedPageBreak/>
        <w:t xml:space="preserve">necessary, to clarify what is being asked of participants. If a researcher is unsuccessful in their survey construction either by missing an opportunity to ask an important question or by phrasing the question poorly, there is little to no chance of recovering the missed information from a participant. This would be detrimental to the data analysis process as the researcher could be forced to omit the participant’s data from the analysis completely. It is however possible to mitigate this. Participants may be offered the option of supplying contact details in case the researcher wishes to carry out follow-up work. Supplying these details would identify the participant but, if made optional, this strikes a balance between offering anonymity and allowing the researcher to collect further information from participants. It is also possible, and advisable, to run a pilot test of the survey with a small number of participants to check that rich and appropriate data is collected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If necessary, alterations may be made to the survey after piloting to improve the researcher’s chances of obtaining good quality data. This pilot testing process will be discussed in more detail </w:t>
      </w:r>
      <w:r>
        <w:rPr>
          <w:rFonts w:ascii="Calibri" w:eastAsia="Calibri" w:hAnsi="Calibri" w:cs="Times New Roman"/>
          <w:sz w:val="24"/>
          <w:szCs w:val="24"/>
        </w:rPr>
        <w:t>in Section 5.2.6.2</w:t>
      </w:r>
      <w:r w:rsidRPr="005062D9">
        <w:rPr>
          <w:rFonts w:ascii="Calibri" w:eastAsia="Calibri" w:hAnsi="Calibri" w:cs="Times New Roman"/>
          <w:sz w:val="24"/>
          <w:szCs w:val="24"/>
        </w:rPr>
        <w:t>.</w:t>
      </w:r>
    </w:p>
    <w:p w14:paraId="31F7980C" w14:textId="77777777" w:rsidR="00292202" w:rsidRPr="005062D9" w:rsidRDefault="00292202" w:rsidP="00292202">
      <w:pPr>
        <w:spacing w:after="240" w:line="480" w:lineRule="auto"/>
        <w:rPr>
          <w:rFonts w:ascii="Calibri" w:eastAsia="Calibri" w:hAnsi="Calibri" w:cs="Times New Roman"/>
          <w:sz w:val="24"/>
          <w:szCs w:val="24"/>
        </w:rPr>
      </w:pPr>
    </w:p>
    <w:p w14:paraId="0290C002"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After consideration of the points made above, it was concluded that online surveys which collected both quantitative and qualitative data would be likely to generate honest, pertinent, rich data from a wide range of participants. This final benefit, the diversity of participant voices, was the defining factor in choosing to gather data using this method over alternative methods such as focus groups, interviews, or observations. These alternative methods focus, by necessity, on smaller sample sizes. Whilst this would be a valid and interesting avenue to pursue, given the wide diversity of the choral scene in the UK, exploring the role of a UK-based choral conductor using data from a small pool of </w:t>
      </w:r>
      <w:r w:rsidRPr="005062D9">
        <w:rPr>
          <w:rFonts w:ascii="Calibri" w:eastAsia="Calibri" w:hAnsi="Calibri" w:cs="Times New Roman"/>
          <w:sz w:val="24"/>
          <w:szCs w:val="24"/>
        </w:rPr>
        <w:lastRenderedPageBreak/>
        <w:t xml:space="preserve">participants and then arguing that this could be used to enact social change for such a diverse community would be of limited use. In choosing to gather information via surveys an attempt was made to gather responses from a diverse range of stakeholders in the choral community in order to best answer the research questions. </w:t>
      </w:r>
    </w:p>
    <w:p w14:paraId="0622B052" w14:textId="77777777" w:rsidR="00292202" w:rsidRPr="005062D9" w:rsidRDefault="00292202" w:rsidP="00292202">
      <w:pPr>
        <w:spacing w:after="240" w:line="480" w:lineRule="auto"/>
        <w:rPr>
          <w:rFonts w:ascii="Calibri" w:eastAsia="Calibri" w:hAnsi="Calibri" w:cs="Times New Roman"/>
          <w:sz w:val="24"/>
          <w:szCs w:val="24"/>
        </w:rPr>
      </w:pPr>
    </w:p>
    <w:p w14:paraId="7BD2F7FB" w14:textId="77777777" w:rsidR="00292202" w:rsidRPr="005062D9" w:rsidRDefault="00292202" w:rsidP="00292202">
      <w:pPr>
        <w:keepNext/>
        <w:keepLines/>
        <w:spacing w:before="40" w:after="240" w:line="480" w:lineRule="auto"/>
        <w:outlineLvl w:val="1"/>
        <w:rPr>
          <w:rFonts w:ascii="Calibri" w:eastAsia="Times New Roman" w:hAnsi="Calibri" w:cs="Times New Roman"/>
          <w:b/>
          <w:sz w:val="28"/>
          <w:szCs w:val="28"/>
        </w:rPr>
      </w:pPr>
      <w:bookmarkStart w:id="21" w:name="_Toc57131284"/>
      <w:bookmarkStart w:id="22" w:name="_Toc83645726"/>
      <w:r w:rsidRPr="005062D9">
        <w:rPr>
          <w:rFonts w:ascii="Calibri" w:eastAsia="Times New Roman" w:hAnsi="Calibri" w:cs="Times New Roman"/>
          <w:b/>
          <w:sz w:val="28"/>
          <w:szCs w:val="28"/>
        </w:rPr>
        <w:t>5.4.2 Online job advert texts</w:t>
      </w:r>
      <w:bookmarkEnd w:id="21"/>
      <w:bookmarkEnd w:id="22"/>
    </w:p>
    <w:p w14:paraId="67803FDF"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addition to gathering data from individual participants via surveys, consideration was also given to the collective opinions of choral groups. The analysis of job adverts is a well-established method of exploring the skills required in workplaces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{"citationItems":[{"id":"ITEM-1","itemData":{"DOI":"10.29173/lirg499","ISSN":"0141-6561","abstract":"An increasing number of research studies in LIS use job adverts as a data source to analyse and track changes to job skills and the employment market over time. This review of 70 research studies in LIS aims to provide an overview of key characteristics of existing research methods, and to suggest improvements which could be made to methods. The researcher analysed different aspects of each study using a quantitative approach, and noted salient features of each study’s methodology. The review found that studies of job adverts in LIS are characterised by: large sample sizes often collected using purposive sampling; a lack of full pilot studies and ethical assessments; minimal use of inferential statistics and automatic text analysis; and minimal use of complementary empirical methods. Studies of job adverts could be improved by: fuller preparation of research methods, more sophisticated methods of analysis, and greater use of secondary empirical methods.","author":[{"dropping-particle":"","family":"Harper","given":"Ray","non-dropping-particle":"","parse-names":false,"suffix":""}],"container-title":"Library and Information Research","id":"ITEM-1","issue":"112","issued":{"date-parts":[["2012"]]},"page":"29-54","title":"The collection and analysis of job advertisements: A review of research methodology","type":"article-journal","volume":"36"},"uris":["http://www.mendeley.com/documents/?uuid=4c436af3-9426-46af-bfd3-7fc4d5e3492a"]}],"mendeley":{"formattedCitation":"(Harper, 2012)","plainTextFormattedCitation":"(Harper, 2012)","previouslyFormattedCitation":"(Harper, 2012)"},"properties":{"noteIndex":0},"schema":"https://github.com/citation-style-language/schema/raw/master/csl-citation.json"}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(Harper, 2012)</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and online job adverts seeking candidates for the role of choral leader can provide an insight into what choirs prioritise when seeking new leadership. Such job adverts represent either the collective expectations of the choral singers in each group or alternatively the opinions of designated representatives within the choir chosen to write the adverts seeking a new leader for the group. In either case, the adverts outline each choir’s desired qualities and/or capabilities in a choral leader. This data is distinct from the survey data which collected individual opinions and allowed singers to write longer, more detailed, and idiosyncratic preferences. Instead the job advert data represents group preferences which would be likely to represent majority views within each group in order to attract appropriate candidates for the choral leader posts.  </w:t>
      </w:r>
    </w:p>
    <w:p w14:paraId="3E1F4E11" w14:textId="77777777" w:rsidR="00292202" w:rsidRPr="005062D9" w:rsidRDefault="00292202" w:rsidP="00292202">
      <w:pPr>
        <w:spacing w:after="240" w:line="480" w:lineRule="auto"/>
        <w:rPr>
          <w:rFonts w:ascii="Calibri" w:eastAsia="Calibri" w:hAnsi="Calibri" w:cs="Times New Roman"/>
          <w:sz w:val="24"/>
          <w:szCs w:val="24"/>
        </w:rPr>
      </w:pPr>
    </w:p>
    <w:p w14:paraId="5202A5E9"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Online job advert texts are a source of rich qualitative data, generated by choirs, free from any researcher interaction. They therefore represented an excellent choice in terms of </w:t>
      </w:r>
      <w:r w:rsidRPr="005062D9">
        <w:rPr>
          <w:rFonts w:ascii="Calibri" w:eastAsia="Calibri" w:hAnsi="Calibri" w:cs="Times New Roman"/>
          <w:sz w:val="24"/>
          <w:szCs w:val="24"/>
        </w:rPr>
        <w:lastRenderedPageBreak/>
        <w:t xml:space="preserve">giving voice to participants and responding to “the impact </w:t>
      </w:r>
      <w:r>
        <w:rPr>
          <w:rFonts w:ascii="Calibri" w:eastAsia="Calibri" w:hAnsi="Calibri" w:cs="Times New Roman"/>
          <w:sz w:val="24"/>
          <w:szCs w:val="24"/>
        </w:rPr>
        <w:t>view</w:t>
      </w:r>
      <w:r w:rsidRPr="005062D9">
        <w:rPr>
          <w:rFonts w:ascii="Calibri" w:eastAsia="Calibri" w:hAnsi="Calibri" w:cs="Times New Roman"/>
          <w:sz w:val="24"/>
          <w:szCs w:val="24"/>
        </w:rPr>
        <w:t xml:space="preserve">” </w:t>
      </w:r>
      <w:r w:rsidRPr="005062D9">
        <w:rPr>
          <w:rFonts w:ascii="Calibri" w:eastAsia="Calibri" w:hAnsi="Calibri" w:cs="Times New Roman"/>
        </w:rPr>
        <w:fldChar w:fldCharType="begin" w:fldLock="1"/>
      </w:r>
      <w:r>
        <w:rPr>
          <w:rFonts w:ascii="Calibri" w:eastAsia="Calibri" w:hAnsi="Calibri" w:cs="Times New Roman"/>
          <w:sz w:val="24"/>
          <w:szCs w:val="24"/>
        </w:rPr>
        <w:instrText>ADDIN CSL_CITATION {"citationItems":[{"id":"ITEM-1","itemData":{"DOI":"10.1093/oxfordhb/9780199660773.013.29","ISBN":"9780199660773","author":[{"dropping-particle":"","family":"Jansson","given":"Dag","non-dropping-particle":"","parse-names":false,"suffix":""}],"container-title":"The Oxford Handbook of Singing","id":"ITEM-1","issue":"September","issued":{"date-parts":[["2019"]]},"page":"864-886","title":"Choral Singers’ Perceptions of Musical Leadership","type":"article-journal"},"uris":["http://www.mendeley.com/documents/?uuid=f60a12a5-a2f5-489c-89f4-eae21fcbdb34"]}],"mendeley":{"formattedCitation":"(Jansson, 2019)","manualFormatting":"(Jansson, 2019, p.866)","plainTextFormattedCitation":"(Jansson, 2019)","previouslyFormattedCitation":"(Jansson, 2019)"},"properties":{"noteIndex":0},"schema":"https://github.com/citation-style-language/schema/raw/master/csl-citation.json"}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(Jansson, 2019, p.</w:t>
      </w:r>
      <w:r>
        <w:rPr>
          <w:rFonts w:ascii="Calibri" w:eastAsia="Calibri" w:hAnsi="Calibri" w:cs="Times New Roman"/>
          <w:noProof/>
          <w:sz w:val="24"/>
          <w:szCs w:val="24"/>
        </w:rPr>
        <w:t>866</w:t>
      </w:r>
      <w:r w:rsidRPr="005062D9">
        <w:rPr>
          <w:rFonts w:ascii="Calibri" w:eastAsia="Calibri" w:hAnsi="Calibri" w:cs="Times New Roman"/>
          <w:noProof/>
          <w:sz w:val="24"/>
          <w:szCs w:val="24"/>
        </w:rPr>
        <w:t>)</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in that they directly address the needs and preferences of choral singers and are created in order to generate positive outcomes for these groups. Collecting data from these adverts also responded directly to the overarching research question for this thesis, “what do singers expect of a UK-based choral leader…?” and the sub-questions “What areas of the singers’ experience is the choral leader expected to take responsibility for?” and “What voice-related areas of choral work are singers expecting a choral leader to be concerned with?” (see section 3.3). </w:t>
      </w:r>
    </w:p>
    <w:p w14:paraId="4AA3BD47" w14:textId="77777777" w:rsidR="00292202" w:rsidRPr="005062D9" w:rsidRDefault="00292202" w:rsidP="00292202">
      <w:pPr>
        <w:spacing w:line="480" w:lineRule="auto"/>
        <w:rPr>
          <w:rFonts w:ascii="Calibri" w:eastAsia="Calibri" w:hAnsi="Calibri" w:cs="Times New Roman"/>
          <w:sz w:val="24"/>
          <w:szCs w:val="24"/>
        </w:rPr>
      </w:pPr>
    </w:p>
    <w:p w14:paraId="06A11A46"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use of online job advert data does have some limitations. Firstly, these adverts were created independently of the research, and so it is possible that a proportion of the content of the adverts may be limited or irrelevant to the project. When collecting this type of data, it is not possible for the researcher to guide the authors. This represents a limitation in that the data set cannot be enhanced by the researcher asking follow-up questions or asking for clarification which may have been possible if other methods of data collection such as semi-structured interviews had been employed. It is also true however that the data set’s independence of researcher prompting represents a benefit in that the original data has been created free from researcher bias and the authors of these texts therefore centre their own group’s priorities as opposed to those of the researcher. </w:t>
      </w:r>
    </w:p>
    <w:p w14:paraId="6D799BDC" w14:textId="77777777" w:rsidR="00292202" w:rsidRPr="005062D9" w:rsidRDefault="00292202" w:rsidP="00292202">
      <w:pPr>
        <w:spacing w:line="480" w:lineRule="auto"/>
        <w:rPr>
          <w:rFonts w:ascii="Calibri" w:eastAsia="Calibri" w:hAnsi="Calibri" w:cs="Times New Roman"/>
          <w:sz w:val="24"/>
          <w:szCs w:val="24"/>
        </w:rPr>
      </w:pPr>
    </w:p>
    <w:p w14:paraId="6D5D3C1B"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Secondly, although in practical terms, public domain online text is relatively easy to obtain and prepare for analysis, job adverts are time</w:t>
      </w:r>
      <w:r>
        <w:rPr>
          <w:rFonts w:ascii="Calibri" w:eastAsia="Calibri" w:hAnsi="Calibri" w:cs="Times New Roman"/>
          <w:sz w:val="24"/>
          <w:szCs w:val="24"/>
        </w:rPr>
        <w:t>-</w:t>
      </w:r>
      <w:r w:rsidRPr="005062D9">
        <w:rPr>
          <w:rFonts w:ascii="Calibri" w:eastAsia="Calibri" w:hAnsi="Calibri" w:cs="Times New Roman"/>
          <w:sz w:val="24"/>
          <w:szCs w:val="24"/>
        </w:rPr>
        <w:t xml:space="preserve">sensitive texts. It is possible that they will be available for only a short period of time and may be deleted once the advertised post has </w:t>
      </w:r>
      <w:r w:rsidRPr="005062D9">
        <w:rPr>
          <w:rFonts w:ascii="Calibri" w:eastAsia="Calibri" w:hAnsi="Calibri" w:cs="Times New Roman"/>
          <w:sz w:val="24"/>
          <w:szCs w:val="24"/>
        </w:rPr>
        <w:lastRenderedPageBreak/>
        <w:t>been filled. The management of the time-sensitive aspect of job advert texts in this study is discussed in more detail later in this chapter.</w:t>
      </w:r>
    </w:p>
    <w:p w14:paraId="2CD7DB4F" w14:textId="77777777" w:rsidR="00292202" w:rsidRPr="005062D9" w:rsidRDefault="00292202" w:rsidP="00292202">
      <w:pPr>
        <w:spacing w:after="240" w:line="480" w:lineRule="auto"/>
        <w:rPr>
          <w:rFonts w:ascii="Calibri" w:eastAsia="Calibri" w:hAnsi="Calibri" w:cs="Times New Roman"/>
          <w:sz w:val="24"/>
          <w:szCs w:val="24"/>
        </w:rPr>
      </w:pPr>
    </w:p>
    <w:p w14:paraId="70053725" w14:textId="77777777" w:rsidR="00292202" w:rsidRPr="005062D9" w:rsidRDefault="00292202" w:rsidP="00292202">
      <w:pPr>
        <w:pStyle w:val="Heading1"/>
        <w:rPr>
          <w:rFonts w:eastAsia="Times New Roman"/>
        </w:rPr>
      </w:pPr>
      <w:bookmarkStart w:id="23" w:name="_Toc57131295"/>
      <w:bookmarkStart w:id="24" w:name="_Toc83645727"/>
      <w:r w:rsidRPr="005062D9">
        <w:rPr>
          <w:rFonts w:eastAsia="Times New Roman"/>
        </w:rPr>
        <w:t>5.5 Ethical Considerations</w:t>
      </w:r>
      <w:bookmarkEnd w:id="23"/>
      <w:r w:rsidRPr="005062D9">
        <w:rPr>
          <w:rFonts w:eastAsia="Times New Roman"/>
        </w:rPr>
        <w:t>/Researcher Positioning</w:t>
      </w:r>
      <w:bookmarkEnd w:id="24"/>
      <w:r w:rsidRPr="005062D9">
        <w:rPr>
          <w:rFonts w:eastAsia="Times New Roman"/>
        </w:rPr>
        <w:t xml:space="preserve"> </w:t>
      </w:r>
    </w:p>
    <w:p w14:paraId="1321714B"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As stated previously, I position myself as an insider researcher within the conducting field, due to my professional experience as a conductor, singer, and singing teacher. This position affords both benefits and challenges in conducting research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{"citationItems":[{"id":"ITEM-1","itemData":{"DOI":"10.4135/9781446287880.n1","ISBN":"9781848606784","abstract":"9781848606784; Doing Work Based Research: Approaches to Enquiry f; Geoffrey C Elliott; Paul Gibbs. approaches; methodology; practitioner research; work practice Key concepts for the insider-researcher","author":[{"dropping-particle":"","family":"Costley","given":"Carol","non-dropping-particle":"","parse-names":false,"suffix":""},{"dropping-particle":"","family":"Elliott","given":"Geoffrey","non-dropping-particle":"","parse-names":false,"suffix":""},{"dropping-particle":"","family":"Gibbs","given":"Paul","non-dropping-particle":"","parse-names":false,"suffix":""}],"container-title":"Doing Work Based Research: Approaches to Enquiry for Insider-Researchers","id":"ITEM-1","issued":{"date-parts":[["2013"]]},"page":"1-7","title":"Key Concepts for the Insider-Researcher","type":"article-journal"},"uris":["http://www.mendeley.com/documents/?uuid=d63a8f1d-5a9a-47fd-9c00-089ef84681cc"]}],"mendeley":{"formattedCitation":"(Costley et al., 2013)","plainTextFormattedCitation":"(Costley et al., 2013)","previouslyFormattedCitation":"(Costley et al., 2013)"},"properties":{"noteIndex":0},"schema":"https://github.com/citation-style-language/schema/raw/master/csl-citation.json"}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(Costley et al., 2013)</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This position impacts on the ethical considerations made in undertaking research within the conducting field. It is incumbent upon me to consider issues of confidentiality and power surrounding my interaction with participants and my use of the data they supply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{"citationItems":[{"id":"ITEM-1","itemData":{"ISSN":"10520147","abstract":"As qualitative researchers, what stories we are told, how they are relayed to us, and the narratives that we form and share with others are inevitably influenced by our position and experiences as a researcher in relation to our participants. This is particularly true for insider research, which is concerned with the study of one's own social group or society. This paper explores some of the possible methodological insights and challenges that may arise from insider research, and suggests several techniques and tools that may be utilized to aid in, rather than hinder, the process of the telling and sharing of participants' stories. Such strategies may also be used to minimize ethical implications, avoid potential bias and increase the trustworthiness of the data gathered. This analysis draws on the author's own experiences as an insider researcher and principal investigator on a research project that employed qualitative methodologies. [ABSTRACT FROM AUTHOR]","author":[{"dropping-particle":"","family":"Greene","given":"Melanie","non-dropping-particle":"","parse-names":false,"suffix":""}],"container-title":"Qualitative Report","id":"ITEM-1","issue":"29","issued":{"date-parts":[["2014"]]},"title":"On the Inside Looking In: Methodological Insights and Challenges in Conducting Qualitative Insider Research.","type":"article-journal","volume":"19"},"uris":["http://www.mendeley.com/documents/?uuid=cf188835-c8d9-4c23-84eb-aee6de65c0b3"]}],"mendeley":{"formattedCitation":"(Greene, 2014)","plainTextFormattedCitation":"(Greene, 2014)","previouslyFormattedCitation":"(Greene, 2014)"},"properties":{"noteIndex":0},"schema":"https://github.com/citation-style-language/schema/raw/master/csl-citation.json"}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(Greene, 2014)</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w:t>
      </w:r>
    </w:p>
    <w:p w14:paraId="0503FEA0" w14:textId="77777777" w:rsidR="00292202" w:rsidRPr="005062D9" w:rsidRDefault="00292202" w:rsidP="00292202">
      <w:pPr>
        <w:spacing w:line="480" w:lineRule="auto"/>
        <w:rPr>
          <w:rFonts w:ascii="Calibri" w:eastAsia="Calibri" w:hAnsi="Calibri" w:cs="Times New Roman"/>
          <w:sz w:val="24"/>
          <w:szCs w:val="24"/>
        </w:rPr>
      </w:pPr>
    </w:p>
    <w:p w14:paraId="054BF255"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 therefore reflected on the data gathering methods chosen for this study, and how I could ensure that I maintained confidentiality for participants in order to avoid any detriment or distress to them in taking part in the research. I also reflected on the methods chosen in terms of their potential for obtaining data without an imbalanced power dynamic influencing the data gathering process. </w:t>
      </w:r>
    </w:p>
    <w:p w14:paraId="4D9C4ED1" w14:textId="77777777" w:rsidR="00292202" w:rsidRPr="005062D9" w:rsidRDefault="00292202" w:rsidP="00292202">
      <w:pPr>
        <w:spacing w:line="480" w:lineRule="auto"/>
        <w:rPr>
          <w:rFonts w:ascii="Calibri" w:eastAsia="Calibri" w:hAnsi="Calibri" w:cs="Times New Roman"/>
          <w:sz w:val="24"/>
          <w:szCs w:val="24"/>
        </w:rPr>
      </w:pPr>
    </w:p>
    <w:p w14:paraId="00887AA7" w14:textId="77777777" w:rsidR="00292202" w:rsidRPr="005062D9" w:rsidRDefault="00292202" w:rsidP="00292202">
      <w:pPr>
        <w:spacing w:after="240" w:line="480" w:lineRule="auto"/>
        <w:rPr>
          <w:rFonts w:ascii="Calibri" w:eastAsia="Calibri" w:hAnsi="Calibri" w:cs="Times New Roman"/>
          <w:b/>
          <w:bCs/>
          <w:sz w:val="24"/>
          <w:szCs w:val="24"/>
        </w:rPr>
      </w:pPr>
      <w:r w:rsidRPr="005062D9">
        <w:rPr>
          <w:rFonts w:ascii="Calibri" w:eastAsia="Calibri" w:hAnsi="Calibri" w:cs="Times New Roman"/>
          <w:b/>
          <w:bCs/>
          <w:sz w:val="24"/>
          <w:szCs w:val="24"/>
        </w:rPr>
        <w:t>Job Advert Collection</w:t>
      </w:r>
    </w:p>
    <w:p w14:paraId="0ED5FA2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It has been argued that, as qualitative textual analysis is an unobtrusive form of analysis, the collection of job adverts may be conducted without influencing the authors of the texts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{"citationItems":[{"id":"ITEM-1","itemData":{"author":[{"dropping-particle":"","family":"Cali","given":"Jeanine. R","non-dropping-particle":"","parse-names":false,"suffix":""}],"id":"ITEM-1","issued":{"date-parts":[["2000"]]},"number-of-pages":"32","publisher":"University of Morth Carolina at Chapel Hill","title":"Law Firm Librarian Requirements: A Content Analysis of Skills and Qualifications","type":"thesis"},"uris":["http://www.mendeley.com/documents/?uuid=a11e80f7-4c83-4fb0-b8a8-40c21da1336c"]}],"mendeley":{"formattedCitation":"(Cali, 2000)","manualFormatting":"(Cali, 2000)","plainTextFormattedCitation":"(Cali, 2000)","previouslyFormattedCitation":"(Cali, 2000)"},"properties":{"noteIndex":0},"schema":"https://github.com/citation-style-language/schema/raw/master/csl-citation.json"}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(Cali, 2000)</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For this reason the initial collection of this form of data mitigated any power </w:t>
      </w:r>
      <w:r w:rsidRPr="005062D9">
        <w:rPr>
          <w:rFonts w:ascii="Calibri" w:eastAsia="Calibri" w:hAnsi="Calibri" w:cs="Times New Roman"/>
          <w:sz w:val="24"/>
          <w:szCs w:val="24"/>
        </w:rPr>
        <w:lastRenderedPageBreak/>
        <w:t xml:space="preserve">imbalance between myself and participants as I was not present during the generation of the data. From an ethical perspective, it has been argued that the collection of public domain texts, particularly those intended for advertisement, presents no ethical issues in research provided that the texts have been collected from a public space where there are no “reasonable expectations of privacy”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{"citationItems":[{"id":"ITEM-1","itemData":{"ISSN":"1755-1382","abstract":"Internet-based research methods can include: online surveys, web page content analysis, videoconferencing\\nfor online focus groups and/or interviews, analysis of ‘e-conversations’ through social networking sites,\\nemail, chat rooms, discussion boards and/or blogs. Over the last ten years, an upsurge in internet-based\\nresearch (IBR) has led to increased interest in IBR and research ethics. Here we present some ethical\\nguidelines for IBR while accepting that it would be unrealistic to expect that any single set of guidelines\\ncan cover all ethical situations concerning IBR. There is simply too much diversity across internet cultures,\\nvalues and modes of operation for that to be the case. Perhaps the most useful solution to the complex\\nchallenges of IBR lies with a form of ‘negotiated ethics’, a situated approach grounded in the specifics of\\nthe online community, the methodology and the research question(s). This does not mean an ‘anything\\ngoes’ relativist approach, rather an open, pluralistic policy in relation to IBR ethical issues (Ess, 2009; AoIR,\\n2002).","author":[{"dropping-particle":"","family":"Convery","given":"Ian","non-dropping-particle":"","parse-names":false,"suffix":""},{"dropping-particle":"","family":"Cox","given":"Diane","non-dropping-particle":"","parse-names":false,"suffix":""}],"container-title":"Practitioner Research in Higher Education","id":"ITEM-1","issue":"1","issued":{"date-parts":[["2012"]]},"page":"50-57","title":"A Review of Research Ethics in Internet-Based Research.","type":"article-journal","volume":"6"},"uris":["http://www.mendeley.com/documents/?uuid=b46c0160-25a7-46c0-ada6-f26411c26d04"]}],"mendeley":{"formattedCitation":"(Convery &amp; Cox, 2012)","manualFormatting":"(Convery &amp; Cox, 2012, p.51)","plainTextFormattedCitation":"(Convery &amp; Cox, 2012)","previouslyFormattedCitation":"(Convery &amp; Cox, 2012)"},"properties":{"noteIndex":0},"schema":"https://github.com/citation-style-language/schema/raw/master/csl-citation.json"}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(Convery &amp; Cox, 2012, p.51)</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and the collection of this data does not present a risk of harm to those generating the data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{"citationItems":[{"id":"ITEM-1","itemData":{"ISSN":"1755-1382","abstract":"Internet-based research methods can include: online surveys, web page content analysis, videoconferencing\\nfor online focus groups and/or interviews, analysis of ‘e-conversations’ through social networking sites,\\nemail, chat rooms, discussion boards and/or blogs. Over the last ten years, an upsurge in internet-based\\nresearch (IBR) has led to increased interest in IBR and research ethics. Here we present some ethical\\nguidelines for IBR while accepting that it would be unrealistic to expect that any single set of guidelines\\ncan cover all ethical situations concerning IBR. There is simply too much diversity across internet cultures,\\nvalues and modes of operation for that to be the case. Perhaps the most useful solution to the complex\\nchallenges of IBR lies with a form of ‘negotiated ethics’, a situated approach grounded in the specifics of\\nthe online community, the methodology and the research question(s). This does not mean an ‘anything\\ngoes’ relativist approach, rather an open, pluralistic policy in relation to IBR ethical issues (Ess, 2009; AoIR,\\n2002).","author":[{"dropping-particle":"","family":"Convery","given":"Ian","non-dropping-particle":"","parse-names":false,"suffix":""},{"dropping-particle":"","family":"Cox","given":"Diane","non-dropping-particle":"","parse-names":false,"suffix":""}],"container-title":"Practitioner Research in Higher Education","id":"ITEM-1","issue":"1","issued":{"date-parts":[["2012"]]},"page":"50-57","title":"A Review of Research Ethics in Internet-Based Research.","type":"article-journal","volume":"6"},"uris":["http://www.mendeley.com/documents/?uuid=b46c0160-25a7-46c0-ada6-f26411c26d04"]}],"mendeley":{"formattedCitation":"(Convery &amp; Cox, 2012)","plainTextFormattedCitation":"(Convery &amp; Cox, 2012)","previouslyFormattedCitation":"(Convery &amp; Cox, 2012)"},"properties":{"noteIndex":0},"schema":"https://github.com/citation-style-language/schema/raw/master/csl-citation.json"}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(Convery &amp; Cox, 2012)</w:t>
      </w:r>
      <w:r w:rsidRPr="005062D9">
        <w:rPr>
          <w:rFonts w:ascii="Calibri" w:eastAsia="Calibri" w:hAnsi="Calibri" w:cs="Times New Roman"/>
        </w:rPr>
        <w:fldChar w:fldCharType="end"/>
      </w:r>
      <w:r w:rsidRPr="005062D9">
        <w:rPr>
          <w:rFonts w:ascii="Calibri" w:eastAsia="Calibri" w:hAnsi="Calibri" w:cs="Times New Roman"/>
          <w:sz w:val="24"/>
          <w:szCs w:val="24"/>
        </w:rPr>
        <w:t>. The collection of job advert data could therefore be compared to the collection of data from a newspaper in that the authors are “seeking ‘public visibility’”</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{"citationItems":[{"id":"ITEM-1","itemData":{"ISSN":"1755-1382","abstract":"Internet-based research methods can include: online surveys, web page content analysis, videoconferencing\\nfor online focus groups and/or interviews, analysis of ‘e-conversations’ through social networking sites,\\nemail, chat rooms, discussion boards and/or blogs. Over the last ten years, an upsurge in internet-based\\nresearch (IBR) has led to increased interest in IBR and research ethics. Here we present some ethical\\nguidelines for IBR while accepting that it would be unrealistic to expect that any single set of guidelines\\ncan cover all ethical situations concerning IBR. There is simply too much diversity across internet cultures,\\nvalues and modes of operation for that to be the case. Perhaps the most useful solution to the complex\\nchallenges of IBR lies with a form of ‘negotiated ethics’, a situated approach grounded in the specifics of\\nthe online community, the methodology and the research question(s). This does not mean an ‘anything\\ngoes’ relativist approach, rather an open, pluralistic policy in relation to IBR ethical issues (Ess, 2009; AoIR,\\n2002).","author":[{"dropping-particle":"","family":"Convery","given":"Ian","non-dropping-particle":"","parse-names":false,"suffix":""},{"dropping-particle":"","family":"Cox","given":"Diane","non-dropping-particle":"","parse-names":false,"suffix":""}],"container-title":"Practitioner Research in Higher Education","id":"ITEM-1","issue":"1","issued":{"date-parts":[["2012"]]},"page":"50-57","title":"A Review of Research Ethics in Internet-Based Research.","type":"article-journal","volume":"6"},"uris":["http://www.mendeley.com/documents/?uuid=b46c0160-25a7-46c0-ada6-f26411c26d04"]}],"mendeley":{"formattedCitation":"(Convery &amp; Cox, 2012)","manualFormatting":"(Convery &amp; Cox, 2012, p.51)","plainTextFormattedCitation":"(Convery &amp; Cox, 2012)","previouslyFormattedCitation":"(Convery &amp; Cox, 2012)"},"properties":{"noteIndex":0},"schema":"https://github.com/citation-style-language/schema/raw/master/csl-citation.json"}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(Convery &amp; Cox, 2012, p.51)</w:t>
      </w:r>
      <w:r w:rsidRPr="005062D9">
        <w:rPr>
          <w:rFonts w:ascii="Calibri" w:eastAsia="Calibri" w:hAnsi="Calibri" w:cs="Times New Roman"/>
        </w:rPr>
        <w:fldChar w:fldCharType="end"/>
      </w:r>
      <w:r w:rsidRPr="005062D9">
        <w:rPr>
          <w:rFonts w:ascii="Calibri" w:eastAsia="Calibri" w:hAnsi="Calibri" w:cs="Times New Roman"/>
          <w:sz w:val="24"/>
          <w:szCs w:val="24"/>
        </w:rPr>
        <w:t>. There is however a key difference between newspaper and online data, that is that the use of search engines may be employed to find any quotes published in a research write-up, and this could lead to a loss of anonymity for the author.</w:t>
      </w:r>
    </w:p>
    <w:p w14:paraId="41EAD827" w14:textId="77777777" w:rsidR="00292202" w:rsidRPr="005062D9" w:rsidRDefault="00292202" w:rsidP="00292202">
      <w:pPr>
        <w:spacing w:after="240" w:line="480" w:lineRule="auto"/>
        <w:rPr>
          <w:rFonts w:ascii="Calibri" w:eastAsia="Calibri" w:hAnsi="Calibri" w:cs="Times New Roman"/>
          <w:sz w:val="24"/>
          <w:szCs w:val="24"/>
        </w:rPr>
      </w:pPr>
    </w:p>
    <w:p w14:paraId="69732CA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Whilst it was deemed unlikely that authors of job adverts would suffer any detriment in this data being used, it was acknowledged that as the UK choral scene is closely networked, it would potentially be unfair to allow these authors to be identified in the research. In addition to following Harper’s guidance on the anonymisation of identifying contact details or information contained within the data set prior to analysis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{"citationItems":[{"id":"ITEM-1","itemData":{"DOI":"10.29173/lirg499","ISSN":"0141-6561","abstract":"An increasing number of research studies in LIS use job adverts as a data source to analyse and track changes to job skills and the employment market over time. This review of 70 research studies in LIS aims to provide an overview of key characteristics of existing research methods, and to suggest improvements which could be made to methods. The researcher analysed different aspects of each study using a quantitative approach, and noted salient features of each study’s methodology. The review found that studies of job adverts in LIS are characterised by: large sample sizes often collected using purposive sampling; a lack of full pilot studies and ethical assessments; minimal use of inferential statistics and automatic text analysis; and minimal use of complementary empirical methods. Studies of job adverts could be improved by: fuller preparation of research methods, more sophisticated methods of analysis, and greater use of secondary empirical methods.","author":[{"dropping-particle":"","family":"Harper","given":"Ray","non-dropping-particle":"","parse-names":false,"suffix":""}],"container-title":"Library and Information Research","id":"ITEM-1","issue":"112","issued":{"date-parts":[["2012"]]},"page":"29-54","title":"The collection and analysis of job advertisements: A review of research methodology","type":"article-journal","volume":"36"},"uris":["http://www.mendeley.com/documents/?uuid=4c436af3-9426-46af-bfd3-7fc4d5e3492a"]}],"mendeley":{"formattedCitation":"(Harper, 2012)","plainTextFormattedCitation":"(Harper, 2012)","previouslyFormattedCitation":"(Harper, 2012)"},"properties":{"noteIndex":0},"schema":"https://github.com/citation-style-language/schema/raw/master/csl-citation.json"}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(Harper, 2012)</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no direct quotes from advertisements are included within the thesis and appendix to avoid any possibility of authors being identified using a search engine. Due to the fact that the results of the job advert analysis were intended for use only as a structure for further analysis (see section 5.6), it was not anticipated that presenting quotations would be necessary. It was however decided that if examples from the data set became necessary in the write-up, these would be paraphrased, not directly quoted. </w:t>
      </w:r>
    </w:p>
    <w:p w14:paraId="02856BD9" w14:textId="77777777" w:rsidR="00292202" w:rsidRPr="005062D9" w:rsidRDefault="00292202" w:rsidP="00292202">
      <w:pPr>
        <w:spacing w:after="240" w:line="480" w:lineRule="auto"/>
        <w:rPr>
          <w:rFonts w:ascii="Calibri" w:eastAsia="Calibri" w:hAnsi="Calibri" w:cs="Times New Roman"/>
          <w:sz w:val="24"/>
          <w:szCs w:val="24"/>
        </w:rPr>
      </w:pPr>
    </w:p>
    <w:p w14:paraId="5387217F" w14:textId="77777777" w:rsidR="00292202" w:rsidRPr="005062D9" w:rsidRDefault="00292202" w:rsidP="00292202">
      <w:pPr>
        <w:spacing w:after="240" w:line="480" w:lineRule="auto"/>
        <w:rPr>
          <w:rFonts w:ascii="Calibri" w:eastAsia="Calibri" w:hAnsi="Calibri" w:cs="Times New Roman"/>
          <w:b/>
          <w:bCs/>
          <w:sz w:val="24"/>
          <w:szCs w:val="24"/>
        </w:rPr>
      </w:pPr>
      <w:r w:rsidRPr="005062D9">
        <w:rPr>
          <w:rFonts w:ascii="Calibri" w:eastAsia="Calibri" w:hAnsi="Calibri" w:cs="Times New Roman"/>
          <w:b/>
          <w:bCs/>
          <w:sz w:val="24"/>
          <w:szCs w:val="24"/>
        </w:rPr>
        <w:t>Online Surveys</w:t>
      </w:r>
    </w:p>
    <w:p w14:paraId="021CF1C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use of online surveys as a qualitative data-gathering tool as opposed to interviews or focus groups allowed me to maintain a distance from participants during the data gathering process and offer them anonymity in the data gathering process. This was beneficial both in reducing my potential to unconsciously bias the participants, and in reducing the participants’ potential perceptions of a power imbalance between myself and them during data gathering which could influence the honesty or depth of the participants’ responses. </w:t>
      </w:r>
    </w:p>
    <w:p w14:paraId="2B748509" w14:textId="77777777" w:rsidR="00292202" w:rsidRPr="005062D9" w:rsidRDefault="00292202" w:rsidP="00292202">
      <w:pPr>
        <w:spacing w:after="240" w:line="480" w:lineRule="auto"/>
        <w:rPr>
          <w:rFonts w:ascii="Calibri" w:eastAsia="Calibri" w:hAnsi="Calibri" w:cs="Times New Roman"/>
          <w:sz w:val="24"/>
          <w:szCs w:val="24"/>
        </w:rPr>
      </w:pPr>
    </w:p>
    <w:p w14:paraId="30207C05"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Both conductors and singers may have felt self-conscious about speaking to me in interviews or focus groups due to my position and experience in the conducting field. It is worth noting that the UK choral conducting community is well-networked, with online forums and word-of-mouth networks allowing a free flow of communication between practitioners. There is therefore a risk that participants may have avoided sharing negative opinions with me as a member of this community and their tact may have obscured useful data that could have been obtained. A survey </w:t>
      </w:r>
      <w:r>
        <w:rPr>
          <w:rFonts w:ascii="Calibri" w:eastAsia="Calibri" w:hAnsi="Calibri" w:cs="Times New Roman"/>
          <w:sz w:val="24"/>
          <w:szCs w:val="24"/>
        </w:rPr>
        <w:t>that</w:t>
      </w:r>
      <w:r w:rsidRPr="005062D9">
        <w:rPr>
          <w:rFonts w:ascii="Calibri" w:eastAsia="Calibri" w:hAnsi="Calibri" w:cs="Times New Roman"/>
          <w:sz w:val="24"/>
          <w:szCs w:val="24"/>
        </w:rPr>
        <w:t xml:space="preserve"> gives participants anonymity in the process allows greater freedom to participants to speak honestly and unselfconsciously.</w:t>
      </w:r>
    </w:p>
    <w:p w14:paraId="69429CD0" w14:textId="77777777" w:rsidR="00292202" w:rsidRPr="005062D9" w:rsidRDefault="00292202" w:rsidP="00292202">
      <w:pPr>
        <w:spacing w:after="240" w:line="480" w:lineRule="auto"/>
        <w:rPr>
          <w:rFonts w:ascii="Calibri" w:eastAsia="Calibri" w:hAnsi="Calibri" w:cs="Times New Roman"/>
          <w:sz w:val="24"/>
          <w:szCs w:val="24"/>
        </w:rPr>
      </w:pPr>
    </w:p>
    <w:p w14:paraId="3B86BEF7"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An information and consent sheet including information about participants’ right to withdraw from the study were included on the opening page of the survey. Contact details for the researcher and the school’s Ethics Officer were also included on this page for use by </w:t>
      </w:r>
      <w:r w:rsidRPr="005062D9">
        <w:rPr>
          <w:rFonts w:ascii="Calibri" w:eastAsia="Calibri" w:hAnsi="Calibri" w:cs="Times New Roman"/>
          <w:sz w:val="24"/>
          <w:szCs w:val="24"/>
        </w:rPr>
        <w:lastRenderedPageBreak/>
        <w:t xml:space="preserve">any participants who had questions about the research or concerns about the way in which it was being conducted. No such concerns were reported by participants during the research period. Participants were required to confirm that they had read this information and that they were both over 18 years of age and a choral singer based in the UK before they could participate in the survey. </w:t>
      </w:r>
    </w:p>
    <w:p w14:paraId="3B58D6AF" w14:textId="77777777" w:rsidR="00292202" w:rsidRPr="005062D9" w:rsidRDefault="00292202" w:rsidP="00292202">
      <w:pPr>
        <w:spacing w:after="240" w:line="480" w:lineRule="auto"/>
        <w:rPr>
          <w:rFonts w:ascii="Calibri" w:eastAsia="Calibri" w:hAnsi="Calibri" w:cs="Times New Roman"/>
          <w:sz w:val="24"/>
          <w:szCs w:val="24"/>
        </w:rPr>
      </w:pPr>
    </w:p>
    <w:p w14:paraId="5A30BFF4"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Ethical approval for the job advert collection, pilot survey and the main survey was granted by </w:t>
      </w:r>
      <w:r>
        <w:rPr>
          <w:rFonts w:ascii="Calibri" w:eastAsia="Calibri" w:hAnsi="Calibri" w:cs="Times New Roman"/>
          <w:sz w:val="24"/>
          <w:szCs w:val="24"/>
        </w:rPr>
        <w:t>T</w:t>
      </w:r>
      <w:r w:rsidRPr="00A52F5B">
        <w:rPr>
          <w:rFonts w:ascii="Calibri" w:eastAsia="Calibri" w:hAnsi="Calibri" w:cs="Times New Roman"/>
          <w:sz w:val="24"/>
          <w:szCs w:val="24"/>
        </w:rPr>
        <w:t>he Committee for Research Ethics &amp; Governance in Arts, Social Sciences &amp; Business</w:t>
      </w:r>
      <w:r w:rsidRPr="005062D9">
        <w:rPr>
          <w:rFonts w:ascii="Calibri" w:eastAsia="Calibri" w:hAnsi="Calibri" w:cs="Times New Roman"/>
          <w:sz w:val="24"/>
          <w:szCs w:val="24"/>
        </w:rPr>
        <w:t>, University of Aberdeen.</w:t>
      </w:r>
    </w:p>
    <w:p w14:paraId="1B40DF51" w14:textId="77777777" w:rsidR="00292202" w:rsidRPr="005062D9" w:rsidRDefault="00292202" w:rsidP="00292202">
      <w:pPr>
        <w:spacing w:line="480" w:lineRule="auto"/>
        <w:contextualSpacing/>
        <w:rPr>
          <w:rFonts w:ascii="Calibri" w:eastAsia="Calibri" w:hAnsi="Calibri" w:cs="Times New Roman"/>
          <w:sz w:val="24"/>
          <w:szCs w:val="24"/>
        </w:rPr>
      </w:pPr>
      <w:bookmarkStart w:id="25" w:name="_Toc57131285"/>
      <w:bookmarkStart w:id="26" w:name="_Hlk65593852"/>
    </w:p>
    <w:p w14:paraId="22C3DA94" w14:textId="77777777" w:rsidR="00292202" w:rsidRPr="005062D9" w:rsidRDefault="00292202" w:rsidP="00292202">
      <w:pPr>
        <w:keepNext/>
        <w:keepLines/>
        <w:spacing w:before="240" w:after="0" w:line="480" w:lineRule="auto"/>
        <w:outlineLvl w:val="0"/>
        <w:rPr>
          <w:rFonts w:ascii="Calibri" w:eastAsia="Times New Roman" w:hAnsi="Calibri" w:cs="Times New Roman"/>
          <w:b/>
          <w:sz w:val="36"/>
          <w:szCs w:val="36"/>
        </w:rPr>
      </w:pPr>
      <w:bookmarkStart w:id="27" w:name="_Toc83645728"/>
      <w:r w:rsidRPr="005062D9">
        <w:rPr>
          <w:rFonts w:ascii="Calibri" w:eastAsia="Times New Roman" w:hAnsi="Calibri" w:cs="Times New Roman"/>
          <w:b/>
          <w:sz w:val="36"/>
          <w:szCs w:val="36"/>
        </w:rPr>
        <w:t>5.6 Data Gathering Procedure</w:t>
      </w:r>
      <w:bookmarkEnd w:id="25"/>
      <w:bookmarkEnd w:id="27"/>
    </w:p>
    <w:p w14:paraId="4EA5236D" w14:textId="77777777" w:rsidR="00292202" w:rsidRPr="005062D9" w:rsidRDefault="00292202" w:rsidP="00292202">
      <w:pPr>
        <w:spacing w:line="480" w:lineRule="auto"/>
        <w:rPr>
          <w:rFonts w:ascii="Calibri" w:eastAsia="Calibri" w:hAnsi="Calibri" w:cs="Times New Roman"/>
          <w:sz w:val="24"/>
          <w:szCs w:val="24"/>
        </w:rPr>
      </w:pPr>
      <w:bookmarkStart w:id="28" w:name="_Hlk65593619"/>
      <w:bookmarkEnd w:id="26"/>
      <w:r w:rsidRPr="005062D9">
        <w:rPr>
          <w:rFonts w:ascii="Calibri" w:eastAsia="Calibri" w:hAnsi="Calibri" w:cs="Times New Roman"/>
          <w:sz w:val="24"/>
          <w:szCs w:val="24"/>
        </w:rPr>
        <w:t>It was determined that it would not be logical to collect and analyse both types of data i.e. job advert texts and survey responses, simultaneously. This was due to the fact that job advert data would likely represent collective choir group priorities and singer survey data would represent individual opinions. Amalgamating both types of data would not be productive.</w:t>
      </w:r>
    </w:p>
    <w:bookmarkEnd w:id="28"/>
    <w:p w14:paraId="304CE743" w14:textId="77777777" w:rsidR="00292202" w:rsidRPr="005062D9" w:rsidRDefault="00292202" w:rsidP="00292202">
      <w:pPr>
        <w:spacing w:line="480" w:lineRule="auto"/>
        <w:rPr>
          <w:rFonts w:ascii="Calibri" w:eastAsia="Calibri" w:hAnsi="Calibri" w:cs="Times New Roman"/>
          <w:sz w:val="24"/>
          <w:szCs w:val="24"/>
        </w:rPr>
      </w:pPr>
    </w:p>
    <w:p w14:paraId="1150C6F1"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 two-phase approach to data gathering was therefore designed. Firstly, job advert data was collected on a relatively small scale and analysed to gain an initial overview of choir priorities in choral leadership.  The results of this analysis were then used in the construction and analysis of the singer survey which then gathered data from individuals on </w:t>
      </w:r>
      <w:r w:rsidRPr="005062D9">
        <w:rPr>
          <w:rFonts w:ascii="Calibri" w:eastAsia="Calibri" w:hAnsi="Calibri" w:cs="Times New Roman"/>
          <w:sz w:val="24"/>
          <w:szCs w:val="24"/>
        </w:rPr>
        <w:lastRenderedPageBreak/>
        <w:t>a larger scale. Selected extracts of the job advert analysis results will be presented within the following sections of this chapter, not as findings, but as part of the study’s methodological structure. The full results of the job advert analysis are also included for reference however in the Appendix to this thesis (see p.</w:t>
      </w:r>
      <w:r>
        <w:rPr>
          <w:rFonts w:ascii="Calibri" w:eastAsia="Calibri" w:hAnsi="Calibri" w:cs="Times New Roman"/>
          <w:sz w:val="24"/>
          <w:szCs w:val="24"/>
        </w:rPr>
        <w:t>360</w:t>
      </w:r>
      <w:r w:rsidRPr="005062D9">
        <w:rPr>
          <w:rFonts w:ascii="Calibri" w:eastAsia="Calibri" w:hAnsi="Calibri" w:cs="Times New Roman"/>
          <w:sz w:val="24"/>
          <w:szCs w:val="24"/>
        </w:rPr>
        <w:t>).</w:t>
      </w:r>
    </w:p>
    <w:p w14:paraId="62ECB79B" w14:textId="77777777" w:rsidR="00292202" w:rsidRPr="005062D9" w:rsidRDefault="00292202" w:rsidP="00292202">
      <w:pPr>
        <w:spacing w:line="480" w:lineRule="auto"/>
        <w:rPr>
          <w:rFonts w:ascii="Calibri" w:eastAsia="Calibri" w:hAnsi="Calibri" w:cs="Times New Roman"/>
          <w:sz w:val="24"/>
          <w:szCs w:val="24"/>
        </w:rPr>
      </w:pPr>
    </w:p>
    <w:p w14:paraId="2E4CAE05" w14:textId="77777777" w:rsidR="00292202" w:rsidRPr="005062D9" w:rsidRDefault="00292202" w:rsidP="00292202">
      <w:pPr>
        <w:spacing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 Using the results of the initial job advert analysis as a structure for the second phase of the research allows for more efficient analysis and therefore the possibility of analysing a larger data set. This design addresses both the primary research question which relates to singer expectations of choral leadership, and, due to the larger scale of data gathering in phase 2, also sub-research question 1c</w:t>
      </w:r>
      <w:r w:rsidRPr="005062D9">
        <w:rPr>
          <w:rFonts w:ascii="Calibri" w:eastAsia="Calibri" w:hAnsi="Calibri" w:cs="Times New Roman"/>
          <w:b/>
          <w:bCs/>
          <w:sz w:val="24"/>
          <w:szCs w:val="24"/>
        </w:rPr>
        <w:t>. Might this set of responsibilities vary across genres/contexts?.</w:t>
      </w:r>
    </w:p>
    <w:p w14:paraId="4EBCC132" w14:textId="77777777" w:rsidR="00292202" w:rsidRPr="005062D9" w:rsidRDefault="00292202" w:rsidP="00292202">
      <w:pPr>
        <w:spacing w:line="480" w:lineRule="auto"/>
        <w:rPr>
          <w:rFonts w:ascii="Calibri" w:eastAsia="Calibri" w:hAnsi="Calibri" w:cs="Times New Roman"/>
          <w:sz w:val="24"/>
          <w:szCs w:val="24"/>
        </w:rPr>
      </w:pPr>
    </w:p>
    <w:p w14:paraId="3A4C6AAA" w14:textId="77777777" w:rsidR="00292202" w:rsidRPr="005062D9" w:rsidRDefault="00292202" w:rsidP="00292202">
      <w:pPr>
        <w:keepNext/>
        <w:keepLines/>
        <w:spacing w:before="40" w:after="0" w:line="480" w:lineRule="auto"/>
        <w:outlineLvl w:val="1"/>
        <w:rPr>
          <w:rFonts w:ascii="Calibri" w:eastAsia="Times New Roman" w:hAnsi="Calibri" w:cs="Times New Roman"/>
          <w:b/>
          <w:sz w:val="28"/>
          <w:szCs w:val="28"/>
        </w:rPr>
      </w:pPr>
      <w:bookmarkStart w:id="29" w:name="_Toc57131288"/>
      <w:bookmarkStart w:id="30" w:name="_Toc83645729"/>
      <w:r w:rsidRPr="005062D9">
        <w:rPr>
          <w:rFonts w:ascii="Calibri" w:eastAsia="Times New Roman" w:hAnsi="Calibri" w:cs="Times New Roman"/>
          <w:b/>
          <w:sz w:val="28"/>
          <w:szCs w:val="28"/>
        </w:rPr>
        <w:t>5.6.1 Online Choral Conductor Job Adverts</w:t>
      </w:r>
      <w:bookmarkEnd w:id="29"/>
      <w:bookmarkEnd w:id="30"/>
      <w:r w:rsidRPr="005062D9">
        <w:rPr>
          <w:rFonts w:ascii="Calibri" w:eastAsia="Times New Roman" w:hAnsi="Calibri" w:cs="Times New Roman"/>
          <w:b/>
          <w:sz w:val="28"/>
          <w:szCs w:val="28"/>
        </w:rPr>
        <w:t xml:space="preserve"> </w:t>
      </w:r>
    </w:p>
    <w:p w14:paraId="20A4CAE2" w14:textId="77777777" w:rsidR="00292202" w:rsidRPr="005062D9" w:rsidRDefault="00292202" w:rsidP="00292202">
      <w:pPr>
        <w:keepNext/>
        <w:keepLines/>
        <w:spacing w:before="40" w:after="0" w:line="480" w:lineRule="auto"/>
        <w:outlineLvl w:val="2"/>
        <w:rPr>
          <w:rFonts w:ascii="Calibri" w:eastAsia="Times New Roman" w:hAnsi="Calibri" w:cs="Times New Roman"/>
          <w:b/>
          <w:sz w:val="28"/>
          <w:szCs w:val="28"/>
        </w:rPr>
      </w:pPr>
      <w:bookmarkStart w:id="31" w:name="_Toc57131289"/>
      <w:bookmarkStart w:id="32" w:name="_Toc83645730"/>
      <w:r w:rsidRPr="005062D9">
        <w:rPr>
          <w:rFonts w:ascii="Calibri" w:eastAsia="Times New Roman" w:hAnsi="Calibri" w:cs="Times New Roman"/>
          <w:b/>
          <w:sz w:val="28"/>
          <w:szCs w:val="28"/>
        </w:rPr>
        <w:t>5.6.1.1 Data collection process</w:t>
      </w:r>
      <w:bookmarkEnd w:id="31"/>
      <w:bookmarkEnd w:id="32"/>
    </w:p>
    <w:p w14:paraId="6D0812BF"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In a review of research methodology relating to the collection and analysis of job advertisements Harper (2012) notes that “the majority of studies analysed more than 100 job adverts in their sample, suggesting that this could be an acceptable minimum sample size”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{"citationItems":[{"id":"ITEM-1","itemData":{"DOI":"10.29173/lirg499","ISSN":"0141-6561","abstract":"An increasing number of research studies in LIS use job adverts as a data source to analyse and track changes to job skills and the employment market over time. This review of 70 research studies in LIS aims to provide an overview of key characteristics of existing research methods, and to suggest improvements which could be made to methods. The researcher analysed different aspects of each study using a quantitative approach, and noted salient features of each study’s methodology. The review found that studies of job adverts in LIS are characterised by: large sample sizes often collected using purposive sampling; a lack of full pilot studies and ethical assessments; minimal use of inferential statistics and automatic text analysis; and minimal use of complementary empirical methods. Studies of job adverts could be improved by: fuller preparation of research methods, more sophisticated methods of analysis, and greater use of secondary empirical methods.","author":[{"dropping-particle":"","family":"Harper","given":"Ray","non-dropping-particle":"","parse-names":false,"suffix":""}],"container-title":"Library and Information Research","id":"ITEM-1","issue":"112","issued":{"date-parts":[["2012"]]},"page":"29-54","title":"The collection and analysis of job advertisements: A review of research methodology","type":"article-journal","volume":"36"},"uris":["http://www.mendeley.com/documents/?uuid=4c436af3-9426-46af-bfd3-7fc4d5e3492a"]}],"mendeley":{"formattedCitation":"(Harper, 2012)","manualFormatting":"(Ibid., p.35)","plainTextFormattedCitation":"(Harper, 2012)","previouslyFormattedCitation":"(Harper, 2012)"},"properties":{"noteIndex":0},"schema":"https://github.com/citation-style-language/schema/raw/master/csl-citation.json"}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w:t>
      </w:r>
      <w:r w:rsidRPr="005062D9">
        <w:rPr>
          <w:rFonts w:ascii="Calibri" w:eastAsia="Calibri" w:hAnsi="Calibri" w:cs="Times New Roman"/>
          <w:i/>
          <w:iCs/>
          <w:noProof/>
          <w:sz w:val="24"/>
          <w:szCs w:val="24"/>
        </w:rPr>
        <w:t>Ibid.,</w:t>
      </w:r>
      <w:r w:rsidRPr="005062D9">
        <w:rPr>
          <w:rFonts w:ascii="Calibri" w:eastAsia="Calibri" w:hAnsi="Calibri" w:cs="Times New Roman"/>
          <w:noProof/>
          <w:sz w:val="24"/>
          <w:szCs w:val="24"/>
        </w:rPr>
        <w:t xml:space="preserve"> p.35)</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He does however advise that “[t]here are drawbacks to a large sample size. A major problem is that analysis cannot be carried out in depth, because the data are atomistic. This means that the loss of contextual meaning is likely”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{"citationItems":[{"id":"ITEM-1","itemData":{"DOI":"10.29173/lirg499","ISSN":"0141-6561","abstract":"An increasing number of research studies in LIS use job adverts as a data source to analyse and track changes to job skills and the employment market over time. This review of 70 research studies in LIS aims to provide an overview of key characteristics of existing research methods, and to suggest improvements which could be made to methods. The researcher analysed different aspects of each study using a quantitative approach, and noted salient features of each study’s methodology. The review found that studies of job adverts in LIS are characterised by: large sample sizes often collected using purposive sampling; a lack of full pilot studies and ethical assessments; minimal use of inferential statistics and automatic text analysis; and minimal use of complementary empirical methods. Studies of job adverts could be improved by: fuller preparation of research methods, more sophisticated methods of analysis, and greater use of secondary empirical methods.","author":[{"dropping-particle":"","family":"Harper","given":"Ray","non-dropping-particle":"","parse-names":false,"suffix":""}],"container-title":"Library and Information Research","id":"ITEM-1","issue":"112","issued":{"date-parts":[["2012"]]},"page":"29-54","title":"The collection and analysis of job advertisements: A review of research methodology","type":"article-journal","volume":"36"},"uris":["http://www.mendeley.com/documents/?uuid=4c436af3-9426-46af-bfd3-7fc4d5e3492a"]}],"mendeley":{"formattedCitation":"(Harper, 2012)","manualFormatting":"(Harper, 2012, p.39)","plainTextFormattedCitation":"(Harper, 2012)","previouslyFormattedCitation":"(Harper, 2012)"},"properties":{"noteIndex":0},"schema":"https://github.com/citation-style-language/schema/raw/master/csl-citation.json"}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(Harper, 2012, p.39)</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The target sample size was therefore set at 100. </w:t>
      </w:r>
    </w:p>
    <w:p w14:paraId="69C410A3" w14:textId="77777777" w:rsidR="00292202" w:rsidRPr="005062D9" w:rsidRDefault="00292202" w:rsidP="00292202">
      <w:pPr>
        <w:spacing w:after="240" w:line="480" w:lineRule="auto"/>
        <w:rPr>
          <w:rFonts w:ascii="Calibri" w:eastAsia="Calibri" w:hAnsi="Calibri" w:cs="Times New Roman"/>
          <w:sz w:val="24"/>
          <w:szCs w:val="24"/>
        </w:rPr>
      </w:pPr>
    </w:p>
    <w:p w14:paraId="21BF22BF"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Harper also notes that the time</w:t>
      </w:r>
      <w:r>
        <w:rPr>
          <w:rFonts w:ascii="Calibri" w:eastAsia="Calibri" w:hAnsi="Calibri" w:cs="Times New Roman"/>
          <w:sz w:val="24"/>
          <w:szCs w:val="24"/>
        </w:rPr>
        <w:t>-</w:t>
      </w:r>
      <w:r w:rsidRPr="005062D9">
        <w:rPr>
          <w:rFonts w:ascii="Calibri" w:eastAsia="Calibri" w:hAnsi="Calibri" w:cs="Times New Roman"/>
          <w:sz w:val="24"/>
          <w:szCs w:val="24"/>
        </w:rPr>
        <w:t>sensitive nature of job adverts means a data collection process must be designed which takes account of this. Job adverts may be deleted after the post has been filled, therefore these data must be collected at staggered intervals to ensure that the researcher does not miss data which has been removed. He suggests that “[t]his means that census points for data collection should be set”</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{"citationItems":[{"id":"ITEM-1","itemData":{"DOI":"10.29173/lirg499","ISSN":"0141-6561","abstract":"An increasing number of research studies in LIS use job adverts as a data source to analyse and track changes to job skills and the employment market over time. This review of 70 research studies in LIS aims to provide an overview of key characteristics of existing research methods, and to suggest improvements which could be made to methods. The researcher analysed different aspects of each study using a quantitative approach, and noted salient features of each study’s methodology. The review found that studies of job adverts in LIS are characterised by: large sample sizes often collected using purposive sampling; a lack of full pilot studies and ethical assessments; minimal use of inferential statistics and automatic text analysis; and minimal use of complementary empirical methods. Studies of job adverts could be improved by: fuller preparation of research methods, more sophisticated methods of analysis, and greater use of secondary empirical methods.","author":[{"dropping-particle":"","family":"Harper","given":"Ray","non-dropping-particle":"","parse-names":false,"suffix":""}],"container-title":"Library and Information Research","id":"ITEM-1","issue":"112","issued":{"date-parts":[["2012"]]},"page":"29-54","title":"The collection and analysis of job advertisements: A review of research methodology","type":"article-journal","volume":"36"},"uris":["http://www.mendeley.com/documents/?uuid=4c436af3-9426-46af-bfd3-7fc4d5e3492a"]}],"mendeley":{"formattedCitation":"(Harper, 2012)","manualFormatting":"(Harper, 2012, p.39)","plainTextFormattedCitation":"(Harper, 2012)","previouslyFormattedCitation":"(Harper, 2012)"},"properties":{"noteIndex":0},"schema":"https://github.com/citation-style-language/schema/raw/master/csl-citation.json"}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(Harper, 2012, p.39)</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and batches of job adverts should be collected and comp</w:t>
      </w:r>
      <w:r>
        <w:rPr>
          <w:rFonts w:ascii="Calibri" w:eastAsia="Calibri" w:hAnsi="Calibri" w:cs="Times New Roman"/>
          <w:sz w:val="24"/>
          <w:szCs w:val="24"/>
        </w:rPr>
        <w:t>il</w:t>
      </w:r>
      <w:r w:rsidRPr="005062D9">
        <w:rPr>
          <w:rFonts w:ascii="Calibri" w:eastAsia="Calibri" w:hAnsi="Calibri" w:cs="Times New Roman"/>
          <w:sz w:val="24"/>
          <w:szCs w:val="24"/>
        </w:rPr>
        <w:t xml:space="preserve">ed to form a data set of the required size. </w:t>
      </w:r>
    </w:p>
    <w:p w14:paraId="3CA4B195" w14:textId="77777777" w:rsidR="00292202" w:rsidRPr="005062D9" w:rsidRDefault="00292202" w:rsidP="00292202">
      <w:pPr>
        <w:spacing w:after="240" w:line="480" w:lineRule="auto"/>
        <w:rPr>
          <w:rFonts w:ascii="Calibri" w:eastAsia="Calibri" w:hAnsi="Calibri" w:cs="Times New Roman"/>
          <w:sz w:val="24"/>
          <w:szCs w:val="24"/>
        </w:rPr>
      </w:pPr>
    </w:p>
    <w:p w14:paraId="153D83D0"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Data collection was subsequently carried out in two batches. Job adverts seeking leaders for singing groups/choirs were gathered primarily from the “Vacancies” page of the Association of British Choir Directors (ABCD), and British Choirs on the Net (BCOTN). These websites were chosen for their prominent online presence and relative abundance of available job adverts. A further Google search returned additional, smaller numbers of adverts from a broader range of websites, namely:  Gerontius; Arts Council England; the Royal School of Church Music; and the “Find a Job” page of the Gov.UK website. The first search (including only the ABCD and BCOTN websites) returned 33 adverts. 6 months later, the search process was repeated (this time including the Google search) and a further 78 adverts were found, taking the sample total to 111 adverts.</w:t>
      </w:r>
    </w:p>
    <w:p w14:paraId="73F67E81" w14:textId="77777777" w:rsidR="00292202" w:rsidRPr="005062D9" w:rsidRDefault="00292202" w:rsidP="00292202">
      <w:pPr>
        <w:spacing w:after="240" w:line="480" w:lineRule="auto"/>
        <w:rPr>
          <w:rFonts w:ascii="Calibri" w:eastAsia="Calibri" w:hAnsi="Calibri" w:cs="Times New Roman"/>
          <w:sz w:val="24"/>
          <w:szCs w:val="24"/>
        </w:rPr>
      </w:pPr>
    </w:p>
    <w:p w14:paraId="526000B1" w14:textId="77777777" w:rsidR="00292202" w:rsidRPr="005062D9" w:rsidRDefault="00292202" w:rsidP="00292202">
      <w:pPr>
        <w:keepNext/>
        <w:keepLines/>
        <w:spacing w:before="40" w:after="0" w:line="480" w:lineRule="auto"/>
        <w:outlineLvl w:val="2"/>
        <w:rPr>
          <w:rFonts w:ascii="Calibri" w:eastAsia="Times New Roman" w:hAnsi="Calibri" w:cs="Times New Roman"/>
          <w:b/>
          <w:sz w:val="28"/>
          <w:szCs w:val="28"/>
        </w:rPr>
      </w:pPr>
      <w:bookmarkStart w:id="33" w:name="_Toc57131290"/>
      <w:bookmarkStart w:id="34" w:name="_Toc83645731"/>
      <w:r w:rsidRPr="005062D9">
        <w:rPr>
          <w:rFonts w:ascii="Calibri" w:eastAsia="Times New Roman" w:hAnsi="Calibri" w:cs="Times New Roman"/>
          <w:b/>
          <w:sz w:val="28"/>
          <w:szCs w:val="28"/>
        </w:rPr>
        <w:t>5.6.1.2 Data set preparation</w:t>
      </w:r>
      <w:bookmarkEnd w:id="33"/>
      <w:bookmarkEnd w:id="34"/>
    </w:p>
    <w:p w14:paraId="48075A72"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Before formal analysis took place, the data set was examined and 29 of the adverts were rejected on the following basis:</w:t>
      </w:r>
    </w:p>
    <w:p w14:paraId="5D25A094" w14:textId="77777777" w:rsidR="00292202" w:rsidRPr="005062D9" w:rsidRDefault="00292202" w:rsidP="00292202">
      <w:pPr>
        <w:numPr>
          <w:ilvl w:val="0"/>
          <w:numId w:val="3"/>
        </w:numPr>
        <w:spacing w:after="240"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6 were rejected on the grounds that the advert was seeking an ‘assistant’ conductor, as opposed to the leader of the group. The duties required of an assistant conductor are likely to differ from those being examined in this study, i.e. those of a conductor in charge. </w:t>
      </w:r>
    </w:p>
    <w:p w14:paraId="078E2D74" w14:textId="77777777" w:rsidR="00292202" w:rsidRPr="005062D9" w:rsidRDefault="00292202" w:rsidP="00292202">
      <w:pPr>
        <w:numPr>
          <w:ilvl w:val="0"/>
          <w:numId w:val="3"/>
        </w:numPr>
        <w:spacing w:after="240"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22 were rejected as the jobs offered included more than just choir leading duties, e.g. leading worship in church in addition to leading the church choir and so were outwith the aims of the project. </w:t>
      </w:r>
    </w:p>
    <w:p w14:paraId="74726CE4" w14:textId="77777777" w:rsidR="00292202" w:rsidRPr="005062D9" w:rsidRDefault="00292202" w:rsidP="00292202">
      <w:pPr>
        <w:numPr>
          <w:ilvl w:val="0"/>
          <w:numId w:val="3"/>
        </w:numPr>
        <w:spacing w:after="240"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1 advert was rejected for being a duplicate of another advert in the data set. </w:t>
      </w:r>
    </w:p>
    <w:p w14:paraId="64C8580B" w14:textId="77777777" w:rsidR="00292202" w:rsidRPr="005062D9" w:rsidRDefault="00292202" w:rsidP="00292202">
      <w:pPr>
        <w:spacing w:after="240" w:line="480" w:lineRule="auto"/>
        <w:rPr>
          <w:rFonts w:ascii="Calibri" w:eastAsia="Calibri" w:hAnsi="Calibri" w:cs="Times New Roman"/>
          <w:sz w:val="24"/>
          <w:szCs w:val="24"/>
        </w:rPr>
      </w:pPr>
    </w:p>
    <w:p w14:paraId="74E68984"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final data set comprised 82 job adverts seeking conductors for groups of singers made up of adult singers, based in the UK. Although this is below the target sample size of 100 adverts proceeding with the analysis was justified on the basis that this stage of analysis was preliminary and further data still needed to be gathered for the second phase of the project. Based on the speed of data gathering until this point, collecting additional job adverts to take the total data set to 100 units would have taken between 1 - 1.5 months. It was felt that it was not worth delaying analysis for this length of time and that any critical insight which was missed in this phase was likely to be caught during the second phase of data collection. </w:t>
      </w:r>
    </w:p>
    <w:p w14:paraId="4B367FE5" w14:textId="77777777" w:rsidR="00292202" w:rsidRPr="005062D9" w:rsidRDefault="00292202" w:rsidP="00292202">
      <w:pPr>
        <w:spacing w:after="240" w:line="480" w:lineRule="auto"/>
        <w:rPr>
          <w:rFonts w:ascii="Calibri" w:eastAsia="Calibri" w:hAnsi="Calibri" w:cs="Times New Roman"/>
          <w:sz w:val="24"/>
          <w:szCs w:val="24"/>
        </w:rPr>
      </w:pPr>
    </w:p>
    <w:p w14:paraId="04D5403F"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length of and level of detail within individual job adverts varied considerably. Some adverts comprised multiple pages of text and included full job descriptions whilst others were as short as 1 paragraph long with very little information about the post included. The data set was anonymised and compiled as a single Word document for analysis. </w:t>
      </w:r>
    </w:p>
    <w:p w14:paraId="040E7261" w14:textId="77777777" w:rsidR="00292202" w:rsidRPr="005062D9" w:rsidRDefault="00292202" w:rsidP="00292202">
      <w:pPr>
        <w:spacing w:after="240" w:line="480" w:lineRule="auto"/>
        <w:rPr>
          <w:rFonts w:ascii="Calibri" w:eastAsia="Calibri" w:hAnsi="Calibri" w:cs="Times New Roman"/>
          <w:sz w:val="24"/>
          <w:szCs w:val="24"/>
        </w:rPr>
      </w:pPr>
    </w:p>
    <w:p w14:paraId="39469D46" w14:textId="77777777" w:rsidR="00292202" w:rsidRPr="005062D9" w:rsidRDefault="00292202" w:rsidP="00292202">
      <w:pPr>
        <w:keepNext/>
        <w:keepLines/>
        <w:spacing w:before="40" w:after="0" w:line="480" w:lineRule="auto"/>
        <w:outlineLvl w:val="1"/>
        <w:rPr>
          <w:rFonts w:ascii="Calibri" w:eastAsia="Times New Roman" w:hAnsi="Calibri" w:cs="Times New Roman"/>
          <w:b/>
          <w:sz w:val="28"/>
          <w:szCs w:val="28"/>
        </w:rPr>
      </w:pPr>
      <w:bookmarkStart w:id="35" w:name="_Toc83645732"/>
      <w:bookmarkStart w:id="36" w:name="_Hlk67241474"/>
      <w:bookmarkEnd w:id="2"/>
      <w:r w:rsidRPr="005062D9">
        <w:rPr>
          <w:rFonts w:ascii="Calibri" w:eastAsia="Times New Roman" w:hAnsi="Calibri" w:cs="Times New Roman"/>
          <w:b/>
          <w:sz w:val="28"/>
          <w:szCs w:val="28"/>
        </w:rPr>
        <w:t>5.6.2 Singer Survey</w:t>
      </w:r>
      <w:bookmarkEnd w:id="35"/>
      <w:r w:rsidRPr="005062D9">
        <w:rPr>
          <w:rFonts w:ascii="Calibri" w:eastAsia="Times New Roman" w:hAnsi="Calibri" w:cs="Times New Roman"/>
          <w:b/>
          <w:sz w:val="28"/>
          <w:szCs w:val="28"/>
        </w:rPr>
        <w:t xml:space="preserve"> </w:t>
      </w:r>
    </w:p>
    <w:p w14:paraId="650C5C72" w14:textId="77777777" w:rsidR="00292202" w:rsidRPr="005062D9" w:rsidRDefault="00292202" w:rsidP="00292202">
      <w:pPr>
        <w:keepNext/>
        <w:keepLines/>
        <w:spacing w:before="40" w:after="0" w:line="480" w:lineRule="auto"/>
        <w:outlineLvl w:val="2"/>
        <w:rPr>
          <w:rFonts w:ascii="Calibri" w:eastAsia="Times New Roman" w:hAnsi="Calibri" w:cs="Times New Roman"/>
          <w:b/>
          <w:sz w:val="28"/>
          <w:szCs w:val="28"/>
        </w:rPr>
      </w:pPr>
      <w:bookmarkStart w:id="37" w:name="_Toc57131292"/>
      <w:bookmarkStart w:id="38" w:name="_Toc83645733"/>
      <w:r w:rsidRPr="005062D9">
        <w:rPr>
          <w:rFonts w:ascii="Calibri" w:eastAsia="Times New Roman" w:hAnsi="Calibri" w:cs="Times New Roman"/>
          <w:b/>
          <w:sz w:val="28"/>
          <w:szCs w:val="28"/>
        </w:rPr>
        <w:t>5.6.2.1 Survey Construction</w:t>
      </w:r>
      <w:bookmarkEnd w:id="37"/>
      <w:bookmarkEnd w:id="38"/>
    </w:p>
    <w:p w14:paraId="26436F56"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process of constructing the individual sections of the singer survey is outlined below. A full copy of the survey can also be found in the appendix to this thesis. </w:t>
      </w:r>
    </w:p>
    <w:p w14:paraId="0412FBA1" w14:textId="77777777" w:rsidR="00292202" w:rsidRPr="005062D9" w:rsidRDefault="00292202" w:rsidP="00292202">
      <w:pPr>
        <w:spacing w:after="240" w:line="480" w:lineRule="auto"/>
        <w:rPr>
          <w:rFonts w:ascii="Calibri" w:eastAsia="Calibri" w:hAnsi="Calibri" w:cs="Times New Roman"/>
          <w:sz w:val="24"/>
          <w:szCs w:val="24"/>
        </w:rPr>
      </w:pPr>
    </w:p>
    <w:p w14:paraId="674C0A9B"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This study’s primary research question </w:t>
      </w:r>
      <w:r w:rsidRPr="005062D9">
        <w:rPr>
          <w:rFonts w:ascii="Calibri" w:eastAsia="Calibri" w:hAnsi="Calibri" w:cs="Times New Roman"/>
          <w:b/>
          <w:bCs/>
          <w:sz w:val="24"/>
          <w:szCs w:val="24"/>
        </w:rPr>
        <w:t>What do singers expect of a UK-based choral leader, with particular reference to the voice-centred aspects of their role?</w:t>
      </w:r>
      <w:r w:rsidRPr="005062D9">
        <w:rPr>
          <w:rFonts w:ascii="Calibri" w:eastAsia="Calibri" w:hAnsi="Calibri" w:cs="Times New Roman"/>
          <w:sz w:val="24"/>
          <w:szCs w:val="24"/>
        </w:rPr>
        <w:t xml:space="preserve"> can be considered as consisting of two parts:</w:t>
      </w:r>
    </w:p>
    <w:p w14:paraId="6B3FC235" w14:textId="77777777" w:rsidR="00292202" w:rsidRPr="005062D9" w:rsidRDefault="00292202" w:rsidP="00292202">
      <w:pPr>
        <w:numPr>
          <w:ilvl w:val="0"/>
          <w:numId w:val="4"/>
        </w:numPr>
        <w:spacing w:after="240"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Singers’ expectations of a UK-based choral leader</w:t>
      </w:r>
    </w:p>
    <w:p w14:paraId="080A6CA9" w14:textId="77777777" w:rsidR="00292202" w:rsidRPr="005062D9" w:rsidRDefault="00292202" w:rsidP="00292202">
      <w:pPr>
        <w:numPr>
          <w:ilvl w:val="0"/>
          <w:numId w:val="4"/>
        </w:numPr>
        <w:spacing w:after="240" w:line="480" w:lineRule="auto"/>
        <w:contextualSpacing/>
        <w:rPr>
          <w:rFonts w:ascii="Calibri" w:eastAsia="Calibri" w:hAnsi="Calibri" w:cs="Times New Roman"/>
          <w:sz w:val="24"/>
          <w:szCs w:val="24"/>
        </w:rPr>
      </w:pPr>
      <w:r w:rsidRPr="005062D9">
        <w:rPr>
          <w:rFonts w:ascii="Calibri" w:eastAsia="Calibri" w:hAnsi="Calibri" w:cs="Times New Roman"/>
          <w:sz w:val="24"/>
          <w:szCs w:val="24"/>
        </w:rPr>
        <w:t>A focus specifically on the voice-centred aspects of the conductor’s role</w:t>
      </w:r>
    </w:p>
    <w:p w14:paraId="12F7372F" w14:textId="77777777" w:rsidR="00292202" w:rsidRPr="005062D9" w:rsidRDefault="00292202" w:rsidP="00292202">
      <w:pPr>
        <w:spacing w:after="240" w:line="480" w:lineRule="auto"/>
        <w:rPr>
          <w:rFonts w:ascii="Calibri" w:eastAsia="Calibri" w:hAnsi="Calibri" w:cs="Times New Roman"/>
          <w:sz w:val="24"/>
          <w:szCs w:val="24"/>
        </w:rPr>
      </w:pPr>
    </w:p>
    <w:p w14:paraId="310CCADC"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Responding to this, the singer survey was constructed in two sections. Section 1 addressed singers’ overall expectations of their choral leader, and Section 2 addressed singers’ specifically voice-centred expectations. Structuring the survey this way aimed to ensure that data was collected which answered both halves of the primary research question. </w:t>
      </w:r>
    </w:p>
    <w:p w14:paraId="52CF2A05" w14:textId="77777777" w:rsidR="00292202" w:rsidRPr="005062D9" w:rsidRDefault="00292202" w:rsidP="00292202">
      <w:pPr>
        <w:spacing w:after="240" w:line="480" w:lineRule="auto"/>
        <w:rPr>
          <w:rFonts w:ascii="Calibri" w:eastAsia="Calibri" w:hAnsi="Calibri" w:cs="Times New Roman"/>
          <w:sz w:val="24"/>
          <w:szCs w:val="24"/>
        </w:rPr>
      </w:pPr>
    </w:p>
    <w:p w14:paraId="708BE252"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Section 1 of the survey (see Appendix, p.</w:t>
      </w:r>
      <w:r>
        <w:rPr>
          <w:rFonts w:ascii="Calibri" w:eastAsia="Calibri" w:hAnsi="Calibri" w:cs="Times New Roman"/>
          <w:sz w:val="24"/>
          <w:szCs w:val="24"/>
        </w:rPr>
        <w:t>354</w:t>
      </w:r>
      <w:r w:rsidRPr="005062D9">
        <w:rPr>
          <w:rFonts w:ascii="Calibri" w:eastAsia="Calibri" w:hAnsi="Calibri" w:cs="Times New Roman"/>
          <w:sz w:val="24"/>
          <w:szCs w:val="24"/>
        </w:rPr>
        <w:t>) asked questions relating to the singers’ expectations of their choral leader. The questions in this section were:</w:t>
      </w:r>
    </w:p>
    <w:p w14:paraId="41766231" w14:textId="77777777" w:rsidR="00292202" w:rsidRPr="005062D9" w:rsidRDefault="00292202" w:rsidP="00292202">
      <w:pPr>
        <w:numPr>
          <w:ilvl w:val="0"/>
          <w:numId w:val="1"/>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How would you describe the role the conductor has in your choir?</w:t>
      </w:r>
    </w:p>
    <w:p w14:paraId="75A1DC1F" w14:textId="77777777" w:rsidR="00292202" w:rsidRPr="005062D9" w:rsidRDefault="00292202" w:rsidP="00292202">
      <w:pPr>
        <w:numPr>
          <w:ilvl w:val="0"/>
          <w:numId w:val="1"/>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lastRenderedPageBreak/>
        <w:t>What skills do you expect a conductor to have?</w:t>
      </w:r>
    </w:p>
    <w:p w14:paraId="5D8687CC" w14:textId="77777777" w:rsidR="00292202" w:rsidRPr="005062D9" w:rsidRDefault="00292202" w:rsidP="00292202">
      <w:pPr>
        <w:numPr>
          <w:ilvl w:val="0"/>
          <w:numId w:val="1"/>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What do you expect of your conductor as a leader?</w:t>
      </w:r>
    </w:p>
    <w:p w14:paraId="0D1484BD" w14:textId="77777777" w:rsidR="00292202" w:rsidRPr="005062D9" w:rsidRDefault="00292202" w:rsidP="00292202">
      <w:pPr>
        <w:numPr>
          <w:ilvl w:val="0"/>
          <w:numId w:val="1"/>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What personality traits/qualities do you look for in a conductor?</w:t>
      </w:r>
    </w:p>
    <w:p w14:paraId="67350227" w14:textId="77777777" w:rsidR="00292202" w:rsidRPr="005062D9" w:rsidRDefault="00292202" w:rsidP="00292202">
      <w:pPr>
        <w:spacing w:after="240" w:line="480" w:lineRule="auto"/>
        <w:rPr>
          <w:rFonts w:ascii="Calibri" w:eastAsia="Calibri" w:hAnsi="Calibri" w:cs="Times New Roman"/>
          <w:sz w:val="24"/>
          <w:szCs w:val="24"/>
        </w:rPr>
      </w:pPr>
    </w:p>
    <w:p w14:paraId="77A0748C"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Question 1 (above) was intended to relate to the participant’s overall conception of the choral leader’s role, whilst questions 2-4 (above) address specific aspects of this role. The specific wording of questions 2-4 was drawn from the analysis of the job advert data (see themes/codes in Figure 14, p.</w:t>
      </w:r>
      <w:r>
        <w:rPr>
          <w:rFonts w:ascii="Calibri" w:eastAsia="Calibri" w:hAnsi="Calibri" w:cs="Times New Roman"/>
          <w:sz w:val="24"/>
          <w:szCs w:val="24"/>
        </w:rPr>
        <w:t>168</w:t>
      </w:r>
      <w:r w:rsidRPr="005062D9">
        <w:rPr>
          <w:rFonts w:ascii="Calibri" w:eastAsia="Calibri" w:hAnsi="Calibri" w:cs="Times New Roman"/>
          <w:sz w:val="24"/>
          <w:szCs w:val="24"/>
        </w:rPr>
        <w:t xml:space="preserve">) </w:t>
      </w:r>
    </w:p>
    <w:p w14:paraId="61A40BA7" w14:textId="77777777" w:rsidR="00292202" w:rsidRPr="005062D9" w:rsidRDefault="00292202" w:rsidP="00292202">
      <w:pPr>
        <w:spacing w:after="240" w:line="480" w:lineRule="auto"/>
        <w:rPr>
          <w:rFonts w:ascii="Calibri" w:eastAsia="Calibri" w:hAnsi="Calibri" w:cs="Times New Roman"/>
          <w:sz w:val="24"/>
          <w:szCs w:val="24"/>
        </w:rPr>
      </w:pPr>
    </w:p>
    <w:p w14:paraId="6D5FFBF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Additional questions were asked in this section about the level of input singers felt they had to their singing group. These questions were generated from the job advert analysis which pointed towards a Visionary paradigm of leadership </w:t>
      </w:r>
      <w:r w:rsidRPr="005062D9">
        <w:rPr>
          <w:rFonts w:ascii="Calibri" w:eastAsia="Calibri" w:hAnsi="Calibri" w:cs="Times New Roman"/>
        </w:rPr>
        <w:fldChar w:fldCharType="begin" w:fldLock="1"/>
      </w:r>
      <w:r w:rsidRPr="005062D9">
        <w:rPr>
          <w:rFonts w:ascii="Calibri" w:eastAsia="Calibri" w:hAnsi="Calibri" w:cs="Times New Roman"/>
          <w:sz w:val="24"/>
          <w:szCs w:val="24"/>
        </w:rPr>
        <w:instrText>ADDIN CSL_CITATION {"citationItems":[{"id":"ITEM-1","itemData":{"author":[{"dropping-particle":"","family":"Avery","given":"Gayle. C.","non-dropping-particle":"","parse-names":false,"suffix":""}],"edition":"First","id":"ITEM-1","issued":{"date-parts":[["2004"]]},"number-of-pages":"316","publisher":"Sage Publications Ltd","publisher-place":"London","title":"Understanding Leadership: Paradigms and Cases","type":"book"},"uris":["http://www.mendeley.com/documents/?uuid=289a9f1f-6a80-4300-be3c-ff7f8c3e49c0"]}],"mendeley":{"formattedCitation":"(Avery, 2004)","plainTextFormattedCitation":"(Avery, 2004)","previouslyFormattedCitation":"(Avery, 2004)"},"properties":{"noteIndex":0},"schema":"https://github.com/citation-style-language/schema/raw/master/csl-citation.json"}</w:instrText>
      </w:r>
      <w:r w:rsidRPr="005062D9">
        <w:rPr>
          <w:rFonts w:ascii="Calibri" w:eastAsia="Calibri" w:hAnsi="Calibri" w:cs="Times New Roman"/>
        </w:rPr>
        <w:fldChar w:fldCharType="separate"/>
      </w:r>
      <w:r w:rsidRPr="005062D9">
        <w:rPr>
          <w:rFonts w:ascii="Calibri" w:eastAsia="Calibri" w:hAnsi="Calibri" w:cs="Times New Roman"/>
          <w:noProof/>
          <w:sz w:val="24"/>
          <w:szCs w:val="24"/>
        </w:rPr>
        <w:t>(Avery, 2004)</w:t>
      </w:r>
      <w:r w:rsidRPr="005062D9">
        <w:rPr>
          <w:rFonts w:ascii="Calibri" w:eastAsia="Calibri" w:hAnsi="Calibri" w:cs="Times New Roman"/>
        </w:rPr>
        <w:fldChar w:fldCharType="end"/>
      </w:r>
      <w:r w:rsidRPr="005062D9">
        <w:rPr>
          <w:rFonts w:ascii="Calibri" w:eastAsia="Calibri" w:hAnsi="Calibri" w:cs="Times New Roman"/>
          <w:sz w:val="24"/>
          <w:szCs w:val="24"/>
        </w:rPr>
        <w:t xml:space="preserve"> being favoured by choirs (see Figure 15 p</w:t>
      </w:r>
      <w:r>
        <w:rPr>
          <w:rFonts w:ascii="Calibri" w:eastAsia="Calibri" w:hAnsi="Calibri" w:cs="Times New Roman"/>
          <w:sz w:val="24"/>
          <w:szCs w:val="24"/>
        </w:rPr>
        <w:t>.171</w:t>
      </w:r>
      <w:r w:rsidRPr="005062D9">
        <w:rPr>
          <w:rFonts w:ascii="Calibri" w:eastAsia="Calibri" w:hAnsi="Calibri" w:cs="Times New Roman"/>
          <w:sz w:val="24"/>
          <w:szCs w:val="24"/>
        </w:rPr>
        <w:t xml:space="preserve">). This </w:t>
      </w:r>
      <w:bookmarkEnd w:id="36"/>
      <w:r w:rsidRPr="005062D9">
        <w:rPr>
          <w:rFonts w:ascii="Calibri" w:eastAsia="Calibri" w:hAnsi="Calibri" w:cs="Times New Roman"/>
          <w:sz w:val="24"/>
          <w:szCs w:val="24"/>
        </w:rPr>
        <w:t>paradigm encourages consideration of follower input to the leadership process. Participants were also asked:</w:t>
      </w:r>
    </w:p>
    <w:p w14:paraId="16529EC2" w14:textId="77777777" w:rsidR="00292202" w:rsidRPr="005062D9" w:rsidRDefault="00292202" w:rsidP="00292202">
      <w:pPr>
        <w:spacing w:after="240" w:line="480" w:lineRule="auto"/>
        <w:rPr>
          <w:rFonts w:ascii="Calibri" w:eastAsia="Calibri" w:hAnsi="Calibri" w:cs="Times New Roman"/>
          <w:sz w:val="24"/>
          <w:szCs w:val="24"/>
        </w:rPr>
      </w:pPr>
    </w:p>
    <w:p w14:paraId="7AA1328B" w14:textId="77777777" w:rsidR="00292202" w:rsidRPr="005062D9" w:rsidRDefault="00292202" w:rsidP="00292202">
      <w:pPr>
        <w:numPr>
          <w:ilvl w:val="0"/>
          <w:numId w:val="5"/>
        </w:numPr>
        <w:spacing w:after="240" w:line="480" w:lineRule="auto"/>
        <w:ind w:left="709"/>
        <w:contextualSpacing/>
        <w:rPr>
          <w:rFonts w:ascii="Calibri" w:eastAsia="Calibri" w:hAnsi="Calibri" w:cs="Times New Roman"/>
          <w:b/>
          <w:bCs/>
          <w:sz w:val="24"/>
          <w:szCs w:val="24"/>
        </w:rPr>
      </w:pPr>
      <w:r w:rsidRPr="005062D9">
        <w:rPr>
          <w:rFonts w:ascii="Calibri" w:eastAsia="Calibri" w:hAnsi="Calibri" w:cs="Times New Roman"/>
          <w:b/>
          <w:bCs/>
          <w:sz w:val="24"/>
          <w:szCs w:val="24"/>
        </w:rPr>
        <w:t>Do you feel that you have enough input into the structure and/or tone of the rehearsals you attend? (i.e. scheduling, repertoire choices, choir's aims, atmosphere etc) Yes/No</w:t>
      </w:r>
    </w:p>
    <w:p w14:paraId="151CF5EF" w14:textId="77777777" w:rsidR="00292202" w:rsidRPr="005062D9" w:rsidRDefault="00292202" w:rsidP="00292202">
      <w:pPr>
        <w:numPr>
          <w:ilvl w:val="0"/>
          <w:numId w:val="5"/>
        </w:numPr>
        <w:spacing w:after="240" w:line="480" w:lineRule="auto"/>
        <w:ind w:left="709"/>
        <w:contextualSpacing/>
        <w:rPr>
          <w:rFonts w:ascii="Calibri" w:eastAsia="Calibri" w:hAnsi="Calibri" w:cs="Times New Roman"/>
          <w:b/>
          <w:bCs/>
          <w:sz w:val="24"/>
          <w:szCs w:val="24"/>
        </w:rPr>
      </w:pPr>
      <w:r w:rsidRPr="005062D9">
        <w:rPr>
          <w:rFonts w:ascii="Calibri" w:eastAsia="Calibri" w:hAnsi="Calibri" w:cs="Times New Roman"/>
          <w:b/>
          <w:bCs/>
          <w:sz w:val="24"/>
          <w:szCs w:val="24"/>
        </w:rPr>
        <w:t xml:space="preserve">If you would like to have more or less input to the running of the rehearsals, why? </w:t>
      </w:r>
    </w:p>
    <w:p w14:paraId="131399FC" w14:textId="77777777" w:rsidR="00292202" w:rsidRPr="005062D9" w:rsidRDefault="00292202" w:rsidP="00292202">
      <w:pPr>
        <w:spacing w:after="240" w:line="480" w:lineRule="auto"/>
        <w:rPr>
          <w:rFonts w:ascii="Calibri" w:eastAsia="Calibri" w:hAnsi="Calibri" w:cs="Times New Roman"/>
          <w:sz w:val="24"/>
          <w:szCs w:val="24"/>
        </w:rPr>
      </w:pPr>
    </w:p>
    <w:p w14:paraId="720708F3"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These questions were intended to encourage participants to reflect on encounters with choral leaders, positive and negative, which distinguished particular practices or attitudes that affected the singers’ experience in order to respond to sub-research question </w:t>
      </w:r>
      <w:r w:rsidRPr="005062D9">
        <w:rPr>
          <w:rFonts w:ascii="Calibri" w:eastAsia="Calibri" w:hAnsi="Calibri" w:cs="Times New Roman"/>
          <w:b/>
          <w:bCs/>
          <w:sz w:val="24"/>
          <w:szCs w:val="24"/>
        </w:rPr>
        <w:t>1c. Might this set of responsibilities vary across genres/contexts?</w:t>
      </w:r>
      <w:r w:rsidRPr="005062D9">
        <w:rPr>
          <w:rFonts w:ascii="Calibri" w:eastAsia="Calibri" w:hAnsi="Calibri" w:cs="Times New Roman"/>
          <w:sz w:val="24"/>
          <w:szCs w:val="24"/>
        </w:rPr>
        <w:t xml:space="preserve">. </w:t>
      </w:r>
    </w:p>
    <w:p w14:paraId="12EF3928" w14:textId="77777777" w:rsidR="00292202" w:rsidRPr="005062D9" w:rsidRDefault="00292202" w:rsidP="00292202">
      <w:pPr>
        <w:spacing w:after="240" w:line="480" w:lineRule="auto"/>
        <w:rPr>
          <w:rFonts w:ascii="Calibri" w:eastAsia="Calibri" w:hAnsi="Calibri" w:cs="Times New Roman"/>
          <w:sz w:val="24"/>
          <w:szCs w:val="24"/>
        </w:rPr>
      </w:pPr>
    </w:p>
    <w:p w14:paraId="7E707624"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Section 2 of the survey (see Appendix p.3</w:t>
      </w:r>
      <w:r>
        <w:rPr>
          <w:rFonts w:ascii="Calibri" w:eastAsia="Calibri" w:hAnsi="Calibri" w:cs="Times New Roman"/>
          <w:sz w:val="24"/>
          <w:szCs w:val="24"/>
        </w:rPr>
        <w:t>54</w:t>
      </w:r>
      <w:r w:rsidRPr="005062D9">
        <w:rPr>
          <w:rFonts w:ascii="Calibri" w:eastAsia="Calibri" w:hAnsi="Calibri" w:cs="Times New Roman"/>
          <w:sz w:val="24"/>
          <w:szCs w:val="24"/>
        </w:rPr>
        <w:t>) contained questions pertaining specifically to voice-related choral work. Analysis of the job advert data (see Figure 14, p.</w:t>
      </w:r>
      <w:r>
        <w:rPr>
          <w:rFonts w:ascii="Calibri" w:eastAsia="Calibri" w:hAnsi="Calibri" w:cs="Times New Roman"/>
          <w:sz w:val="24"/>
          <w:szCs w:val="24"/>
        </w:rPr>
        <w:t>168</w:t>
      </w:r>
      <w:r w:rsidRPr="005062D9">
        <w:rPr>
          <w:rFonts w:ascii="Calibri" w:eastAsia="Calibri" w:hAnsi="Calibri" w:cs="Times New Roman"/>
          <w:sz w:val="24"/>
          <w:szCs w:val="24"/>
        </w:rPr>
        <w:t xml:space="preserve">) had generated the following codes which could be identified as voice-related work: </w:t>
      </w:r>
    </w:p>
    <w:p w14:paraId="3B712F46" w14:textId="77777777" w:rsidR="00292202" w:rsidRPr="005062D9" w:rsidRDefault="00292202" w:rsidP="00292202">
      <w:pPr>
        <w:numPr>
          <w:ilvl w:val="0"/>
          <w:numId w:val="3"/>
        </w:numPr>
        <w:spacing w:after="240" w:line="276"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Safeguarding (including vocal safeguarding) </w:t>
      </w:r>
    </w:p>
    <w:p w14:paraId="002F755D" w14:textId="77777777" w:rsidR="00292202" w:rsidRPr="005062D9" w:rsidRDefault="00292202" w:rsidP="00292202">
      <w:pPr>
        <w:numPr>
          <w:ilvl w:val="0"/>
          <w:numId w:val="3"/>
        </w:numPr>
        <w:spacing w:after="240" w:line="276" w:lineRule="auto"/>
        <w:contextualSpacing/>
        <w:rPr>
          <w:rFonts w:ascii="Calibri" w:eastAsia="Calibri" w:hAnsi="Calibri" w:cs="Times New Roman"/>
          <w:sz w:val="24"/>
          <w:szCs w:val="24"/>
        </w:rPr>
      </w:pPr>
      <w:r w:rsidRPr="005062D9">
        <w:rPr>
          <w:rFonts w:ascii="Calibri" w:eastAsia="Calibri" w:hAnsi="Calibri" w:cs="Times New Roman"/>
          <w:sz w:val="24"/>
          <w:szCs w:val="24"/>
        </w:rPr>
        <w:t>Teaching Vocal Skills</w:t>
      </w:r>
    </w:p>
    <w:p w14:paraId="37B61799" w14:textId="77777777" w:rsidR="00292202" w:rsidRPr="005062D9" w:rsidRDefault="00292202" w:rsidP="00292202">
      <w:pPr>
        <w:numPr>
          <w:ilvl w:val="0"/>
          <w:numId w:val="3"/>
        </w:numPr>
        <w:spacing w:after="240" w:line="276" w:lineRule="auto"/>
        <w:contextualSpacing/>
        <w:rPr>
          <w:rFonts w:ascii="Calibri" w:eastAsia="Calibri" w:hAnsi="Calibri" w:cs="Times New Roman"/>
          <w:sz w:val="24"/>
          <w:szCs w:val="24"/>
        </w:rPr>
      </w:pPr>
      <w:r w:rsidRPr="005062D9">
        <w:rPr>
          <w:rFonts w:ascii="Calibri" w:eastAsia="Calibri" w:hAnsi="Calibri" w:cs="Times New Roman"/>
          <w:sz w:val="24"/>
          <w:szCs w:val="24"/>
        </w:rPr>
        <w:t>Training (of singers)</w:t>
      </w:r>
    </w:p>
    <w:p w14:paraId="5FB425DE" w14:textId="77777777" w:rsidR="00292202" w:rsidRPr="005062D9" w:rsidRDefault="00292202" w:rsidP="00292202">
      <w:pPr>
        <w:numPr>
          <w:ilvl w:val="0"/>
          <w:numId w:val="3"/>
        </w:numPr>
        <w:spacing w:after="240" w:line="276" w:lineRule="auto"/>
        <w:contextualSpacing/>
        <w:rPr>
          <w:rFonts w:ascii="Calibri" w:eastAsia="Calibri" w:hAnsi="Calibri" w:cs="Times New Roman"/>
          <w:sz w:val="24"/>
          <w:szCs w:val="24"/>
        </w:rPr>
      </w:pPr>
      <w:r w:rsidRPr="005062D9">
        <w:rPr>
          <w:rFonts w:ascii="Calibri" w:eastAsia="Calibri" w:hAnsi="Calibri" w:cs="Times New Roman"/>
          <w:sz w:val="24"/>
          <w:szCs w:val="24"/>
        </w:rPr>
        <w:t xml:space="preserve">Skill level of singers </w:t>
      </w:r>
    </w:p>
    <w:p w14:paraId="1D1DA359" w14:textId="77777777" w:rsidR="00292202" w:rsidRPr="005062D9" w:rsidRDefault="00292202" w:rsidP="00292202">
      <w:pPr>
        <w:spacing w:after="240" w:line="480" w:lineRule="auto"/>
        <w:rPr>
          <w:rFonts w:ascii="Calibri" w:eastAsia="Calibri" w:hAnsi="Calibri" w:cs="Times New Roman"/>
          <w:sz w:val="24"/>
          <w:szCs w:val="24"/>
        </w:rPr>
      </w:pPr>
    </w:p>
    <w:p w14:paraId="15103DD0"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Therefore, questions in this section of the survey asked specifically about how voices are looked after/safeguarded by choral leaders and also about choral-vocal teaching/training/skills:</w:t>
      </w:r>
    </w:p>
    <w:p w14:paraId="2B201C0C" w14:textId="77777777" w:rsidR="00292202" w:rsidRPr="005062D9" w:rsidRDefault="00292202" w:rsidP="00292202">
      <w:pPr>
        <w:numPr>
          <w:ilvl w:val="0"/>
          <w:numId w:val="6"/>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Can you give 1 or more example(s) of something a conductor has done which made you feel that your voice was being looked after well?</w:t>
      </w:r>
    </w:p>
    <w:p w14:paraId="09E0B6C7" w14:textId="77777777" w:rsidR="00292202" w:rsidRPr="005062D9" w:rsidRDefault="00292202" w:rsidP="00292202">
      <w:pPr>
        <w:numPr>
          <w:ilvl w:val="0"/>
          <w:numId w:val="6"/>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Can you give 1 (or more) example(s) of something a conductor has done which made you feel that your voice was not being looked after well?</w:t>
      </w:r>
    </w:p>
    <w:p w14:paraId="0CD0AF89" w14:textId="77777777" w:rsidR="00292202" w:rsidRPr="005062D9" w:rsidRDefault="00292202" w:rsidP="00292202">
      <w:pPr>
        <w:numPr>
          <w:ilvl w:val="0"/>
          <w:numId w:val="6"/>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Can you give 1 (or more) example(s) of a way in which a conductor has developed your voice or taught you a vocal skill?</w:t>
      </w:r>
    </w:p>
    <w:p w14:paraId="3CEAD9EF" w14:textId="77777777" w:rsidR="00292202" w:rsidRPr="005062D9" w:rsidRDefault="00292202" w:rsidP="00292202">
      <w:pPr>
        <w:numPr>
          <w:ilvl w:val="0"/>
          <w:numId w:val="6"/>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lastRenderedPageBreak/>
        <w:t>Can you give 1 (or more) example(s) of a time when a conductor did not teach you a vocal skill when it would have been helpful for them to do so?</w:t>
      </w:r>
    </w:p>
    <w:p w14:paraId="18B78463" w14:textId="77777777" w:rsidR="00292202" w:rsidRPr="005062D9" w:rsidRDefault="00292202" w:rsidP="00292202">
      <w:pPr>
        <w:spacing w:after="240" w:line="480" w:lineRule="auto"/>
        <w:rPr>
          <w:rFonts w:ascii="Calibri" w:eastAsia="Calibri" w:hAnsi="Calibri" w:cs="Times New Roman"/>
          <w:sz w:val="24"/>
          <w:szCs w:val="24"/>
        </w:rPr>
      </w:pPr>
    </w:p>
    <w:p w14:paraId="535E8648" w14:textId="77777777" w:rsidR="00292202"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 limited number of yes/no questions relating to vocal safeguarding and vocal training were also posed in order to generate a picture of not only what vocal-related expectations of the choral leader’s role singers have, but also whether or not singers recognise choral leaders attending to these needs in practice. The decision to generate quantitative data in this way was not intended to create generalisable results. Nor was this intended to move the research design from a QUAL+quant approach to a QUAL+QUANT approach, that is to say that the study was structured as a concurrent nested design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{"citationItems":[{"id":"ITEM-1","itemData":{"DOI":"10.1002/9781444316490.ch3","ISBN":"9781405167772","abstract":"Mixed methods research combines quantitative and qualitative research methods in a single study. The use of mixed methods research is increasingly popular in nursing and health sciences research. This growth in popularity has been driven by the increasing complexity of research problems relating to human health and wellbeing. Mixed Method Research for Nursing and the Health Sciences is an accessible, practical guide to the design, conduct and reporting of mixed method research in nursing or the health sciences. Each chapter stands alone, describing the various steps of the research process, bu.","author":[{"dropping-particle":"","family":"Kroll","given":"Thilo","non-dropping-particle":"","parse-names":false,"suffix":""},{"dropping-particle":"","family":"Neri","given":"Melinda","non-dropping-particle":"","parse-names":false,"suffix":""}],"container-title":"Mixed Methods Research for Nursing and the Health Sciences","id":"ITEM-1","issued":{"date-parts":[["2009"]]},"page":"31-49","title":"Designs for Mixed Methods Research","type":"article-journal"},"uris":["http://www.mendeley.com/documents/?uuid=6f976d73-e89f-4b69-8dde-fc1cf44db9b6"]}],"mendeley":{"formattedCitation":"(Kroll &amp; Neri, 2009)","plainTextFormattedCitation":"(Kroll &amp; Neri, 2009)","previouslyFormattedCitation":"(Kroll &amp; Neri, 2009)"},"properties":{"noteIndex":0},"schema":"https://github.com/citation-style-language/schema/raw/master/csl-citation.json"}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(Kroll &amp; Neri, 2009)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with both types of data collected simultaneously but with qualitative data being prioritised. The motivation for asking these questions was to provide context for the analysis of the qualitative responses to the voice-related questions in the survey. The data generated from the yes/no questions was intended to offer insight into whether the codes generated from the smaller sample of job adverts had successfully identified areas of interest shared by the wider participant group. This is of critical importance in answering this thesis’ research sub-question 1d. </w:t>
      </w:r>
      <w:r w:rsidRPr="005062D9">
        <w:rPr>
          <w:rFonts w:ascii="Calibri" w:eastAsia="Calibri" w:hAnsi="Calibri" w:cs="Times New Roman"/>
          <w:b/>
          <w:bCs/>
          <w:sz w:val="24"/>
          <w:szCs w:val="24"/>
        </w:rPr>
        <w:t>With which voice-centred areas of choral work are singers expecting a choral leader to be concerned?</w:t>
      </w:r>
      <w:r w:rsidRPr="005062D9">
        <w:rPr>
          <w:rFonts w:ascii="Calibri" w:eastAsia="Calibri" w:hAnsi="Calibri" w:cs="Times New Roman"/>
          <w:sz w:val="24"/>
          <w:szCs w:val="24"/>
        </w:rPr>
        <w:t>. A pragmatic approach to research design allows for the mixing of qualitative and quantitative methods within a methodology, providing that the methods chosen respond directly to the project’s research questions. A pragmatic approach also allows for some flexibility in the research design as the research progresses and therefore the following quantitative questions were added to the singer survey at this stage:</w:t>
      </w:r>
    </w:p>
    <w:p w14:paraId="6C525A76" w14:textId="77777777" w:rsidR="00292202" w:rsidRPr="005062D9" w:rsidRDefault="00292202" w:rsidP="00292202">
      <w:pPr>
        <w:spacing w:after="240" w:line="480" w:lineRule="auto"/>
        <w:rPr>
          <w:rFonts w:ascii="Calibri" w:eastAsia="Calibri" w:hAnsi="Calibri" w:cs="Times New Roman"/>
          <w:sz w:val="24"/>
          <w:szCs w:val="24"/>
        </w:rPr>
      </w:pPr>
    </w:p>
    <w:p w14:paraId="2E6546B2" w14:textId="77777777" w:rsidR="00292202" w:rsidRPr="005062D9" w:rsidRDefault="00292202" w:rsidP="00292202">
      <w:pPr>
        <w:numPr>
          <w:ilvl w:val="0"/>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lastRenderedPageBreak/>
        <w:t>Does your choir use warm-up exercises during rehearsals? (Yes/No)</w:t>
      </w:r>
    </w:p>
    <w:p w14:paraId="7E55EECE" w14:textId="77777777" w:rsidR="00292202" w:rsidRPr="005062D9" w:rsidRDefault="00292202" w:rsidP="00292202">
      <w:pPr>
        <w:spacing w:after="240"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If the participant answered yes, they were then asked:</w:t>
      </w:r>
    </w:p>
    <w:p w14:paraId="41B7545D" w14:textId="77777777" w:rsidR="00292202" w:rsidRPr="005062D9" w:rsidRDefault="00292202" w:rsidP="00292202">
      <w:pPr>
        <w:numPr>
          <w:ilvl w:val="1"/>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Do you find these exercises useful? (Yes/No)</w:t>
      </w:r>
    </w:p>
    <w:p w14:paraId="312C539F" w14:textId="77777777" w:rsidR="00292202" w:rsidRPr="005062D9" w:rsidRDefault="00292202" w:rsidP="00292202">
      <w:pPr>
        <w:numPr>
          <w:ilvl w:val="1"/>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Why/why not? (open text box for response)</w:t>
      </w:r>
    </w:p>
    <w:p w14:paraId="0C90BA74" w14:textId="77777777" w:rsidR="00292202" w:rsidRPr="005062D9" w:rsidRDefault="00292202" w:rsidP="00292202">
      <w:pPr>
        <w:spacing w:after="240"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If the participant answered no, they were instead asked:</w:t>
      </w:r>
    </w:p>
    <w:p w14:paraId="274DB6C1" w14:textId="77777777" w:rsidR="00292202" w:rsidRPr="005062D9" w:rsidRDefault="00292202" w:rsidP="00292202">
      <w:pPr>
        <w:numPr>
          <w:ilvl w:val="1"/>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Would you prefer that your group used warm-up exercises? (Yes/No)</w:t>
      </w:r>
    </w:p>
    <w:p w14:paraId="6B68CFF2" w14:textId="77777777" w:rsidR="00292202" w:rsidRPr="005062D9" w:rsidRDefault="00292202" w:rsidP="00292202">
      <w:pPr>
        <w:numPr>
          <w:ilvl w:val="1"/>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Why/why not? (open text box for response)</w:t>
      </w:r>
    </w:p>
    <w:p w14:paraId="2EFE5BD8" w14:textId="77777777" w:rsidR="00292202" w:rsidRPr="005062D9" w:rsidRDefault="00292202" w:rsidP="00292202">
      <w:pPr>
        <w:spacing w:after="240" w:line="480" w:lineRule="auto"/>
        <w:ind w:left="1080"/>
        <w:contextualSpacing/>
        <w:rPr>
          <w:rFonts w:ascii="Calibri" w:eastAsia="Calibri" w:hAnsi="Calibri" w:cs="Times New Roman"/>
          <w:b/>
          <w:bCs/>
          <w:sz w:val="24"/>
          <w:szCs w:val="24"/>
        </w:rPr>
      </w:pPr>
    </w:p>
    <w:p w14:paraId="6F163AB8" w14:textId="77777777" w:rsidR="00292202" w:rsidRPr="005062D9" w:rsidRDefault="00292202" w:rsidP="00292202">
      <w:pPr>
        <w:spacing w:after="240" w:line="480" w:lineRule="auto"/>
        <w:ind w:left="1080"/>
        <w:contextualSpacing/>
        <w:rPr>
          <w:rFonts w:ascii="Calibri" w:eastAsia="Calibri" w:hAnsi="Calibri" w:cs="Times New Roman"/>
          <w:sz w:val="24"/>
          <w:szCs w:val="24"/>
        </w:rPr>
      </w:pPr>
      <w:r w:rsidRPr="005062D9">
        <w:rPr>
          <w:rFonts w:ascii="Calibri" w:eastAsia="Calibri" w:hAnsi="Calibri" w:cs="Times New Roman"/>
          <w:sz w:val="24"/>
          <w:szCs w:val="24"/>
        </w:rPr>
        <w:t>and</w:t>
      </w:r>
    </w:p>
    <w:p w14:paraId="42D78919" w14:textId="77777777" w:rsidR="00292202" w:rsidRPr="005062D9" w:rsidRDefault="00292202" w:rsidP="00292202">
      <w:pPr>
        <w:numPr>
          <w:ilvl w:val="0"/>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Does your conductor teach you vocal skills as part of a rehearsal (i.e. do you learn singing technique during rehearsals as part of or in addition to singing pieces of music?)</w:t>
      </w:r>
    </w:p>
    <w:p w14:paraId="61B35F6B" w14:textId="77777777" w:rsidR="00292202" w:rsidRPr="005062D9" w:rsidRDefault="00292202" w:rsidP="00292202">
      <w:pPr>
        <w:spacing w:after="240"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If the participant answered yes, they were then asked:</w:t>
      </w:r>
    </w:p>
    <w:p w14:paraId="396075D2" w14:textId="77777777" w:rsidR="00292202" w:rsidRPr="005062D9" w:rsidRDefault="00292202" w:rsidP="00292202">
      <w:pPr>
        <w:numPr>
          <w:ilvl w:val="1"/>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Do you find the vocal skills that you are taught are useful to you? (Yes/No)</w:t>
      </w:r>
    </w:p>
    <w:p w14:paraId="4494CCFC" w14:textId="77777777" w:rsidR="00292202" w:rsidRPr="005062D9" w:rsidRDefault="00292202" w:rsidP="00292202">
      <w:pPr>
        <w:numPr>
          <w:ilvl w:val="1"/>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Why/why not? (open text box for response)</w:t>
      </w:r>
    </w:p>
    <w:p w14:paraId="1B88B544" w14:textId="77777777" w:rsidR="00292202" w:rsidRPr="005062D9" w:rsidRDefault="00292202" w:rsidP="00292202">
      <w:pPr>
        <w:spacing w:after="240" w:line="480" w:lineRule="auto"/>
        <w:ind w:left="720"/>
        <w:contextualSpacing/>
        <w:rPr>
          <w:rFonts w:ascii="Calibri" w:eastAsia="Calibri" w:hAnsi="Calibri" w:cs="Times New Roman"/>
          <w:sz w:val="24"/>
          <w:szCs w:val="24"/>
        </w:rPr>
      </w:pPr>
      <w:r w:rsidRPr="005062D9">
        <w:rPr>
          <w:rFonts w:ascii="Calibri" w:eastAsia="Calibri" w:hAnsi="Calibri" w:cs="Times New Roman"/>
          <w:sz w:val="24"/>
          <w:szCs w:val="24"/>
        </w:rPr>
        <w:t>If the participant answered no, they were instead asked:</w:t>
      </w:r>
    </w:p>
    <w:p w14:paraId="669EC3BF" w14:textId="77777777" w:rsidR="00292202" w:rsidRPr="005062D9" w:rsidRDefault="00292202" w:rsidP="00292202">
      <w:pPr>
        <w:numPr>
          <w:ilvl w:val="1"/>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Would you like your conductor to teach you vocal skills as part of a rehearsal? (Yes/no)</w:t>
      </w:r>
    </w:p>
    <w:p w14:paraId="73C8729D" w14:textId="77777777" w:rsidR="00292202" w:rsidRPr="005062D9" w:rsidRDefault="00292202" w:rsidP="00292202">
      <w:pPr>
        <w:numPr>
          <w:ilvl w:val="1"/>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Why/why not? (open text box for response)</w:t>
      </w:r>
    </w:p>
    <w:p w14:paraId="6BE1F761" w14:textId="77777777" w:rsidR="00292202" w:rsidRPr="005062D9" w:rsidRDefault="00292202" w:rsidP="00292202">
      <w:pPr>
        <w:spacing w:after="240" w:line="480" w:lineRule="auto"/>
        <w:ind w:left="1440"/>
        <w:contextualSpacing/>
        <w:rPr>
          <w:rFonts w:ascii="Calibri" w:eastAsia="Calibri" w:hAnsi="Calibri" w:cs="Times New Roman"/>
          <w:sz w:val="24"/>
          <w:szCs w:val="24"/>
        </w:rPr>
      </w:pPr>
    </w:p>
    <w:p w14:paraId="56DC384D" w14:textId="77777777" w:rsidR="00292202" w:rsidRPr="005062D9" w:rsidRDefault="00292202" w:rsidP="00292202">
      <w:pPr>
        <w:spacing w:after="240" w:line="480" w:lineRule="auto"/>
        <w:rPr>
          <w:rFonts w:ascii="Calibri" w:eastAsia="Calibri" w:hAnsi="Calibri" w:cs="Times New Roman"/>
          <w:sz w:val="24"/>
          <w:szCs w:val="24"/>
        </w:rPr>
      </w:pPr>
    </w:p>
    <w:p w14:paraId="5968C9BF"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fixed question structure asking questions about specific areas of the choral leader’s voice-related work risked missing interesting and useful information that participants might </w:t>
      </w:r>
      <w:r w:rsidRPr="005062D9">
        <w:rPr>
          <w:rFonts w:ascii="Calibri" w:eastAsia="Calibri" w:hAnsi="Calibri" w:cs="Times New Roman"/>
          <w:sz w:val="24"/>
          <w:szCs w:val="24"/>
        </w:rPr>
        <w:lastRenderedPageBreak/>
        <w:t xml:space="preserve">share if given free rein to voice their opinions. Two additional questions were therefore inserted into the survey asking for any additional information the participants wished to offer. These questions were: </w:t>
      </w:r>
    </w:p>
    <w:p w14:paraId="2410942F" w14:textId="77777777" w:rsidR="00292202" w:rsidRPr="005062D9" w:rsidRDefault="00292202" w:rsidP="00292202">
      <w:pPr>
        <w:spacing w:after="240" w:line="480" w:lineRule="auto"/>
        <w:rPr>
          <w:rFonts w:ascii="Calibri" w:eastAsia="Calibri" w:hAnsi="Calibri" w:cs="Times New Roman"/>
          <w:sz w:val="24"/>
          <w:szCs w:val="24"/>
        </w:rPr>
      </w:pPr>
    </w:p>
    <w:p w14:paraId="2B1182DA" w14:textId="77777777" w:rsidR="00292202" w:rsidRPr="005062D9" w:rsidRDefault="00292202" w:rsidP="00292202">
      <w:pPr>
        <w:numPr>
          <w:ilvl w:val="0"/>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If you have any other thoughts/information about conductors or choir related matters (that you have not shared above) that you would like to add then please do so here.</w:t>
      </w:r>
    </w:p>
    <w:p w14:paraId="59D5AC60"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And finally: </w:t>
      </w:r>
    </w:p>
    <w:p w14:paraId="7542CE24" w14:textId="77777777" w:rsidR="00292202" w:rsidRPr="005062D9" w:rsidRDefault="00292202" w:rsidP="00292202">
      <w:pPr>
        <w:numPr>
          <w:ilvl w:val="0"/>
          <w:numId w:val="3"/>
        </w:numPr>
        <w:spacing w:after="240" w:line="480" w:lineRule="auto"/>
        <w:contextualSpacing/>
        <w:rPr>
          <w:rFonts w:ascii="Calibri" w:eastAsia="Calibri" w:hAnsi="Calibri" w:cs="Times New Roman"/>
          <w:b/>
          <w:bCs/>
          <w:sz w:val="24"/>
          <w:szCs w:val="24"/>
        </w:rPr>
      </w:pPr>
      <w:r w:rsidRPr="005062D9">
        <w:rPr>
          <w:rFonts w:ascii="Calibri" w:eastAsia="Calibri" w:hAnsi="Calibri" w:cs="Times New Roman"/>
          <w:b/>
          <w:bCs/>
          <w:sz w:val="24"/>
          <w:szCs w:val="24"/>
        </w:rPr>
        <w:t>If you have any other thoughts or information that you would like to share with the research team, please do so here.</w:t>
      </w:r>
    </w:p>
    <w:p w14:paraId="1EEB312B" w14:textId="77777777" w:rsidR="00292202" w:rsidRPr="005062D9" w:rsidRDefault="00292202" w:rsidP="00292202">
      <w:pPr>
        <w:spacing w:after="240" w:line="480" w:lineRule="auto"/>
        <w:rPr>
          <w:rFonts w:ascii="Calibri" w:eastAsia="Calibri" w:hAnsi="Calibri" w:cs="Times New Roman"/>
          <w:sz w:val="24"/>
          <w:szCs w:val="24"/>
        </w:rPr>
      </w:pPr>
    </w:p>
    <w:p w14:paraId="3FC9FC4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Guided by Braun &amp; Clarke’s writing on designing qualitative surveys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on the final page of the survey demographic information was collected and the participants were offered the opportunity to volunteer for a follow-up interview should this prove useful in the future. Although many singers did volunteer to be contacted, after survey data gathering and analysis was concluded it was decided that sufficient data had been collected and no interviews were necessary at this stage. The Voices Now Big Choral Survey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2017)","plainTextFormattedCitation":"(Voices Now, 2017)","previouslyFormattedCitation":"(Voices Now, 2017)"},"properties":{"noteIndex":0},"schema":"https://github.com/citation-style-language/schema/raw/master/csl-citation.json"}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(Voices Now, 2017)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was used as a template in designing the demographic questions. This choice was made in order to allow for the comparison of the demographic spread of types of choral singer participating in the current study against the Voices Now survey’s report on the types of choral singing taking place across the UK. This was, however, not intended to allow for </w:t>
      </w:r>
      <w:r w:rsidRPr="005062D9">
        <w:rPr>
          <w:rFonts w:ascii="Calibri" w:eastAsia="Calibri" w:hAnsi="Calibri" w:cs="Times New Roman"/>
          <w:sz w:val="24"/>
          <w:szCs w:val="24"/>
        </w:rPr>
        <w:lastRenderedPageBreak/>
        <w:t xml:space="preserve">generalisation of results, this information was gathered only to contextualise the qualitative results for discussion. </w:t>
      </w:r>
    </w:p>
    <w:p w14:paraId="42E0692A" w14:textId="77777777" w:rsidR="00292202" w:rsidRPr="005062D9" w:rsidRDefault="00292202" w:rsidP="00292202">
      <w:pPr>
        <w:spacing w:after="240" w:line="480" w:lineRule="auto"/>
        <w:rPr>
          <w:rFonts w:ascii="Calibri" w:eastAsia="Calibri" w:hAnsi="Calibri" w:cs="Times New Roman"/>
          <w:sz w:val="24"/>
          <w:szCs w:val="24"/>
        </w:rPr>
      </w:pPr>
    </w:p>
    <w:p w14:paraId="362F58A2" w14:textId="77777777" w:rsidR="00292202" w:rsidRPr="005062D9" w:rsidRDefault="00292202" w:rsidP="00292202">
      <w:pPr>
        <w:keepNext/>
        <w:keepLines/>
        <w:spacing w:before="40" w:after="0" w:line="480" w:lineRule="auto"/>
        <w:outlineLvl w:val="2"/>
        <w:rPr>
          <w:rFonts w:ascii="Calibri" w:eastAsia="Times New Roman" w:hAnsi="Calibri" w:cs="Times New Roman"/>
          <w:b/>
          <w:sz w:val="28"/>
          <w:szCs w:val="28"/>
        </w:rPr>
      </w:pPr>
      <w:bookmarkStart w:id="39" w:name="_Toc57131293"/>
      <w:bookmarkStart w:id="40" w:name="_Toc83645734"/>
      <w:r w:rsidRPr="005062D9">
        <w:rPr>
          <w:rFonts w:ascii="Calibri" w:eastAsia="Times New Roman" w:hAnsi="Calibri" w:cs="Times New Roman"/>
          <w:b/>
          <w:sz w:val="28"/>
          <w:szCs w:val="28"/>
        </w:rPr>
        <w:t>5.2.6.2 Pilot testing stage</w:t>
      </w:r>
      <w:bookmarkEnd w:id="39"/>
      <w:bookmarkEnd w:id="40"/>
    </w:p>
    <w:p w14:paraId="516819A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 pilot test of the survey was carried out with the voluntary participation of singers from the University of Aberdeen Choral Society. Singers were invited to participate in the pilot via the society’s private Facebook group. The group was informed that participating in the pilot was optional and that the data collected would not be used in the final analysis for this project and was instead intended to test the survey prior to being advertised publicly. Participation would also preclude them from participating in the public survey and they were informed that due to this they would not be invited to participate in the survey at a future date. The pilot run of the survey lasted 1 week, generating 13 responses. Following this pilot, minor revisions were made to the survey formatting however these did not affect the rationale and question structure described above. The only significant change made to the survey prior to being advertised was the length of time to complete the survey suggested on the opening page. During the pilot run, participants were advised that the survey would take between 10-15 minutes to complete. After feedback from the 13 pilot participants, this was revised to ‘roughly 20 minutes’ as it became clear that it was not possible to give reasonable answers to all questions in 10 minutes and risked participants either giving shallow, short responses or abandoning the survey before completion. </w:t>
      </w:r>
    </w:p>
    <w:p w14:paraId="21AD6E4B" w14:textId="77777777" w:rsidR="00292202" w:rsidRPr="005062D9" w:rsidRDefault="00292202" w:rsidP="00292202">
      <w:pPr>
        <w:spacing w:line="480" w:lineRule="auto"/>
        <w:contextualSpacing/>
        <w:rPr>
          <w:rFonts w:ascii="Calibri" w:eastAsia="Calibri" w:hAnsi="Calibri" w:cs="Times New Roman"/>
          <w:sz w:val="24"/>
          <w:szCs w:val="24"/>
        </w:rPr>
      </w:pPr>
    </w:p>
    <w:p w14:paraId="156CFD6E" w14:textId="77777777" w:rsidR="00292202" w:rsidRPr="005062D9" w:rsidRDefault="00292202" w:rsidP="00292202">
      <w:pPr>
        <w:keepNext/>
        <w:keepLines/>
        <w:spacing w:before="40" w:after="0" w:line="480" w:lineRule="auto"/>
        <w:outlineLvl w:val="2"/>
        <w:rPr>
          <w:rFonts w:ascii="Calibri" w:eastAsia="Times New Roman" w:hAnsi="Calibri" w:cs="Times New Roman"/>
          <w:sz w:val="28"/>
          <w:szCs w:val="28"/>
        </w:rPr>
      </w:pPr>
      <w:bookmarkStart w:id="41" w:name="_Toc57131294"/>
      <w:bookmarkStart w:id="42" w:name="_Toc83645735"/>
      <w:r w:rsidRPr="005062D9">
        <w:rPr>
          <w:rFonts w:ascii="Calibri" w:eastAsia="Times New Roman" w:hAnsi="Calibri" w:cs="Times New Roman"/>
          <w:b/>
          <w:iCs/>
          <w:sz w:val="28"/>
          <w:szCs w:val="28"/>
        </w:rPr>
        <w:lastRenderedPageBreak/>
        <w:t>5.2.6.3 Participant Recruitment</w:t>
      </w:r>
      <w:bookmarkEnd w:id="41"/>
      <w:bookmarkEnd w:id="42"/>
      <w:r w:rsidRPr="005062D9">
        <w:rPr>
          <w:rFonts w:ascii="Calibri" w:eastAsia="Times New Roman" w:hAnsi="Calibri" w:cs="Times New Roman"/>
          <w:sz w:val="28"/>
          <w:szCs w:val="28"/>
        </w:rPr>
        <w:t xml:space="preserve"> </w:t>
      </w:r>
    </w:p>
    <w:p w14:paraId="114311B2"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 convenience sampling approach to participant recruitment was selected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{"citationItems":[{"id":"ITEM-1","itemData":{"DOI":"10.4135/9781412963909","ISBN":"9781412941631","abstract":"Qualitative research is designed to explore the human elements of a given topic, while specific qualitative methods examine how individuals see and experience the world. Qualitative approaches are typically used to explore new phenomena and to capture individuals’ thoughts, feelings, or interpretations of meaning and process. Such methods are central to research conducted in education, nursing, sociology, anthropology, information studies, and other disciplines in the humanities, social sciences, and health sciences. Qualitative research projects are informed by a wide range of methodologies and theoretical frameworks.The SAGE Encyclopedia of Qualitative Research Methods presents current and complete information as well as ready-to-use techniques, facts, and examples from the field of qualitative research in a very accessible style. In taking an interdisciplinary approach, these two volumes target a broad audience and fill a gap in the existing reference literature for a general guide to the core concepts that inform qualitative research practices. The entries cover every major facet of qualitative methods, including access to research participants, data coding, research ethics, the role of theory in qualitative research, and much more—all without overwhelming the informed reader.Key FeaturesDefines and explains core concepts, describes the techniques involved in the implementation of qualitative methods, and presents an overview of qualitative approaches to research Offers many entries that point to substantive debates among qualitative researchers regarding how concepts are labeled and the implications of such labels for how qualitative research is valuedGuides readers through the complex landscape of the language of qualitative inquiryIncludes contributors from various countries and disciplines that reflect a diverse spectrum of research approaches from more traditional, positivist approaches, through postmodern, constructionist onesPresents some entries written in first-person voice and others in third-person voice to reflect the diversity of approaches that define qualitative workKey ThemesApproaches and MethodologiesArts-Based Research, Ties toComputer SoftwareData AnalysisData CollectionData Types and CharacteristicsDisseminationHistory of Qualitative ResearchParticipantsQuantitative Research, Ties toResearch EthicsRigorTextual Analysis, Ties toTheoretical and Philosophical FrameworksThe SAGE Encyclopedia of Qualitative Research Methods is design…","author":[{"dropping-particle":"","family":"Given","given":"Lisa","non-dropping-particle":"","parse-names":false,"suffix":""},{"dropping-particle":"","family":"Saumure","given":"Kristie","non-dropping-particle":"","parse-names":false,"suffix":""}],"container-title":"The SAGE Encyclopedia of Qualitative Research Methods","editor":[{"dropping-particle":"","family":"Given","given":"Lisa","non-dropping-particle":"","parse-names":false,"suffix":""}],"id":"ITEM-1","issued":{"date-parts":[["2008"]]},"page":"125","publisher":"Sage Publications Inc","publisher-place":"Thousand Oaks","title":"Convenience Sample","type":"chapter"},"uris":["http://www.mendeley.com/documents/?uuid=b678cb42-e8dc-425e-b3a3-5457484ad542"]}],"mendeley":{"formattedCitation":"(Given &amp; Saumure, 2008)","plainTextFormattedCitation":"(Given &amp; Saumure, 2008)","previouslyFormattedCitation":"(Given &amp; Saumure, 2008)"},"properties":{"noteIndex":0},"schema":"https://github.com/citation-style-language/schema/raw/master/csl-citation.json"}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(Given &amp; Saumure, 2008)</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choice was made as no criteria for purposive sampling had been generated due to the wide variety of types of choral singers in the UK at present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2017)","plainTextFormattedCitation":"(Voices Now, 2017)","previouslyFormattedCitation":"(Voices Now, 2017)"},"properties":{"noteIndex":0},"schema":"https://github.com/citation-style-language/schema/raw/master/csl-citation.json"}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(Voices Now, 2017)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and the intention not to exclude any of these types of choral singers. A random sampling approach in which all choral singers in the UK had an equal chance of participating in the survey was also deemed unrealistic due to the high number of choral singers in the UK at present (</w:t>
      </w:r>
      <w:r w:rsidRPr="005062D9">
        <w:rPr>
          <w:rFonts w:ascii="Calibri" w:eastAsia="Calibri" w:hAnsi="Calibri" w:cs="Times New Roman"/>
          <w:i/>
          <w:iCs/>
          <w:sz w:val="24"/>
          <w:szCs w:val="24"/>
        </w:rPr>
        <w:t>Ibid.</w:t>
      </w:r>
      <w:r w:rsidRPr="005062D9">
        <w:rPr>
          <w:rFonts w:ascii="Calibri" w:eastAsia="Calibri" w:hAnsi="Calibri" w:cs="Times New Roman"/>
          <w:sz w:val="24"/>
          <w:szCs w:val="24"/>
        </w:rPr>
        <w:t xml:space="preserve">). Although the use of convenience sampling is accompanied by a risk of obtaining data from participants with vested interests in the subject being studied as opposed to an unbiased population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{"citationItems":[{"id":"ITEM-1","itemData":{"DOI":"10.4135/9781412963909","ISBN":"9781412941631","abstract":"Qualitative research is designed to explore the human elements of a given topic, while specific qualitative methods examine how individuals see and experience the world. Qualitative approaches are typically used to explore new phenomena and to capture individuals’ thoughts, feelings, or interpretations of meaning and process. Such methods are central to research conducted in education, nursing, sociology, anthropology, information studies, and other disciplines in the humanities, social sciences, and health sciences. Qualitative research projects are informed by a wide range of methodologies and theoretical frameworks.The SAGE Encyclopedia of Qualitative Research Methods presents current and complete information as well as ready-to-use techniques, facts, and examples from the field of qualitative research in a very accessible style. In taking an interdisciplinary approach, these two volumes target a broad audience and fill a gap in the existing reference literature for a general guide to the core concepts that inform qualitative research practices. The entries cover every major facet of qualitative methods, including access to research participants, data coding, research ethics, the role of theory in qualitative research, and much more—all without overwhelming the informed reader.Key FeaturesDefines and explains core concepts, describes the techniques involved in the implementation of qualitative methods, and presents an overview of qualitative approaches to research Offers many entries that point to substantive debates among qualitative researchers regarding how concepts are labeled and the implications of such labels for how qualitative research is valuedGuides readers through the complex landscape of the language of qualitative inquiryIncludes contributors from various countries and disciplines that reflect a diverse spectrum of research approaches from more traditional, positivist approaches, through postmodern, constructionist onesPresents some entries written in first-person voice and others in third-person voice to reflect the diversity of approaches that define qualitative workKey ThemesApproaches and MethodologiesArts-Based Research, Ties toComputer SoftwareData AnalysisData CollectionData Types and CharacteristicsDisseminationHistory of Qualitative ResearchParticipantsQuantitative Research, Ties toResearch EthicsRigorTextual Analysis, Ties toTheoretical and Philosophical FrameworksThe SAGE Encyclopedia of Qualitative Research Methods is design…","author":[{"dropping-particle":"","family":"Given","given":"Lisa","non-dropping-particle":"","parse-names":false,"suffix":""},{"dropping-particle":"","family":"Saumure","given":"Kristie","non-dropping-particle":"","parse-names":false,"suffix":""}],"container-title":"The SAGE Encyclopedia of Qualitative Research Methods","editor":[{"dropping-particle":"","family":"Given","given":"Lisa","non-dropping-particle":"","parse-names":false,"suffix":""}],"id":"ITEM-1","issued":{"date-parts":[["2008"]]},"page":"125","publisher":"Sage Publications Inc","publisher-place":"Thousand Oaks","title":"Convenience Sample","type":"chapter"},"uris":["http://www.mendeley.com/documents/?uuid=b678cb42-e8dc-425e-b3a3-5457484ad542"]}],"mendeley":{"formattedCitation":"(Given &amp; Saumure, 2008)","plainTextFormattedCitation":"(Given &amp; Saumure, 2008)","previouslyFormattedCitation":"(Given &amp; Saumure, 2008)"},"properties":{"noteIndex":0},"schema":"https://github.com/citation-style-language/schema/raw/master/csl-citation.json"}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(Given &amp; Saumure, 2008)</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was countered by advertising the survey widely and collecting a relatively large sample size. </w:t>
      </w:r>
    </w:p>
    <w:p w14:paraId="550A9DFF" w14:textId="77777777" w:rsidR="00292202" w:rsidRPr="005062D9" w:rsidRDefault="00292202" w:rsidP="00292202">
      <w:pPr>
        <w:spacing w:after="240" w:line="480" w:lineRule="auto"/>
        <w:rPr>
          <w:rFonts w:ascii="Calibri" w:eastAsia="Calibri" w:hAnsi="Calibri" w:cs="Times New Roman"/>
          <w:sz w:val="24"/>
          <w:szCs w:val="24"/>
        </w:rPr>
      </w:pPr>
    </w:p>
    <w:p w14:paraId="135C32A8"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survey was advertised via a Facebook advert which was posted on public UK choral forums and group pages. This advert attracted considerable interest and as a result was shared exactly 700 times, reaching a far greater number of people than anticipated. Consequently, the response rate to the survey was also extremely high with 1075 completions reached within 1 week of the survey being opened. Although it was originally planned to advertise the survey further, the amount of data generated was so large that the survey was closed after the 1 week period to avoid gathering an overwhelming number of responses. Within qualitative survey research, sample sizes are usually larger than in studies </w:t>
      </w:r>
      <w:r>
        <w:rPr>
          <w:rFonts w:ascii="Calibri" w:eastAsia="Calibri" w:hAnsi="Calibri" w:cs="Times New Roman"/>
          <w:sz w:val="24"/>
          <w:szCs w:val="24"/>
        </w:rPr>
        <w:t>that</w:t>
      </w:r>
      <w:r w:rsidRPr="005062D9">
        <w:rPr>
          <w:rFonts w:ascii="Calibri" w:eastAsia="Calibri" w:hAnsi="Calibri" w:cs="Times New Roman"/>
          <w:sz w:val="24"/>
          <w:szCs w:val="24"/>
        </w:rPr>
        <w:t xml:space="preserve"> use other data gathering methods such as interviews or focus groups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10.1080/13645579.2020.1805550","ISSN":"1364-5579","author":[{"dropping-particle":"","family":"Braun","given":"Virginia","non-dropping-particle":"","parse-names":false,"suffix":""},{"dropping-particle":"","family":"Clarke","given":"Victoria","non-dropping-particle":"","parse-names":false,"suffix":""},{"dropping-particle":"","family":"Boulton","given":"Elicia","non-dropping-particle":"","parse-names":false,"suffix":""},{"dropping-particle":"","family":"Davey","given":"Louise","non-dropping-particle":"","parse-names":false,"suffix":""},{"dropping-particle":"","family":"McEvoy","given":"Charlotte","non-dropping-particle":"","parse-names":false,"suffix":""}],"container-title":"International Journal of Social Research Methodology","id":"ITEM-1","issued":{"date-parts":[["2020"]]},"page":"1-14","publisher":"Routledge","title":"The online survey as a qualitative research tool","type":"article-journal"},"uris":["http://www.mendeley.com/documents/?uuid=b5736007-e73a-4172-96f9-97f9b52d3db1"]}],"mendeley":{"formattedCitation":"(Virginia Braun et al., 2020)","manualFormatting":"(Braun et al., 2020)","plainTextFormattedCitation":"(Virginia Braun et al., 2020)","previouslyFormattedCitation":"(Virginia Braun et al., 2020)"},"properties":{"noteIndex":0},"schema":"https://github.com/citation-style-language/schema/raw/master/csl-citation.json"}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et al., 2020)</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In their overview of qualitative survey research however the largest studies noted by Braun et al. (2020) generated over 500 responses. It was therefore determined that 1075 </w:t>
      </w:r>
      <w:r w:rsidRPr="005062D9">
        <w:rPr>
          <w:rFonts w:ascii="Calibri" w:eastAsia="Calibri" w:hAnsi="Calibri" w:cs="Times New Roman"/>
          <w:sz w:val="24"/>
          <w:szCs w:val="24"/>
        </w:rPr>
        <w:lastRenderedPageBreak/>
        <w:t xml:space="preserve">responses represented a very large sample size and it would not be prudent to continue collecting any more data than this. </w:t>
      </w:r>
    </w:p>
    <w:p w14:paraId="5310038A" w14:textId="77777777" w:rsidR="00292202" w:rsidRPr="005062D9" w:rsidRDefault="00292202" w:rsidP="00292202">
      <w:pPr>
        <w:spacing w:after="240" w:line="480" w:lineRule="auto"/>
        <w:rPr>
          <w:rFonts w:ascii="Calibri" w:eastAsia="Calibri" w:hAnsi="Calibri" w:cs="Times New Roman"/>
          <w:sz w:val="24"/>
          <w:szCs w:val="24"/>
        </w:rPr>
      </w:pPr>
    </w:p>
    <w:p w14:paraId="28649AED"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As mentioned above in the ‘Scope of study’ section of this chapter, the aim of the sampling strategy was to gather responses from a wide range of choral participants to reflect the fact that the recent UK choral census revealed a diverse range of choral groups to be active in the UK. In the demographic section of the survey, participants were asked to identify the type of singing group they sing with and if they sing with more than one group to identify the group they sing with most frequently. The Voices Now Big Choral Census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{"citationItems":[{"id":"ITEM-1","itemData":{"author":[{"dropping-particle":"","family":"Voices Now","given":"","non-dropping-particle":"","parse-names":false,"suffix":""}],"id":"ITEM-1","issued":{"date-parts":[["2017"]]},"number-of-pages":"17","title":"The Big Choral Census","type":"report"},"uris":["http://www.mendeley.com/documents/?uuid=a08f7b0d-5209-4b98-b4be-47eed7362e6b"]}],"mendeley":{"formattedCitation":"(Voices Now, 2017)","plainTextFormattedCitation":"(Voices Now, 2017)","previouslyFormattedCitation":"(Voices Now, 2017)"},"properties":{"noteIndex":0},"schema":"https://github.com/citation-style-language/schema/raw/master/csl-citation.json"}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(Voices Now, 2017)</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was used as a template in designing potential answers to this survey question and the results of this question in both surveys can therefore be compared directly. As can be seen below in Figure 13, the distribution of types of choral singer in both surveys is similar, suggesting that although there is not a 100% match in sample distributions, convenience sampling was broadly successful in achieving the diversity of responses sought, with the variety of types of choral singer in the singer survey sample largely matching the Voices Now census’ results. It is reasonable to argue that the singer survey data set broadly represents the general spread of types of choral singer currently active in the UK. The data gathered therefore likely represents a good description of the variety of expectations of a choral leader’s role in the UK from the perspective of currently active choral singers.</w:t>
      </w:r>
    </w:p>
    <w:p w14:paraId="36984F1D" w14:textId="77777777" w:rsidR="00292202" w:rsidRPr="005062D9" w:rsidRDefault="00292202" w:rsidP="00292202">
      <w:pPr>
        <w:spacing w:after="240" w:line="480" w:lineRule="auto"/>
        <w:rPr>
          <w:rFonts w:ascii="Calibri" w:eastAsia="Calibri" w:hAnsi="Calibri" w:cs="Times New Roman"/>
          <w:sz w:val="24"/>
          <w:szCs w:val="24"/>
        </w:rPr>
      </w:pPr>
    </w:p>
    <w:p w14:paraId="0C1FDD49" w14:textId="77777777" w:rsidR="00292202" w:rsidRPr="005062D9" w:rsidRDefault="00292202" w:rsidP="00292202">
      <w:pPr>
        <w:keepNext/>
        <w:spacing w:after="240" w:line="480" w:lineRule="auto"/>
      </w:pPr>
      <w:r w:rsidRPr="005062D9">
        <w:rPr>
          <w:rFonts w:ascii="Calibri" w:eastAsia="Calibri" w:hAnsi="Calibri" w:cs="Times New Roman"/>
          <w:noProof/>
          <w:sz w:val="24"/>
          <w:szCs w:val="24"/>
        </w:rPr>
        <w:lastRenderedPageBreak/>
        <w:drawing>
          <wp:inline distT="0" distB="0" distL="0" distR="0" wp14:anchorId="7915CB10" wp14:editId="541C16ED">
            <wp:extent cx="5745480" cy="4655820"/>
            <wp:effectExtent l="0" t="0" r="7620" b="11430"/>
            <wp:docPr id="7" name="Chart 31">
              <a:extLst xmlns:a="http://schemas.openxmlformats.org/drawingml/2006/main">
                <a:ext uri="{FF2B5EF4-FFF2-40B4-BE49-F238E27FC236}">
                  <a16:creationId xmlns:a16="http://schemas.microsoft.com/office/drawing/2014/main" id="{201867CA-F85A-4F84-AD14-8C8D004E3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78F384" w14:textId="2EFCBD1C" w:rsidR="00292202" w:rsidRPr="005062D9" w:rsidRDefault="00292202" w:rsidP="00292202">
      <w:pPr>
        <w:pStyle w:val="Caption"/>
        <w:rPr>
          <w:rFonts w:ascii="Calibri" w:eastAsia="Calibri" w:hAnsi="Calibri" w:cs="Times New Roman"/>
          <w:sz w:val="24"/>
          <w:szCs w:val="24"/>
        </w:rPr>
      </w:pPr>
      <w:bookmarkStart w:id="43" w:name="_Toc83645608"/>
      <w:r w:rsidRPr="005062D9">
        <w:t xml:space="preserve">Figure </w:t>
      </w:r>
      <w:fldSimple w:instr=" SEQ Figure \* ARABIC ">
        <w:r w:rsidR="007A0B89">
          <w:rPr>
            <w:noProof/>
          </w:rPr>
          <w:t>4</w:t>
        </w:r>
      </w:fldSimple>
      <w:r w:rsidRPr="005062D9">
        <w:t xml:space="preserve"> - Comparison of distribution of “Type of Choir” which singers participate in between singer survey and the Voices Now Big Choral Census (Voices Now, 2017, p.10)</w:t>
      </w:r>
      <w:bookmarkEnd w:id="43"/>
    </w:p>
    <w:p w14:paraId="6422D90E" w14:textId="77777777" w:rsidR="00292202" w:rsidRPr="005062D9" w:rsidRDefault="00292202" w:rsidP="00292202">
      <w:pPr>
        <w:spacing w:line="480" w:lineRule="auto"/>
        <w:contextualSpacing/>
        <w:rPr>
          <w:rFonts w:ascii="Calibri" w:eastAsia="Calibri" w:hAnsi="Calibri" w:cs="Times New Roman"/>
          <w:sz w:val="24"/>
          <w:szCs w:val="24"/>
        </w:rPr>
      </w:pPr>
    </w:p>
    <w:p w14:paraId="27EDE094" w14:textId="77777777" w:rsidR="00292202" w:rsidRPr="005062D9" w:rsidRDefault="00292202" w:rsidP="00292202">
      <w:pPr>
        <w:keepNext/>
        <w:keepLines/>
        <w:spacing w:before="240" w:after="0" w:line="480" w:lineRule="auto"/>
        <w:outlineLvl w:val="0"/>
        <w:rPr>
          <w:rFonts w:ascii="Calibri" w:eastAsia="Times New Roman" w:hAnsi="Calibri" w:cs="Times New Roman"/>
          <w:b/>
          <w:sz w:val="36"/>
          <w:szCs w:val="36"/>
        </w:rPr>
      </w:pPr>
      <w:bookmarkStart w:id="44" w:name="_Toc57131296"/>
      <w:bookmarkStart w:id="45" w:name="_Toc83645736"/>
      <w:r w:rsidRPr="005062D9">
        <w:rPr>
          <w:rFonts w:ascii="Calibri" w:eastAsia="Times New Roman" w:hAnsi="Calibri" w:cs="Times New Roman"/>
          <w:b/>
          <w:sz w:val="36"/>
          <w:szCs w:val="36"/>
        </w:rPr>
        <w:t>5.7 Choice of analytic methods</w:t>
      </w:r>
      <w:bookmarkEnd w:id="44"/>
      <w:bookmarkEnd w:id="45"/>
    </w:p>
    <w:p w14:paraId="6BCD5638"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As outlined above, the job adverts were first analysed and the results of this analysis used to create a framework for the analysis of the singer survey in the second phase of the study. A pragmatic approach allows a researcher to move between inductive and deductive analytical processes freely, without ontological or epistemological concerns tying them to just one or other of these approaches. Due to this project’s emphasis on amplifying singer opinions, an initial analysis with an inductive approach was most appropriate. The first </w:t>
      </w:r>
      <w:r w:rsidRPr="005062D9">
        <w:rPr>
          <w:rFonts w:ascii="Calibri" w:eastAsia="Calibri" w:hAnsi="Calibri" w:cs="Times New Roman"/>
          <w:sz w:val="24"/>
          <w:szCs w:val="24"/>
        </w:rPr>
        <w:lastRenderedPageBreak/>
        <w:t xml:space="preserve">phase of analysis was therefore carried out inductively and the results used as a framework to then analyse the second data set deductively. </w:t>
      </w:r>
      <w:r w:rsidRPr="005062D9">
        <w:rPr>
          <w:rFonts w:ascii="Calibri" w:eastAsia="Calibri" w:hAnsi="Calibri" w:cs="Times New Roman"/>
          <w:sz w:val="24"/>
          <w:szCs w:val="24"/>
        </w:rPr>
        <w:br/>
      </w:r>
      <w:r w:rsidRPr="005062D9">
        <w:rPr>
          <w:rFonts w:ascii="Calibri" w:eastAsia="Calibri" w:hAnsi="Calibri" w:cs="Times New Roman"/>
          <w:sz w:val="24"/>
          <w:szCs w:val="24"/>
        </w:rPr>
        <w:br/>
      </w:r>
    </w:p>
    <w:p w14:paraId="3F7194FC"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To carry out this phased approach to analysis it was necessary to select a paradigmatically flexible analytical method to allow for both inductive and/or deductive analysis. It was also crucial that the chosen analytical method was capable of generating, in the first case, an output which could be used as a framework for further analysis and in the second case, a pragmatic output which could provide the basis of guidance for use in making positive change in choral settings. A Reflexive Thematic Analysis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10.1002/capr.12360","author":[{"dropping-particle":"","family":"Braun","given":"Virginia","non-dropping-particle":"","parse-names":false,"suffix":""},{"dropping-particle":"","family":"Clarke","given":"Victoria","non-dropping-particle":"","parse-names":false,"suffix":""}],"container-title":"Counselling &amp; Psychotherapy Research.","id":"ITEM-1","issue":"August","issued":{"date-parts":[["2020"]]},"page":"1-11","title":"Can I use TA ? Should I use TA ? Should I not use TA ? Comparing reflexive thematic analysis and other pattern-based qualitative analytic approaches","type":"article-journal"},"uris":["http://www.mendeley.com/documents/?uuid=a2d4c3ac-00b4-4259-871f-bde30b9b6fc3"]}],"mendeley":{"formattedCitation":"(Virginia Braun &amp; Clarke, 2020a)","manualFormatting":"(Braun &amp; Clarke, 2020a)","plainTextFormattedCitation":"(Virginia Braun &amp; Clarke, 2020a)","previouslyFormattedCitation":"(Virginia Braun &amp; Clarke, 2020a)"},"properties":{"noteIndex":0},"schema":"https://github.com/citation-style-language/schema/raw/master/csl-citation.json"}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2020a)</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was chosen for use in analysing the job advert data during the first stage of this study, and a Codebook Thematic Analysis </w:t>
      </w:r>
      <w:r w:rsidRPr="005062D9">
        <w:rPr>
          <w:sz w:val="24"/>
          <w:szCs w:val="24"/>
        </w:rPr>
        <w:t>(</w:t>
      </w:r>
      <w:r w:rsidRPr="005062D9">
        <w:rPr>
          <w:i/>
          <w:iCs/>
          <w:sz w:val="24"/>
          <w:szCs w:val="24"/>
        </w:rPr>
        <w:t>Ibid.</w:t>
      </w:r>
      <w:r w:rsidRPr="005062D9">
        <w:rPr>
          <w:sz w:val="24"/>
          <w:szCs w:val="24"/>
        </w:rPr>
        <w:t>)</w:t>
      </w:r>
      <w:r w:rsidRPr="005062D9">
        <w:rPr>
          <w:rFonts w:ascii="Calibri" w:eastAsia="Calibri" w:hAnsi="Calibri" w:cs="Times New Roman"/>
          <w:sz w:val="24"/>
          <w:szCs w:val="24"/>
        </w:rPr>
        <w:t xml:space="preserve"> was chosen for analysing the singer survey data in the second stage. The rationale for these choices will be discussed firstly in terms of paradigmatic fit, and then in terms of their potential for outputting an appropriate set of results for this project. </w:t>
      </w:r>
    </w:p>
    <w:p w14:paraId="036D5E18" w14:textId="77777777" w:rsidR="00292202" w:rsidRPr="005062D9" w:rsidRDefault="00292202" w:rsidP="00292202">
      <w:pPr>
        <w:spacing w:after="240" w:line="480" w:lineRule="auto"/>
        <w:rPr>
          <w:rFonts w:ascii="Calibri" w:eastAsia="Calibri" w:hAnsi="Calibri" w:cs="Times New Roman"/>
          <w:sz w:val="24"/>
          <w:szCs w:val="24"/>
        </w:rPr>
      </w:pPr>
    </w:p>
    <w:p w14:paraId="15BF6A54" w14:textId="77777777" w:rsidR="00292202" w:rsidRPr="005062D9" w:rsidRDefault="00292202" w:rsidP="00292202">
      <w:pPr>
        <w:keepNext/>
        <w:keepLines/>
        <w:spacing w:before="40" w:after="0" w:line="480" w:lineRule="auto"/>
        <w:outlineLvl w:val="1"/>
        <w:rPr>
          <w:rFonts w:ascii="Calibri" w:eastAsia="Times New Roman" w:hAnsi="Calibri" w:cs="Times New Roman"/>
          <w:b/>
          <w:sz w:val="28"/>
          <w:szCs w:val="28"/>
        </w:rPr>
      </w:pPr>
      <w:bookmarkStart w:id="46" w:name="_Toc57131297"/>
      <w:bookmarkStart w:id="47" w:name="_Toc83645737"/>
      <w:r w:rsidRPr="005062D9">
        <w:rPr>
          <w:rFonts w:ascii="Calibri" w:eastAsia="Times New Roman" w:hAnsi="Calibri" w:cs="Times New Roman"/>
          <w:b/>
          <w:sz w:val="28"/>
          <w:szCs w:val="28"/>
        </w:rPr>
        <w:t>5.7.1 Thematic Analysis</w:t>
      </w:r>
      <w:bookmarkEnd w:id="46"/>
      <w:bookmarkEnd w:id="47"/>
      <w:r w:rsidRPr="005062D9">
        <w:rPr>
          <w:rFonts w:ascii="Calibri" w:eastAsia="Times New Roman" w:hAnsi="Calibri" w:cs="Times New Roman"/>
          <w:b/>
          <w:sz w:val="28"/>
          <w:szCs w:val="28"/>
        </w:rPr>
        <w:t xml:space="preserve"> </w:t>
      </w:r>
    </w:p>
    <w:p w14:paraId="6B5EE76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‘Thematic Analysis’ (TA) is commonly referred to as a method, however it is more usefully conceptualised as a family of related yet distinct methods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10.1002/capr.12360","author":[{"dropping-particle":"","family":"Braun","given":"Virginia","non-dropping-particle":"","parse-names":false,"suffix":""},{"dropping-particle":"","family":"Clarke","given":"Victoria","non-dropping-particle":"","parse-names":false,"suffix":""}],"container-title":"Counselling &amp; Psychotherapy Research.","id":"ITEM-1","issue":"August","issued":{"date-parts":[["2020"]]},"page":"1-11","title":"Can I use TA ? Should I use TA ? Should I not use TA ? Comparing reflexive thematic analysis and other pattern-based qualitative analytic approaches","type":"article-journal"},"uris":["http://www.mendeley.com/documents/?uuid=a2d4c3ac-00b4-4259-871f-bde30b9b6fc3"]}],"mendeley":{"formattedCitation":"(Virginia Braun &amp; Clarke, 2020a)","manualFormatting":"(Braun &amp; Clarke, 2020a)","plainTextFormattedCitation":"(Virginia Braun &amp; Clarke, 2020a)","previouslyFormattedCitation":"(Virginia Braun &amp; Clarke, 2020a)"},"properties":{"noteIndex":0},"schema":"https://github.com/citation-style-language/schema/raw/master/csl-citation.json"}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2020a)</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family of methods has in common a process of reviewing, coding, and grouping qualitative data. It is, however, inaccurate and limiting to simply describe thematic analysis in this way. This description also risks confusing readers as this coding process is common to a range of </w:t>
      </w:r>
      <w:r w:rsidRPr="005062D9">
        <w:rPr>
          <w:rFonts w:ascii="Calibri" w:eastAsia="Calibri" w:hAnsi="Calibri" w:cs="Times New Roman"/>
          <w:sz w:val="24"/>
          <w:szCs w:val="24"/>
        </w:rPr>
        <w:lastRenderedPageBreak/>
        <w:t>other qualitative methodologies such as Qualitative Content Analysis, Grounded Theory, and Interpretive Phenomenological Analysis, to name just a few. A more accurate description of TA would acknowledge repeated readings of the data set, coding units of data, and grouping codes into themes as steps common to all types of TA, but then further acknowledge three schools of TA:</w:t>
      </w:r>
    </w:p>
    <w:p w14:paraId="32E0B19D" w14:textId="77777777" w:rsidR="00292202" w:rsidRPr="005062D9" w:rsidRDefault="00292202" w:rsidP="00292202">
      <w:pPr>
        <w:spacing w:after="240" w:line="480" w:lineRule="auto"/>
        <w:rPr>
          <w:rFonts w:ascii="Calibri" w:eastAsia="Calibri" w:hAnsi="Calibri" w:cs="Times New Roman"/>
          <w:sz w:val="24"/>
          <w:szCs w:val="24"/>
        </w:rPr>
      </w:pPr>
    </w:p>
    <w:p w14:paraId="710AA149" w14:textId="77777777" w:rsidR="00292202" w:rsidRPr="005062D9" w:rsidRDefault="00292202" w:rsidP="00292202">
      <w:pPr>
        <w:numPr>
          <w:ilvl w:val="0"/>
          <w:numId w:val="7"/>
        </w:numPr>
        <w:spacing w:after="240" w:line="480" w:lineRule="auto"/>
        <w:contextualSpacing/>
        <w:rPr>
          <w:rFonts w:ascii="Calibri" w:eastAsia="Calibri" w:hAnsi="Calibri" w:cs="Times New Roman"/>
          <w:sz w:val="24"/>
          <w:szCs w:val="24"/>
        </w:rPr>
      </w:pPr>
      <w:r w:rsidRPr="005062D9">
        <w:rPr>
          <w:rFonts w:ascii="Calibri" w:eastAsia="Calibri" w:hAnsi="Calibri" w:cs="Times New Roman"/>
          <w:b/>
          <w:bCs/>
          <w:sz w:val="24"/>
          <w:szCs w:val="24"/>
        </w:rPr>
        <w:t>Coding reliability TA</w:t>
      </w:r>
      <w:r w:rsidRPr="005062D9">
        <w:rPr>
          <w:rFonts w:ascii="Calibri" w:eastAsia="Calibri" w:hAnsi="Calibri" w:cs="Times New Roman"/>
          <w:sz w:val="24"/>
          <w:szCs w:val="24"/>
        </w:rPr>
        <w:t xml:space="preserve"> takes a positivist approach to textual analysis, assuming that consensus between multiple coders can be achieved on how units of text can be grouped into codes and themes. This approach places emphasis on replicability, assuming that units of data can be reliably assigned to codes by multiple coders with low levels of discrepancy between their analysis. The coding process begins with a predetermined coding structure which is agreed upon by all coders who then work independently to analyse the data set. After coding, an agreement score is calculated based on the degree of overlap between coders. Coding teams aim for a score of 0.80 or above. If this level of overlap is not achieved, the coding is determined to be inaccurate and discrepancies must be resolved before the analysis is considered complete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{"citationItems":[{"id":"ITEM-1","itemData":{"ISBN":"978-981-10-5251-4","abstract":"This chapter maps the terrain of thematic analysis (TA), a method for capturing patterns (“themes”) across qualitative datasets. We identify key concepts and different orientations and practices, illustrating why TA is often better understood as an umbrella term, used for sometimes quite different approaches, than a single qualitative analytic approach. Under the umbrella, three broad approaches can be identified: a “coding reliability” approach, a “codebook” approach, and a “reflexive” approach. These are often characterized by distinctive – sometimes radically different – conceptualizations of what a theme is, as well as methods for theme identification and development, and indeed coding. We then provide practical guidance on completing TA within our popular (reflexive) approach to TA, discussing each phase of the six-phase approach we have developed in relation to a project on men, rehabilitation, and embodiment. We conclude with a discussion of key concerns related to ensuring the TA you do – within whatever approach – is of the highest quality.","author":[{"dropping-particle":"","family":"Braun","given":"Virginia","non-dropping-particle":"","parse-names":false,"suffix":""},{"dropping-particle":"","family":"Clarke","given":"Victoria","non-dropping-particle":"","parse-names":false,"suffix":""},{"dropping-particle":"","family":"Hayfield","given":"Nikki","non-dropping-particle":"","parse-names":false,"suffix":""},{"dropping-particle":"","family":"Terry","given":"Gareth","non-dropping-particle":"","parse-names":false,"suffix":""}],"container-title":"Handbook of Research Methods in Health Social Sciences","id":"ITEM-1","issued":{"date-parts":[["2019"]]},"page":"843-860","publisher":"Springer","publisher-place":"Singapore","title":"Thematic Analysis","type":"chapter"},"uris":["http://www.mendeley.com/documents/?uuid=361e6ab5-a590-45cf-aa13-a6f5ce3f6a5b"]}],"mendeley":{"formattedCitation":"(Virginia Braun et al., 2019)","manualFormatting":"(Braun et al., 2019)","plainTextFormattedCitation":"(Virginia Braun et al., 2019)","previouslyFormattedCitation":"(Virginia Braun et al., 2019)"},"properties":{"noteIndex":0},"schema":"https://github.com/citation-style-language/schema/raw/master/csl-citation.json"}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et al., 2019)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3FDA51C6" w14:textId="77777777" w:rsidR="00292202" w:rsidRPr="005062D9" w:rsidRDefault="00292202" w:rsidP="00292202">
      <w:pPr>
        <w:spacing w:after="240" w:line="480" w:lineRule="auto"/>
        <w:ind w:left="360"/>
        <w:rPr>
          <w:rFonts w:ascii="Calibri" w:eastAsia="Calibri" w:hAnsi="Calibri" w:cs="Times New Roman"/>
          <w:sz w:val="24"/>
          <w:szCs w:val="24"/>
        </w:rPr>
      </w:pPr>
    </w:p>
    <w:p w14:paraId="357FF445" w14:textId="77777777" w:rsidR="00292202" w:rsidRPr="005062D9" w:rsidRDefault="00292202" w:rsidP="00292202">
      <w:pPr>
        <w:numPr>
          <w:ilvl w:val="0"/>
          <w:numId w:val="7"/>
        </w:numPr>
        <w:spacing w:after="240" w:line="480" w:lineRule="auto"/>
        <w:contextualSpacing/>
        <w:rPr>
          <w:rFonts w:ascii="Calibri" w:eastAsia="Calibri" w:hAnsi="Calibri" w:cs="Times New Roman"/>
          <w:sz w:val="24"/>
          <w:szCs w:val="24"/>
        </w:rPr>
      </w:pPr>
      <w:r w:rsidRPr="005062D9">
        <w:rPr>
          <w:rFonts w:ascii="Calibri" w:eastAsia="Calibri" w:hAnsi="Calibri" w:cs="Times New Roman"/>
          <w:b/>
          <w:bCs/>
          <w:sz w:val="24"/>
          <w:szCs w:val="24"/>
        </w:rPr>
        <w:t>Reflexive TA</w:t>
      </w:r>
      <w:r w:rsidRPr="005062D9">
        <w:rPr>
          <w:rFonts w:ascii="Calibri" w:eastAsia="Calibri" w:hAnsi="Calibri" w:cs="Times New Roman"/>
          <w:sz w:val="24"/>
          <w:szCs w:val="24"/>
        </w:rPr>
        <w:t xml:space="preserve"> on the other hand rejects the positivist notion that the data contains a ‘correct’ answer that must be found. In this school of TA researchers argue that researcher subjectivity is an integral part of the process, with codes not emerging from the data like mined gems, but are instead actively generated by the researcher during coding. Within Reflexive TA, coding is an iterative process with codes being </w:t>
      </w:r>
      <w:r w:rsidRPr="005062D9">
        <w:rPr>
          <w:rFonts w:ascii="Calibri" w:eastAsia="Calibri" w:hAnsi="Calibri" w:cs="Times New Roman"/>
          <w:sz w:val="24"/>
          <w:szCs w:val="24"/>
        </w:rPr>
        <w:lastRenderedPageBreak/>
        <w:t xml:space="preserve">created and merged during the researcher’s repeated engagements with the data </w:t>
      </w:r>
      <w:r w:rsidRPr="005062D9">
        <w:rPr>
          <w:sz w:val="24"/>
          <w:szCs w:val="24"/>
        </w:rPr>
        <w:t>(</w:t>
      </w:r>
      <w:r w:rsidRPr="005062D9">
        <w:rPr>
          <w:i/>
          <w:iCs/>
          <w:sz w:val="24"/>
          <w:szCs w:val="24"/>
        </w:rPr>
        <w:t>Ibid.</w:t>
      </w:r>
      <w:r w:rsidRPr="005062D9">
        <w:rPr>
          <w:sz w:val="24"/>
          <w:szCs w:val="24"/>
        </w:rPr>
        <w:t>)</w:t>
      </w:r>
      <w:r w:rsidRPr="005062D9">
        <w:rPr>
          <w:rFonts w:ascii="Calibri" w:eastAsia="Calibri" w:hAnsi="Calibri" w:cs="Times New Roman"/>
          <w:sz w:val="24"/>
          <w:szCs w:val="24"/>
        </w:rPr>
        <w:t xml:space="preserve">. The concept of data saturation, common to many qualitative analysis types such as Grounded Theory or Qualitative Content Analysis, where data collection ends when researchers find no new codes appearing in the data set is not used in Reflexive TA. The notion that a code set can be defined as complete and no new interpretations of the data can be found does not align with the “big Q”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{"citationItems":[{"id":"ITEM-1","itemData":{"DOI":"10.1080/2159676X.2019.1628806","ISSN":"1939845X","abstract":"Since initially writing on thematic analysis in 2006, the popularity of the method we outlined has exploded, the variety of TA approaches have expanded, and, not least, our thinking has developed and shifted. In this reflexive commentary, we look back at some of the unspoken assumptions that informed how we wrote our 2006 paper. We connect some of these un-identified assumptions, and developments in the method over the years, with some conceptual mismatches and confusions we see in published TA studies. In order to facilitate better TA practice, we reflect on how our thinking has evolved–and in some cases sedimented–since the publication of our 2006 paper, and clarify and revise some of the ways we phrased or conceptualised TA, and the elements of, and processes around, a method we now prefer to call reflexive TA.","author":[{"dropping-particle":"","family":"Braun","given":"Virginia","non-dropping-particle":"","parse-names":false,"suffix":""},{"dropping-particle":"","family":"Clarke","given":"Victoria","non-dropping-particle":"","parse-names":false,"suffix":""}],"container-title":"Qualitative Research in Sport, Exercise and Health","id":"ITEM-1","issue":"4","issued":{"date-parts":[["2019"]]},"page":"589-597","publisher":"Routledge","title":"Reflecting on reflexive thematic analysis","type":"article-journal","volume":"11"},"uris":["http://www.mendeley.com/documents/?uuid=3cb5f083-e208-4301-936c-4f9b76c84744"]}],"mendeley":{"formattedCitation":"(Virginia Braun &amp; Clarke, 2019a)","manualFormatting":"(Braun &amp; Clarke, 2019, p.594)","plainTextFormattedCitation":"(Virginia Braun &amp; Clarke, 2019a)","previouslyFormattedCitation":"(Virginia Braun &amp; Clarke, 2019a)"},"properties":{"noteIndex":0},"schema":"https://github.com/citation-style-language/schema/raw/master/csl-citation.json"}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2019, p.594)</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(i.e. adopting both qualitative methods </w:t>
      </w:r>
      <w:r w:rsidRPr="005062D9">
        <w:rPr>
          <w:rFonts w:ascii="Calibri" w:eastAsia="Calibri" w:hAnsi="Calibri" w:cs="Times New Roman"/>
          <w:i/>
          <w:iCs/>
          <w:sz w:val="24"/>
          <w:szCs w:val="24"/>
        </w:rPr>
        <w:t>and</w:t>
      </w:r>
      <w:r w:rsidRPr="005062D9">
        <w:rPr>
          <w:rFonts w:ascii="Calibri" w:eastAsia="Calibri" w:hAnsi="Calibri" w:cs="Times New Roman"/>
          <w:sz w:val="24"/>
          <w:szCs w:val="24"/>
        </w:rPr>
        <w:t xml:space="preserve"> qualitative paradigmatic worldviews) stance taken by those using Reflexive TA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{"citationItems":[{"id":"ITEM-1","itemData":{"DOI":"10.1080/2159676X.2019.1704846","ISSN":"1939845X","abstract":"The concept of data saturation, defined as ‘information redundancy’ or the point at which no new themes or codes ‘emerge’ from data, is widely referenced in thematic analysis (TA) research in sport and exercise, and beyond. Several researchers have sought to ‘operationalise’ data saturation and provide concrete guidance on how many interviews, or focus groups, are enough to achieve some degree of data saturation in TA research. Our disagreement with such attempts to ‘capture’ data saturation for TA led us to this commentary. Here, we contribute to critical discussions of the saturation concept in qualitative research by interrogating the assumptions around the practice and procedures of TA that inform these data saturation ‘experiments’, and the conceptualisation of saturation as information redundancy. We argue that although the concepts of data-, thematic- or code-saturation, and even meaning-saturation, are coherent with the neo-positivist, discovery-oriented, meaning excavation project of coding reliability types of TA, they are not consistent with the values and assumptions of reflexive TA. We encourage sport and exercise and other researchers using reflexive TA to dwell with uncertainty and recognise that meaning is generated through interpretation of, not excavated from, data, and therefore judgements about ‘how many’ data items, and when to stop data collection, are inescapably situated and subjective, and cannot be determined (wholly) in advance of analysis.","author":[{"dropping-particle":"","family":"Braun","given":"Virginia","non-dropping-particle":"","parse-names":false,"suffix":""},{"dropping-particle":"","family":"Clarke","given":"Victoria","non-dropping-particle":"","parse-names":false,"suffix":""}],"container-title":"Qualitative Research in Sport, Exercise and Health","id":"ITEM-1","issue":"00","issued":{"date-parts":[["2019"]]},"page":"1-16","publisher":"Routledge","title":"To saturate or not to saturate? Questioning data saturation as a useful concept for thematic analysis and sample-size rationales","type":"article-journal","volume":"00"},"uris":["http://www.mendeley.com/documents/?uuid=9c3843fb-878f-4908-b3aa-b8abd6bad9b4"]}],"mendeley":{"formattedCitation":"(Virginia Braun &amp; Clarke, 2019b)","manualFormatting":"(Braun &amp; Clarke, 2019b)","plainTextFormattedCitation":"(Virginia Braun &amp; Clarke, 2019b)","previouslyFormattedCitation":"(Virginia Braun &amp; Clarke, 2019b)"},"properties":{"noteIndex":0},"schema":"https://github.com/citation-style-language/schema/raw/master/csl-citation.json"}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2019b)</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08CABEA8" w14:textId="77777777" w:rsidR="00292202" w:rsidRPr="005062D9" w:rsidRDefault="00292202" w:rsidP="00292202">
      <w:pPr>
        <w:spacing w:after="240" w:line="480" w:lineRule="auto"/>
        <w:rPr>
          <w:rFonts w:ascii="Calibri" w:eastAsia="Calibri" w:hAnsi="Calibri" w:cs="Times New Roman"/>
          <w:sz w:val="24"/>
          <w:szCs w:val="24"/>
        </w:rPr>
      </w:pPr>
    </w:p>
    <w:p w14:paraId="6500E05C" w14:textId="77777777" w:rsidR="00292202" w:rsidRPr="005062D9" w:rsidRDefault="00292202" w:rsidP="00292202">
      <w:pPr>
        <w:numPr>
          <w:ilvl w:val="0"/>
          <w:numId w:val="7"/>
        </w:numPr>
        <w:spacing w:after="240" w:line="480" w:lineRule="auto"/>
        <w:contextualSpacing/>
        <w:rPr>
          <w:rFonts w:ascii="Calibri" w:eastAsia="Calibri" w:hAnsi="Calibri" w:cs="Times New Roman"/>
          <w:sz w:val="24"/>
          <w:szCs w:val="24"/>
        </w:rPr>
      </w:pPr>
      <w:r w:rsidRPr="005062D9">
        <w:rPr>
          <w:rFonts w:ascii="Calibri" w:eastAsia="Calibri" w:hAnsi="Calibri" w:cs="Times New Roman"/>
          <w:b/>
          <w:bCs/>
          <w:sz w:val="24"/>
          <w:szCs w:val="24"/>
        </w:rPr>
        <w:t>Codebook TA</w:t>
      </w:r>
      <w:r w:rsidRPr="005062D9">
        <w:rPr>
          <w:rFonts w:ascii="Calibri" w:eastAsia="Calibri" w:hAnsi="Calibri" w:cs="Times New Roman"/>
          <w:sz w:val="24"/>
          <w:szCs w:val="24"/>
        </w:rPr>
        <w:t xml:space="preserve"> can be considered a middle ground between Coding Reliability TA and Reflexive TA. This method uses a predetermined coding structure in a similar manner to Coding Reliability TA as a starting point for analysis, however it also allows space for the researcher to alter this structure or to generate further codes if this is deemed appropriate during the coding process</w:t>
      </w:r>
      <w:r>
        <w:rPr>
          <w:rFonts w:ascii="Calibri" w:eastAsia="Calibri" w:hAnsi="Calibri" w:cs="Times New Roman"/>
          <w:sz w:val="24"/>
          <w:szCs w:val="24"/>
        </w:rPr>
        <w:t xml:space="preserve"> </w:t>
      </w:r>
      <w:r>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{"citationItems":[{"id":"ITEM-1","itemData":{"DOI":"10.1186/s12874-019-0707-y","ISSN":"14712288","PMID":"30922220","abstract":"Background: Navigating the world of qualitative thematic analysis can be challenging. This is compounded by the fact that detailed descriptions of methods are often omitted from qualitative discussions. While qualitative research methodologies are now mature, there often remains a lack of fine detail in their description both at submitted peer reviewed article level and in textbooks. As one of research's aims is to determine the relationship between knowledge and practice through the demonstration of rigour, more detailed descriptions of methods could prove useful. Rigour in quantitative research is often determined through detailed explanation allowing replication, but the ability to replicate is often not considered appropriate in qualitative research. However, a well described qualitative methodology could demonstrate and ensure the same effect. Methods: This article details the codebook development which contributed to thematic analysis of qualitative data. This analysis formed part of a mixed methods multiphase design research project, with both qualitative and quantitative inquiry and involving the convergence of data and analyses. This design consisted of three distinct phases: quantitative, qualitative and implementation phases. Results and conclusions: This article is aimed at researchers and doctoral students new to thematic analysis by describing a framework to assist their processes. The detailed description of the methods used supports attempts to utilise the thematic analysis process and to determine rigour to support the establishment of credibility. This process will assist practitioners to be confident that the knowledge and claims contained within research are transferable to their practice. The approach described within this article builds on, and enhances, current accepted models.","author":[{"dropping-particle":"","family":"Roberts","given":"Kate","non-dropping-particle":"","parse-names":false,"suffix":""},{"dropping-particle":"","family":"Dowell","given":"Anthony","non-dropping-particle":"","parse-names":false,"suffix":""},{"dropping-particle":"","family":"Nie","given":"Jing Bao","non-dropping-particle":"","parse-names":false,"suffix":""}],"container-title":"BMC Medical Research Methodology","id":"ITEM-1","issue":"1","issued":{"date-parts":[["2019"]]},"page":"1-8","publisher":"BMC Medical Research Methodology","title":"Attempting rigour and replicability in thematic analysis of qualitative research data; A case study of codebook development","type":"article-journal","volume":"19"},"uris":["http://www.mendeley.com/documents/?uuid=c0b75a21-c292-4997-bc73-acda74d392a8"]}],"mendeley":{"formattedCitation":"(Roberts et al., 2019)","plainTextFormattedCitation":"(Roberts et al., 2019)"},"properties":{"noteIndex":0},"schema":"https://github.com/citation-style-language/schema/raw/master/csl-citation.json"}</w:instrText>
      </w:r>
      <w:r>
        <w:rPr>
          <w:rFonts w:ascii="Calibri" w:eastAsia="Calibri" w:hAnsi="Calibri" w:cs="Times New Roman"/>
          <w:sz w:val="24"/>
          <w:szCs w:val="24"/>
        </w:rPr>
        <w:fldChar w:fldCharType="separate"/>
      </w:r>
      <w:r w:rsidRPr="00261D59">
        <w:rPr>
          <w:rFonts w:ascii="Calibri" w:eastAsia="Calibri" w:hAnsi="Calibri" w:cs="Times New Roman"/>
          <w:noProof/>
          <w:sz w:val="24"/>
          <w:szCs w:val="24"/>
        </w:rPr>
        <w:t>(Roberts et al., 2019)</w:t>
      </w:r>
      <w:r>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flexibility is a by-product of Codebook TA’s use of a broadly qualitative underlying philosophy, as opposed to Coding Reliability’s more quantitative approach. Inter-coder agreement is not calculated in this form of TA and data saturation is not necessarily used to determine the point at which coding is complete. This is again a reflection of this school’s use of researcher subjectivity as a tool for code generation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10.1002/capr.12360","author":[{"dropping-particle":"","family":"Braun","given":"Virginia","non-dropping-particle":"","parse-names":false,"suffix":""},{"dropping-particle":"","family":"Clarke","given":"Victoria","non-dropping-particle":"","parse-names":false,"suffix":""}],"container-title":"Counselling &amp; Psychotherapy Research.","id":"ITEM-1","issue":"August","issued":{"date-parts":[["2020"]]},"page":"1-11","title":"Can I use TA ? Should I use TA ? Should I not use TA ? Comparing reflexive thematic analysis and other pattern-based qualitative analytic approaches","type":"article-journal"},"uris":["http://www.mendeley.com/documents/?uuid=a2d4c3ac-00b4-4259-871f-bde30b9b6fc3"]}],"mendeley":{"formattedCitation":"(Virginia Braun &amp; Clarke, 2020a)","manualFormatting":"(Braun &amp; Clarke, 2020a)","plainTextFormattedCitation":"(Virginia Braun &amp; Clarke, 2020a)","previouslyFormattedCitation":"(Virginia Braun &amp; Clarke, 2020a)"},"properties":{"noteIndex":0},"schema":"https://github.com/citation-style-language/schema/raw/master/csl-citation.json"}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2020a)</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6DAC2580" w14:textId="77777777" w:rsidR="00292202" w:rsidRPr="005062D9" w:rsidRDefault="00292202" w:rsidP="00292202">
      <w:pPr>
        <w:spacing w:after="240" w:line="480" w:lineRule="auto"/>
        <w:rPr>
          <w:rFonts w:ascii="Calibri" w:eastAsia="Calibri" w:hAnsi="Calibri" w:cs="Times New Roman"/>
          <w:sz w:val="24"/>
          <w:szCs w:val="24"/>
        </w:rPr>
      </w:pPr>
    </w:p>
    <w:p w14:paraId="002797EA"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In all types of TA, an additional consideration for the researcher is to what extent they decide to identify themes at a semantic or latent level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bbapap.2013.06.007","ISBN":"9783319600536","ISSN":"14320614","PMID":"14766562","author":[{"dropping-particle":"","family":"Braun","given":"V.","non-dropping-particle":"","parse-names":false,"suffix":""},{"dropping-particle":"","family":"Clarke","given":"V.","non-dropping-particle":"","parse-names":false,"suffix":""}],"container-title":"Qualitative Research in Psychology","id":"ITEM-1","issue":"2","issued":{"date-parts":[["2006"]]},"page":"77-101","title":"Using thematic analysis in psychology","type":"article-journal","volume":"3"},"uris":["http://www.mendeley.com/documents/?uuid=6bef64d5-6873-4c55-855c-46a461c5d905"]}],"mendeley":{"formattedCitation":"(V. Braun &amp; Clarke, 2006)","manualFormatting":"(Braun &amp; Clarke, 2006)","plainTextFormattedCitation":"(V. Braun &amp; Clarke, 2006)","previouslyFormattedCitation":"(V. Braun &amp; Clarke, 2006)"},"properties":{"noteIndex":0},"schema":"https://github.com/citation-style-language/schema/raw/master/csl-citation.json"}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2006)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A semantic approach involves the coding of explicitly stated content or surface meaning of the data. Latent coding moves beyond this to the examination of underlying ideas within the data set which shape the semantic content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10.1002/capr.12360","author":[{"dropping-particle":"","family":"Braun","given":"Virginia","non-dropping-particle":"","parse-names":false,"suffix":""},{"dropping-particle":"","family":"Clarke","given":"Victoria","non-dropping-particle":"","parse-names":false,"suffix":""}],"container-title":"Counselling &amp; Psychotherapy Research.","id":"ITEM-1","issue":"August","issued":{"date-parts":[["2020"]]},"page":"1-11","title":"Can I use TA ? Should I use TA ? Should I not use TA ? Comparing reflexive thematic analysis and other pattern-based qualitative analytic approaches","type":"article-journal"},"uris":["http://www.mendeley.com/documents/?uuid=a2d4c3ac-00b4-4259-871f-bde30b9b6fc3"]}],"mendeley":{"formattedCitation":"(Virginia Braun &amp; Clarke, 2020a)","manualFormatting":"(Braun &amp; Clarke, 2020a)","plainTextFormattedCitation":"(Virginia Braun &amp; Clarke, 2020a)","previouslyFormattedCitation":"(Virginia Braun &amp; Clarke, 2020a)"},"properties":{"noteIndex":0},"schema":"https://github.com/citation-style-language/schema/raw/master/csl-citation.json"}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2020a)</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In reality, it is not always possible to distinguish clearly between what a semantic and latent reading of a data set is, and the two levels of analysis are better seen as sitting on a spectrum as opposed to there being a binary separation of the two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{"citationItems":[{"id":"ITEM-1","itemData":{"ISBN":"978-981-10-5251-4","abstract":"This chapter maps the terrain of thematic analysis (TA), a method for capturing patterns (“themes”) across qualitative datasets. We identify key concepts and different orientations and practices, illustrating why TA is often better understood as an umbrella term, used for sometimes quite different approaches, than a single qualitative analytic approach. Under the umbrella, three broad approaches can be identified: a “coding reliability” approach, a “codebook” approach, and a “reflexive” approach. These are often characterized by distinctive – sometimes radically different – conceptualizations of what a theme is, as well as methods for theme identification and development, and indeed coding. We then provide practical guidance on completing TA within our popular (reflexive) approach to TA, discussing each phase of the six-phase approach we have developed in relation to a project on men, rehabilitation, and embodiment. We conclude with a discussion of key concerns related to ensuring the TA you do – within whatever approach – is of the highest quality.","author":[{"dropping-particle":"","family":"Braun","given":"Virginia","non-dropping-particle":"","parse-names":false,"suffix":""},{"dropping-particle":"","family":"Clarke","given":"Victoria","non-dropping-particle":"","parse-names":false,"suffix":""},{"dropping-particle":"","family":"Hayfield","given":"Nikki","non-dropping-particle":"","parse-names":false,"suffix":""},{"dropping-particle":"","family":"Terry","given":"Gareth","non-dropping-particle":"","parse-names":false,"suffix":""}],"container-title":"Handbook of Research Methods in Health Social Sciences","id":"ITEM-1","issued":{"date-parts":[["2019"]]},"page":"843-860","publisher":"Springer","publisher-place":"Singapore","title":"Thematic Analysis","type":"chapter"},"uris":["http://www.mendeley.com/documents/?uuid=361e6ab5-a590-45cf-aa13-a6f5ce3f6a5b"]}],"mendeley":{"formattedCitation":"(Virginia Braun et al., 2019)","manualFormatting":"(Braun et al., 2019)","plainTextFormattedCitation":"(Virginia Braun et al., 2019)","previouslyFormattedCitation":"(Virginia Braun et al., 2019)"},"properties":{"noteIndex":0},"schema":"https://github.com/citation-style-language/schema/raw/master/csl-citation.json"}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et al., 2019)</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The level of interpretation a researcher carries out during coding is inevitably tied to their underlying paradigmatic assumptions. Coding Reliability TA carried out by researchers within a positivist paradigm, for example, is likely to code data at a semantic level to improve coder accuracy and therefore improve the inter-coder reliability score. Researchers using Reflexive TA used within a constructionist paradigm however may instead aim to move beyond this to analysis at a latent level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10.1016/j.bbapap.2013.06.007","ISBN":"9783319600536","ISSN":"14320614","PMID":"14766562","author":[{"dropping-particle":"","family":"Braun","given":"V.","non-dropping-particle":"","parse-names":false,"suffix":""},{"dropping-particle":"","family":"Clarke","given":"V.","non-dropping-particle":"","parse-names":false,"suffix":""}],"container-title":"Qualitative Research in Psychology","id":"ITEM-1","issue":"2","issued":{"date-parts":[["2006"]]},"page":"77-101","title":"Using thematic analysis in psychology","type":"article-journal","volume":"3"},"uris":["http://www.mendeley.com/documents/?uuid=6bef64d5-6873-4c55-855c-46a461c5d905"]}],"mendeley":{"formattedCitation":"(V. Braun &amp; Clarke, 2006)","manualFormatting":"(Braun &amp; Clarke, 2006)","plainTextFormattedCitation":"(V. Braun &amp; Clarke, 2006)","previouslyFormattedCitation":"(V. Braun &amp; Clarke, 2006)"},"properties":{"noteIndex":0},"schema":"https://github.com/citation-style-language/schema/raw/master/csl-citation.json"}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2006)</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09FB9B97" w14:textId="77777777" w:rsidR="00292202" w:rsidRPr="005062D9" w:rsidRDefault="00292202" w:rsidP="00292202">
      <w:pPr>
        <w:spacing w:after="240" w:line="480" w:lineRule="auto"/>
        <w:rPr>
          <w:rFonts w:ascii="Calibri" w:eastAsia="Calibri" w:hAnsi="Calibri" w:cs="Times New Roman"/>
          <w:sz w:val="24"/>
          <w:szCs w:val="24"/>
        </w:rPr>
      </w:pPr>
    </w:p>
    <w:p w14:paraId="148CB073"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As seen above, the various forms of TA differ widely in their paradigmatic stances and procedures. The successful use of TA is therefore contingent upon a researcher’s reflection on the theoretical underpinning of their project and achieving </w:t>
      </w:r>
      <w:r>
        <w:rPr>
          <w:rFonts w:ascii="Calibri" w:eastAsia="Calibri" w:hAnsi="Calibri" w:cs="Times New Roman"/>
          <w:sz w:val="24"/>
          <w:szCs w:val="24"/>
        </w:rPr>
        <w:t xml:space="preserve">a </w:t>
      </w:r>
      <w:r w:rsidRPr="005062D9">
        <w:rPr>
          <w:rFonts w:ascii="Calibri" w:eastAsia="Calibri" w:hAnsi="Calibri" w:cs="Times New Roman"/>
          <w:sz w:val="24"/>
          <w:szCs w:val="24"/>
        </w:rPr>
        <w:t xml:space="preserve">paradigmatic fit between their stated worldview and the variety of TA utilised. Pragmatic researchers are not bound to an ontological or epistemological stance which prevents the use of any of these three forms of TA, or indeed from combining them within a single research design. TA as a family of methods therefore is “theoretically flexible”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10.1002/capr.12360","author":[{"dropping-particle":"","family":"Braun","given":"Virginia","non-dropping-particle":"","parse-names":false,"suffix":""},{"dropping-particle":"","family":"Clarke","given":"Victoria","non-dropping-particle":"","parse-names":false,"suffix":""}],"container-title":"Counselling &amp; Psychotherapy Research.","id":"ITEM-1","issue":"August","issued":{"date-parts":[["2020"]]},"page":"1-11","title":"Can I use TA ? Should I use TA ? Should I not use TA ? Comparing reflexive thematic analysis and other pattern-based qualitative analytic approaches","type":"article-journal"},"uris":["http://www.mendeley.com/documents/?uuid=a2d4c3ac-00b4-4259-871f-bde30b9b6fc3"]}],"mendeley":{"formattedCitation":"(Virginia Braun &amp; Clarke, 2020a)","manualFormatting":"(Braun &amp; Clarke, 2020a, p.4)","plainTextFormattedCitation":"(Virginia Braun &amp; Clarke, 2020a)","previouslyFormattedCitation":"(Virginia Braun &amp; Clarke, 2020a)"},"properties":{"noteIndex":0},"schema":"https://github.com/citation-style-language/schema/raw/master/csl-citation.json"}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2020a, p.4)</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enough to be </w:t>
      </w:r>
      <w:r w:rsidRPr="005062D9">
        <w:rPr>
          <w:rFonts w:ascii="Calibri" w:eastAsia="Calibri" w:hAnsi="Calibri" w:cs="Times New Roman"/>
          <w:sz w:val="24"/>
          <w:szCs w:val="24"/>
        </w:rPr>
        <w:lastRenderedPageBreak/>
        <w:t xml:space="preserve">appropriate for this project and selecting more than one form of TA will allow movement between inductive and deductive reasoning during the study. </w:t>
      </w:r>
    </w:p>
    <w:p w14:paraId="7459DD4B" w14:textId="77777777" w:rsidR="00292202" w:rsidRPr="005062D9" w:rsidRDefault="00292202" w:rsidP="00292202">
      <w:pPr>
        <w:spacing w:after="240" w:line="480" w:lineRule="auto"/>
        <w:rPr>
          <w:rFonts w:ascii="Calibri" w:eastAsia="Calibri" w:hAnsi="Calibri" w:cs="Times New Roman"/>
          <w:sz w:val="24"/>
          <w:szCs w:val="24"/>
        </w:rPr>
      </w:pPr>
    </w:p>
    <w:p w14:paraId="368B79AD"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Reflexive TA was therefore chosen as an inductive process of analysis during stage one of the data analysis and Codebook TA was then used as a flexible but primarily deductive process during stage two of the analysis. It was appropriate to combine these two methods in this study due to it being situated within a pragmatic paradigm which allows space for the two methods, despite their different theoretical underpinnings. </w:t>
      </w:r>
    </w:p>
    <w:p w14:paraId="1FC7A19D" w14:textId="77777777" w:rsidR="00292202" w:rsidRPr="005062D9" w:rsidRDefault="00292202" w:rsidP="00292202">
      <w:pPr>
        <w:spacing w:after="240" w:line="480" w:lineRule="auto"/>
        <w:rPr>
          <w:rFonts w:ascii="Calibri" w:eastAsia="Calibri" w:hAnsi="Calibri" w:cs="Times New Roman"/>
          <w:sz w:val="24"/>
          <w:szCs w:val="24"/>
        </w:rPr>
      </w:pPr>
    </w:p>
    <w:p w14:paraId="488FCD9D" w14:textId="77777777" w:rsidR="00292202" w:rsidRPr="005062D9" w:rsidRDefault="00292202" w:rsidP="00292202">
      <w:pPr>
        <w:keepNext/>
        <w:keepLines/>
        <w:spacing w:before="40" w:after="0" w:line="480" w:lineRule="auto"/>
        <w:outlineLvl w:val="1"/>
        <w:rPr>
          <w:rFonts w:ascii="Calibri" w:eastAsia="Times New Roman" w:hAnsi="Calibri" w:cs="Times New Roman"/>
          <w:b/>
          <w:sz w:val="28"/>
          <w:szCs w:val="28"/>
        </w:rPr>
      </w:pPr>
      <w:bookmarkStart w:id="48" w:name="_Toc57131298"/>
      <w:bookmarkStart w:id="49" w:name="_Toc83645738"/>
      <w:r w:rsidRPr="005062D9">
        <w:rPr>
          <w:rFonts w:ascii="Calibri" w:eastAsia="Times New Roman" w:hAnsi="Calibri" w:cs="Times New Roman"/>
          <w:b/>
          <w:sz w:val="28"/>
          <w:szCs w:val="28"/>
        </w:rPr>
        <w:t>5.7.2 Output</w:t>
      </w:r>
      <w:bookmarkEnd w:id="48"/>
      <w:bookmarkEnd w:id="49"/>
    </w:p>
    <w:p w14:paraId="4FCFE81C"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chosen forms of TA were also appropriate for this study in terms of their output. As outlined above, the research design involved collecting data from a diverse range of participants and generated a large data set. The large amount of data collected required a data analysis strategy </w:t>
      </w:r>
      <w:r>
        <w:rPr>
          <w:rFonts w:ascii="Calibri" w:eastAsia="Calibri" w:hAnsi="Calibri" w:cs="Times New Roman"/>
          <w:sz w:val="24"/>
          <w:szCs w:val="24"/>
        </w:rPr>
        <w:t>that</w:t>
      </w:r>
      <w:r w:rsidRPr="005062D9">
        <w:rPr>
          <w:rFonts w:ascii="Calibri" w:eastAsia="Calibri" w:hAnsi="Calibri" w:cs="Times New Roman"/>
          <w:sz w:val="24"/>
          <w:szCs w:val="24"/>
        </w:rPr>
        <w:t xml:space="preserve"> ensured that no data was overlooked, and that the analysis was rigorous. It was therefore necessary that the form of analysis used in the job advert analysis produced an output that could be used as a framework for the following stage of the study. The output of a Reflexive TA is a set of themes, theme descriptions, codes, and examples from the data. The hierarchy of themes and codes produced fulfils this requirement and so this was an appropriate method for the first stage of the study in terms of output. </w:t>
      </w:r>
      <w:r w:rsidRPr="005062D9">
        <w:rPr>
          <w:rFonts w:ascii="Calibri" w:eastAsia="Calibri" w:hAnsi="Calibri" w:cs="Times New Roman"/>
          <w:sz w:val="24"/>
          <w:szCs w:val="24"/>
        </w:rPr>
        <w:br/>
      </w:r>
    </w:p>
    <w:p w14:paraId="76085F79"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second form of TA used, Codebook Thematic Analysis, also generates a set of themes, theme descriptions, codes, and examples from the data. This output is appropriate in </w:t>
      </w:r>
      <w:r w:rsidRPr="005062D9">
        <w:rPr>
          <w:rFonts w:ascii="Calibri" w:eastAsia="Calibri" w:hAnsi="Calibri" w:cs="Times New Roman"/>
          <w:sz w:val="24"/>
          <w:szCs w:val="24"/>
        </w:rPr>
        <w:lastRenderedPageBreak/>
        <w:t xml:space="preserve">responding to the stated research questions which require a synthesised description of participants’ responses which can be used to show what singers expect of a choral leader, what voice-focused expectations they have, and what areas of experience, both voice-focused and non-voice-focused, the choral leader is expected to be responsible for. It was expected that gathering responses from a large and diverse range of singers would not generate a definitive description of the singers’ expectations, rather that the themes and codes would describe a rich account of the varied ways that singers’ interactions with choral leaders have influenced their conception of the leadership role. This is particularly appropriate as an output from a pragmatic study in which the researcher acknowledges that definitive truth or knowledge is not a realistic goal, rather that the aim of the study is to generate socially agreed upon warranted assertions to be used in future inquiry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{"citationItems":[{"id":"ITEM-1","itemData":{"author":[{"dropping-particle":"","family":"Biesta","given":"Gert","non-dropping-particle":"","parse-names":false,"suffix":""},{"dropping-particle":"","family":"Burbules","given":"Nicholas C.","non-dropping-particle":"","parse-names":false,"suffix":""}],"id":"ITEM-1","issued":{"date-parts":[["2003"]]},"publisher":"Rowman &amp; Littlefield Publishers Inc.","publisher-place":"Lanham, MD","title":"Pragmatism and Educational Research","type":"book"},"uris":["http://www.mendeley.com/documents/?uuid=51f0dd7b-b681-4092-b774-b747143d3f6b"]}],"mendeley":{"formattedCitation":"(Biesta &amp; Burbules, 2003)","plainTextFormattedCitation":"(Biesta &amp; Burbules, 2003)","previouslyFormattedCitation":"(Biesta &amp; Burbules, 2003)"},"properties":{"noteIndex":0},"schema":"https://github.com/citation-style-language/schema/raw/master/csl-citation.json"}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(Biesta &amp; Burbules, 2003)</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It was therefore concluded that results of a Codebook TA comprising a hierarchy of themes, codes and examples of data would respond well to the research questions and was appropriate for use in this study. </w:t>
      </w:r>
    </w:p>
    <w:p w14:paraId="3A4394FA" w14:textId="77777777" w:rsidR="00292202" w:rsidRPr="005062D9" w:rsidRDefault="00292202" w:rsidP="00292202">
      <w:pPr>
        <w:spacing w:after="240" w:line="480" w:lineRule="auto"/>
        <w:rPr>
          <w:rFonts w:ascii="Calibri" w:eastAsia="Calibri" w:hAnsi="Calibri" w:cs="Times New Roman"/>
          <w:sz w:val="24"/>
          <w:szCs w:val="24"/>
        </w:rPr>
      </w:pPr>
    </w:p>
    <w:p w14:paraId="4DB70393" w14:textId="77777777" w:rsidR="00292202" w:rsidRPr="005062D9" w:rsidRDefault="00292202" w:rsidP="00292202">
      <w:pPr>
        <w:keepNext/>
        <w:keepLines/>
        <w:spacing w:before="40" w:after="0" w:line="480" w:lineRule="auto"/>
        <w:outlineLvl w:val="1"/>
        <w:rPr>
          <w:rFonts w:ascii="Calibri" w:eastAsia="Times New Roman" w:hAnsi="Calibri" w:cs="Times New Roman"/>
          <w:b/>
          <w:sz w:val="28"/>
          <w:szCs w:val="28"/>
        </w:rPr>
      </w:pPr>
      <w:bookmarkStart w:id="50" w:name="_Toc57131299"/>
      <w:bookmarkStart w:id="51" w:name="_Toc83645739"/>
      <w:r w:rsidRPr="005062D9">
        <w:rPr>
          <w:rFonts w:ascii="Calibri" w:eastAsia="Times New Roman" w:hAnsi="Calibri" w:cs="Times New Roman"/>
          <w:b/>
          <w:sz w:val="28"/>
          <w:szCs w:val="28"/>
        </w:rPr>
        <w:t>5.7.3 Alternatives to Thematic Analysis</w:t>
      </w:r>
      <w:bookmarkEnd w:id="50"/>
      <w:bookmarkEnd w:id="51"/>
    </w:p>
    <w:p w14:paraId="0111068F"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It is feasible that other research designs and methodological choices would provide equally useful and interesting results. In rejecting any pre-determined bundle of theory and methods, and instead choosing a pragmatic mixing of TA methods in a 2-step process, an effort was made to select methods which responded appropriately to the stated research questions. This particular design does not represent a definitive way of answering these questions. As Braun and Clarke point out, </w:t>
      </w:r>
    </w:p>
    <w:p w14:paraId="05353B7F" w14:textId="77777777" w:rsidR="00292202" w:rsidRPr="005062D9" w:rsidRDefault="00292202" w:rsidP="00292202">
      <w:pPr>
        <w:spacing w:after="240" w:line="480" w:lineRule="auto"/>
        <w:ind w:left="720"/>
        <w:rPr>
          <w:rFonts w:ascii="Calibri" w:eastAsia="Calibri" w:hAnsi="Calibri" w:cs="Times New Roman"/>
          <w:sz w:val="24"/>
          <w:szCs w:val="24"/>
        </w:rPr>
      </w:pPr>
      <w:r w:rsidRPr="005062D9">
        <w:rPr>
          <w:rFonts w:ascii="Calibri" w:eastAsia="Calibri" w:hAnsi="Calibri" w:cs="Times New Roman"/>
          <w:sz w:val="24"/>
          <w:szCs w:val="24"/>
        </w:rPr>
        <w:lastRenderedPageBreak/>
        <w:t xml:space="preserve">“there is rarely one ideal method—or methodology—for a research project. There is no requirement to use an off-the-shelf methodology just because it is the most well-known approach associated with a particular type of qualitative research”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10.1002/capr.12360","author":[{"dropping-particle":"","family":"Braun","given":"Virginia","non-dropping-particle":"","parse-names":false,"suffix":""},{"dropping-particle":"","family":"Clarke","given":"Victoria","non-dropping-particle":"","parse-names":false,"suffix":""}],"container-title":"Counselling &amp; Psychotherapy Research.","id":"ITEM-1","issue":"August","issued":{"date-parts":[["2020"]]},"page":"1-11","title":"Can I use TA ? Should I use TA ? Should I not use TA ? Comparing reflexive thematic analysis and other pattern-based qualitative analytic approaches","type":"article-journal"},"uris":["http://www.mendeley.com/documents/?uuid=a2d4c3ac-00b4-4259-871f-bde30b9b6fc3"]}],"mendeley":{"formattedCitation":"(Virginia Braun &amp; Clarke, 2020a)","manualFormatting":"(Braun &amp; Clarke, 2020, p.2)","plainTextFormattedCitation":"(Virginia Braun &amp; Clarke, 2020a)","previouslyFormattedCitation":"(Virginia Braun &amp; Clarke, 2020a)"},"properties":{"noteIndex":0},"schema":"https://github.com/citation-style-language/schema/raw/master/csl-citation.json"}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(Braun &amp; Clarke, 2020, p.2)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w:t>
      </w:r>
    </w:p>
    <w:p w14:paraId="66383CAB" w14:textId="77777777" w:rsidR="00292202" w:rsidRPr="005062D9" w:rsidRDefault="00292202" w:rsidP="00292202">
      <w:pPr>
        <w:spacing w:after="240" w:line="480" w:lineRule="auto"/>
        <w:rPr>
          <w:rFonts w:ascii="Calibri" w:eastAsia="Calibri" w:hAnsi="Calibri" w:cs="Times New Roman"/>
          <w:sz w:val="24"/>
          <w:szCs w:val="24"/>
        </w:rPr>
      </w:pPr>
      <w:r w:rsidRPr="005062D9">
        <w:rPr>
          <w:rFonts w:ascii="Calibri" w:eastAsia="Calibri" w:hAnsi="Calibri" w:cs="Times New Roman"/>
          <w:sz w:val="24"/>
          <w:szCs w:val="24"/>
        </w:rPr>
        <w:t xml:space="preserve">The pragmatic approach to research is sometimes summed up using the phrase “what works” </w:t>
      </w:r>
      <w:r w:rsidRPr="005062D9">
        <w:rPr>
          <w:rFonts w:ascii="Calibri" w:eastAsia="Calibri" w:hAnsi="Calibri" w:cs="Times New Roman"/>
          <w:sz w:val="24"/>
          <w:szCs w:val="24"/>
        </w:rPr>
        <w:fldChar w:fldCharType="begin" w:fldLock="1"/>
      </w:r>
      <w:r w:rsidRPr="005062D9">
        <w:rPr>
          <w:rFonts w:ascii="Calibri" w:eastAsia="Calibri" w:hAnsi="Calibri" w:cs="Times New Roman"/>
          <w:sz w:val="24"/>
          <w:szCs w:val="24"/>
        </w:rPr>
        <w:instrText>ADDIN CSL_CITATION {"citationItems":[{"id":"ITEM-1","itemData":{"DOI":"10.5860/rusq.49n1.101","ISBN":"9781412941631","ISSN":"1094-9054","author":[{"dropping-particle":"","family":"McCaslin","given":"Mark","non-dropping-particle":"","parse-names":false,"suffix":""}],"container-title":"The Sage Encyclopedia of Qualitative Research Methods","editor":[{"dropping-particle":"","family":"Given","given":"Lisa","non-dropping-particle":"","parse-names":false,"suffix":""}],"id":"ITEM-1","issued":{"date-parts":[["2008"]]},"page":"1-6","publisher":"Sage Publications Inc","publisher-place":"Thousand Oaks","title":"Pragmatism","type":"chapter"},"uris":["http://www.mendeley.com/documents/?uuid=6076fb92-d977-4f49-8730-12667670cfe3"]}],"mendeley":{"formattedCitation":"(McCaslin, 2008)","manualFormatting":"(McCaslin, 2008, p.2)","plainTextFormattedCitation":"(McCaslin, 2008)","previouslyFormattedCitation":"(McCaslin, 2008)"},"properties":{"noteIndex":0},"schema":"https://github.com/citation-style-language/schema/raw/master/csl-citation.json"}</w:instrText>
      </w:r>
      <w:r w:rsidRPr="005062D9">
        <w:rPr>
          <w:rFonts w:ascii="Calibri" w:eastAsia="Calibri" w:hAnsi="Calibri" w:cs="Times New Roman"/>
          <w:sz w:val="24"/>
          <w:szCs w:val="24"/>
        </w:rPr>
        <w:fldChar w:fldCharType="separate"/>
      </w:r>
      <w:r w:rsidRPr="005062D9">
        <w:rPr>
          <w:rFonts w:ascii="Calibri" w:eastAsia="Calibri" w:hAnsi="Calibri" w:cs="Times New Roman"/>
          <w:noProof/>
          <w:sz w:val="24"/>
          <w:szCs w:val="24"/>
        </w:rPr>
        <w:t>(McCaslin, 2008, p.2)</w:t>
      </w:r>
      <w:r w:rsidRPr="005062D9">
        <w:rPr>
          <w:rFonts w:ascii="Calibri" w:eastAsia="Calibri" w:hAnsi="Calibri" w:cs="Times New Roman"/>
          <w:sz w:val="24"/>
          <w:szCs w:val="24"/>
        </w:rPr>
        <w:fldChar w:fldCharType="end"/>
      </w:r>
      <w:r w:rsidRPr="005062D9">
        <w:rPr>
          <w:rFonts w:ascii="Calibri" w:eastAsia="Calibri" w:hAnsi="Calibri" w:cs="Times New Roman"/>
          <w:sz w:val="24"/>
          <w:szCs w:val="24"/>
        </w:rPr>
        <w:t xml:space="preserve">. This is of course overly simplistic, but it is perhaps useful as a concluding sentiment here. Whilst there is no way of determining the ideal methodological choice for a research project, ‘what works’ is perhaps a satisfactory measure in determining whether or not a researcher has made the ‘right’ choice. The analytical choices outlined above were deemed logically sound and, combined with the data gathering tools described earlier, were considered to amount to ‘what works’. </w:t>
      </w:r>
    </w:p>
    <w:p w14:paraId="167C670A" w14:textId="77777777" w:rsidR="00292202" w:rsidRPr="005062D9" w:rsidRDefault="00292202" w:rsidP="00292202">
      <w:pPr>
        <w:spacing w:line="480" w:lineRule="auto"/>
        <w:contextualSpacing/>
        <w:rPr>
          <w:rFonts w:ascii="Calibri" w:eastAsia="Calibri" w:hAnsi="Calibri" w:cs="Times New Roman"/>
          <w:sz w:val="24"/>
          <w:szCs w:val="24"/>
        </w:rPr>
      </w:pPr>
    </w:p>
    <w:p w14:paraId="3D89A8F9" w14:textId="77777777" w:rsidR="00292202" w:rsidRPr="005062D9" w:rsidRDefault="00292202" w:rsidP="00292202">
      <w:pPr>
        <w:keepNext/>
        <w:keepLines/>
        <w:spacing w:before="240" w:after="240" w:line="480" w:lineRule="auto"/>
        <w:outlineLvl w:val="0"/>
        <w:rPr>
          <w:rFonts w:ascii="Calibri" w:eastAsia="Times New Roman" w:hAnsi="Calibri" w:cs="Times New Roman"/>
          <w:b/>
          <w:sz w:val="36"/>
          <w:szCs w:val="36"/>
        </w:rPr>
      </w:pPr>
      <w:bookmarkStart w:id="52" w:name="_Toc57131303"/>
      <w:bookmarkStart w:id="53" w:name="_Toc83645740"/>
      <w:r w:rsidRPr="005062D9">
        <w:rPr>
          <w:rFonts w:ascii="Calibri" w:eastAsia="Times New Roman" w:hAnsi="Calibri" w:cs="Times New Roman"/>
          <w:b/>
          <w:sz w:val="36"/>
          <w:szCs w:val="36"/>
        </w:rPr>
        <w:t>5.8 Concluding notes</w:t>
      </w:r>
      <w:bookmarkEnd w:id="52"/>
      <w:bookmarkEnd w:id="53"/>
    </w:p>
    <w:p w14:paraId="65243717" w14:textId="77777777" w:rsidR="0077224E" w:rsidRDefault="00292202" w:rsidP="00292202">
      <w:r w:rsidRPr="005062D9">
        <w:rPr>
          <w:rFonts w:ascii="Calibri" w:eastAsia="Calibri" w:hAnsi="Calibri" w:cs="Times New Roman"/>
          <w:sz w:val="24"/>
          <w:szCs w:val="24"/>
        </w:rPr>
        <w:t xml:space="preserve">This chapter has outlined the process of constructing this project’s research design, using a pragmatic approach to respond to the research questions in selecting appropriate methods of data gathering and analysis and ensuring coherence between these and the stated worldview. As prior theory relating to choral leadership has focused primarily on the leader’s point of view, the methodology for this study was designed to explore choral singers’ perspectives on choral leadership and aimed to ensure diversity of participation. Data was collected from online job adverts and via an online survey of choral singers. A 2-phase analytical process using Reflexive and Codebook forms of Thematic Analysis was designed to analyse this data. The following chapter outlines the analytical procedure followed and presents the results of each of the phases of analysis described above.  </w:t>
      </w:r>
    </w:p>
    <w:sectPr w:rsidR="00772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27D"/>
    <w:multiLevelType w:val="hybridMultilevel"/>
    <w:tmpl w:val="9C7A9DD2"/>
    <w:lvl w:ilvl="0" w:tplc="82C2C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5570C"/>
    <w:multiLevelType w:val="hybridMultilevel"/>
    <w:tmpl w:val="22A8DE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2B144B54"/>
    <w:multiLevelType w:val="hybridMultilevel"/>
    <w:tmpl w:val="95CC3452"/>
    <w:lvl w:ilvl="0" w:tplc="0F244C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D659C"/>
    <w:multiLevelType w:val="hybridMultilevel"/>
    <w:tmpl w:val="43DA94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138397E"/>
    <w:multiLevelType w:val="hybridMultilevel"/>
    <w:tmpl w:val="B9823C0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B7F6FE4"/>
    <w:multiLevelType w:val="hybridMultilevel"/>
    <w:tmpl w:val="CB2CE5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BF835FC"/>
    <w:multiLevelType w:val="hybridMultilevel"/>
    <w:tmpl w:val="CD98B8C8"/>
    <w:lvl w:ilvl="0" w:tplc="B6C4FB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02"/>
    <w:rsid w:val="00292202"/>
    <w:rsid w:val="0077224E"/>
    <w:rsid w:val="007A0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7B5B"/>
  <w15:chartTrackingRefBased/>
  <w15:docId w15:val="{FD56C801-1169-42BF-A34B-30695E4C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02"/>
  </w:style>
  <w:style w:type="paragraph" w:styleId="Heading1">
    <w:name w:val="heading 1"/>
    <w:basedOn w:val="Normal"/>
    <w:next w:val="Normal"/>
    <w:link w:val="Heading1Char"/>
    <w:uiPriority w:val="9"/>
    <w:qFormat/>
    <w:rsid w:val="00292202"/>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02"/>
    <w:rPr>
      <w:rFonts w:eastAsiaTheme="majorEastAsia" w:cstheme="majorBidi"/>
      <w:b/>
      <w:sz w:val="32"/>
      <w:szCs w:val="32"/>
    </w:rPr>
  </w:style>
  <w:style w:type="table" w:customStyle="1" w:styleId="TableGrid2">
    <w:name w:val="Table Grid2"/>
    <w:basedOn w:val="TableNormal"/>
    <w:next w:val="TableGrid"/>
    <w:uiPriority w:val="39"/>
    <w:rsid w:val="0029220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2202"/>
    <w:pPr>
      <w:spacing w:after="200" w:line="240" w:lineRule="auto"/>
      <w:jc w:val="center"/>
    </w:pPr>
    <w:rPr>
      <w:b/>
      <w:iCs/>
      <w:szCs w:val="18"/>
    </w:rPr>
  </w:style>
  <w:style w:type="table" w:styleId="TableGrid">
    <w:name w:val="Table Grid"/>
    <w:basedOn w:val="TableNormal"/>
    <w:uiPriority w:val="39"/>
    <w:rsid w:val="00292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Owner\Dropbox\PhD\DRAFTS\Stuff%20I'm%20using%20right%20now\Demographic%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Sheet1!$D$2</c:f>
              <c:strCache>
                <c:ptCount val="1"/>
                <c:pt idx="0">
                  <c:v>Voices Now</c:v>
                </c:pt>
              </c:strCache>
            </c:strRef>
          </c:tx>
          <c:spPr>
            <a:solidFill>
              <a:schemeClr val="accent1"/>
            </a:solidFill>
            <a:ln>
              <a:noFill/>
            </a:ln>
            <a:effectLst/>
          </c:spPr>
          <c:invertIfNegative val="0"/>
          <c:dLbls>
            <c:dLbl>
              <c:idx val="0"/>
              <c:tx>
                <c:rich>
                  <a:bodyPr/>
                  <a:lstStyle/>
                  <a:p>
                    <a:fld id="{B4FCF976-ED5E-4EDF-A35C-EB370FEEAF9C}"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2181-4B70-A6DE-095004354FA1}"/>
                </c:ext>
              </c:extLst>
            </c:dLbl>
            <c:dLbl>
              <c:idx val="1"/>
              <c:tx>
                <c:rich>
                  <a:bodyPr/>
                  <a:lstStyle/>
                  <a:p>
                    <a:fld id="{6F43F1EC-BF29-48D2-8BD5-B6B432203660}"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181-4B70-A6DE-095004354FA1}"/>
                </c:ext>
              </c:extLst>
            </c:dLbl>
            <c:dLbl>
              <c:idx val="2"/>
              <c:tx>
                <c:rich>
                  <a:bodyPr/>
                  <a:lstStyle/>
                  <a:p>
                    <a:fld id="{B62A3D4F-A40B-48CB-A93B-3B4D1AE406C6}"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2181-4B70-A6DE-095004354FA1}"/>
                </c:ext>
              </c:extLst>
            </c:dLbl>
            <c:dLbl>
              <c:idx val="3"/>
              <c:tx>
                <c:rich>
                  <a:bodyPr/>
                  <a:lstStyle/>
                  <a:p>
                    <a:fld id="{88A86CE3-D7DD-48DC-972D-C45B3A097457}"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181-4B70-A6DE-095004354FA1}"/>
                </c:ext>
              </c:extLst>
            </c:dLbl>
            <c:dLbl>
              <c:idx val="4"/>
              <c:tx>
                <c:rich>
                  <a:bodyPr/>
                  <a:lstStyle/>
                  <a:p>
                    <a:fld id="{4B87F357-B6AE-4714-9E48-C15B010E34BE}"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2181-4B70-A6DE-095004354FA1}"/>
                </c:ext>
              </c:extLst>
            </c:dLbl>
            <c:dLbl>
              <c:idx val="5"/>
              <c:tx>
                <c:rich>
                  <a:bodyPr/>
                  <a:lstStyle/>
                  <a:p>
                    <a:fld id="{E5BD809B-5812-4A42-BF87-299314F52414}"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181-4B70-A6DE-095004354FA1}"/>
                </c:ext>
              </c:extLst>
            </c:dLbl>
            <c:dLbl>
              <c:idx val="6"/>
              <c:tx>
                <c:rich>
                  <a:bodyPr/>
                  <a:lstStyle/>
                  <a:p>
                    <a:fld id="{D1CDC913-50D0-44C6-88D7-84D969D6F16A}"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2181-4B70-A6DE-095004354FA1}"/>
                </c:ext>
              </c:extLst>
            </c:dLbl>
            <c:dLbl>
              <c:idx val="7"/>
              <c:tx>
                <c:rich>
                  <a:bodyPr/>
                  <a:lstStyle/>
                  <a:p>
                    <a:fld id="{92C48047-C071-4EAA-B667-9DD9F0229444}"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2181-4B70-A6DE-095004354FA1}"/>
                </c:ext>
              </c:extLst>
            </c:dLbl>
            <c:dLbl>
              <c:idx val="8"/>
              <c:tx>
                <c:rich>
                  <a:bodyPr/>
                  <a:lstStyle/>
                  <a:p>
                    <a:fld id="{C881088E-7230-4C5C-AB9C-A05AAC6FAFE7}"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2181-4B70-A6DE-095004354FA1}"/>
                </c:ext>
              </c:extLst>
            </c:dLbl>
            <c:dLbl>
              <c:idx val="9"/>
              <c:tx>
                <c:rich>
                  <a:bodyPr/>
                  <a:lstStyle/>
                  <a:p>
                    <a:fld id="{0CFA1B27-74EF-4A85-9D92-7AADF0EEE6AC}"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2181-4B70-A6DE-095004354FA1}"/>
                </c:ext>
              </c:extLst>
            </c:dLbl>
            <c:dLbl>
              <c:idx val="10"/>
              <c:tx>
                <c:rich>
                  <a:bodyPr/>
                  <a:lstStyle/>
                  <a:p>
                    <a:fld id="{A7006669-4270-4BA1-862C-B308D0F6DFC0}"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2181-4B70-A6DE-095004354FA1}"/>
                </c:ext>
              </c:extLst>
            </c:dLbl>
            <c:dLbl>
              <c:idx val="11"/>
              <c:tx>
                <c:rich>
                  <a:bodyPr/>
                  <a:lstStyle/>
                  <a:p>
                    <a:fld id="{7F4D28FA-4E0A-4DE4-8002-54372A483008}"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2181-4B70-A6DE-095004354FA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Sheet1!$C$3:$C$14</c:f>
              <c:strCache>
                <c:ptCount val="12"/>
                <c:pt idx="0">
                  <c:v>Youth Choir</c:v>
                </c:pt>
                <c:pt idx="1">
                  <c:v>Male Voice Choir</c:v>
                </c:pt>
                <c:pt idx="2">
                  <c:v>Gospel Choir</c:v>
                </c:pt>
                <c:pt idx="3">
                  <c:v>Barbershop</c:v>
                </c:pt>
                <c:pt idx="4">
                  <c:v>Opera/Musical Theatre</c:v>
                </c:pt>
                <c:pt idx="5">
                  <c:v>Female Voice Choir</c:v>
                </c:pt>
                <c:pt idx="6">
                  <c:v>Chamber Choir</c:v>
                </c:pt>
                <c:pt idx="7">
                  <c:v>Church Choir/Other Religious Choir</c:v>
                </c:pt>
                <c:pt idx="8">
                  <c:v>Rock or Pop Choir</c:v>
                </c:pt>
                <c:pt idx="9">
                  <c:v>Other </c:v>
                </c:pt>
                <c:pt idx="10">
                  <c:v>Choral society</c:v>
                </c:pt>
                <c:pt idx="11">
                  <c:v>Community Choir</c:v>
                </c:pt>
              </c:strCache>
            </c:strRef>
          </c:cat>
          <c:val>
            <c:numRef>
              <c:f>Sheet1!$D$3:$D$14</c:f>
              <c:numCache>
                <c:formatCode>General</c:formatCode>
                <c:ptCount val="12"/>
                <c:pt idx="0">
                  <c:v>4</c:v>
                </c:pt>
                <c:pt idx="1">
                  <c:v>5</c:v>
                </c:pt>
                <c:pt idx="2">
                  <c:v>2</c:v>
                </c:pt>
                <c:pt idx="3">
                  <c:v>6</c:v>
                </c:pt>
                <c:pt idx="4">
                  <c:v>2</c:v>
                </c:pt>
                <c:pt idx="5">
                  <c:v>10</c:v>
                </c:pt>
                <c:pt idx="6">
                  <c:v>15</c:v>
                </c:pt>
                <c:pt idx="7">
                  <c:v>11</c:v>
                </c:pt>
                <c:pt idx="8">
                  <c:v>5</c:v>
                </c:pt>
                <c:pt idx="9">
                  <c:v>17</c:v>
                </c:pt>
                <c:pt idx="10">
                  <c:v>18</c:v>
                </c:pt>
                <c:pt idx="11">
                  <c:v>36</c:v>
                </c:pt>
              </c:numCache>
            </c:numRef>
          </c:val>
          <c:extLst>
            <c:ext xmlns:c16="http://schemas.microsoft.com/office/drawing/2014/chart" uri="{C3380CC4-5D6E-409C-BE32-E72D297353CC}">
              <c16:uniqueId val="{0000000C-2181-4B70-A6DE-095004354FA1}"/>
            </c:ext>
          </c:extLst>
        </c:ser>
        <c:ser>
          <c:idx val="1"/>
          <c:order val="1"/>
          <c:tx>
            <c:strRef>
              <c:f>Sheet1!$E$2</c:f>
              <c:strCache>
                <c:ptCount val="1"/>
                <c:pt idx="0">
                  <c:v>Singer Survey</c:v>
                </c:pt>
              </c:strCache>
            </c:strRef>
          </c:tx>
          <c:spPr>
            <a:solidFill>
              <a:schemeClr val="accent2"/>
            </a:solidFill>
            <a:ln>
              <a:noFill/>
            </a:ln>
            <a:effectLst/>
          </c:spPr>
          <c:invertIfNegative val="0"/>
          <c:dLbls>
            <c:dLbl>
              <c:idx val="0"/>
              <c:tx>
                <c:rich>
                  <a:bodyPr/>
                  <a:lstStyle/>
                  <a:p>
                    <a:r>
                      <a:rPr lang="en-US"/>
                      <a:t>&lt;1%</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2181-4B70-A6DE-095004354FA1}"/>
                </c:ext>
              </c:extLst>
            </c:dLbl>
            <c:dLbl>
              <c:idx val="1"/>
              <c:tx>
                <c:rich>
                  <a:bodyPr/>
                  <a:lstStyle/>
                  <a:p>
                    <a:r>
                      <a:rPr lang="en-US"/>
                      <a:t>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2181-4B70-A6DE-095004354FA1}"/>
                </c:ext>
              </c:extLst>
            </c:dLbl>
            <c:dLbl>
              <c:idx val="2"/>
              <c:tx>
                <c:rich>
                  <a:bodyPr/>
                  <a:lstStyle/>
                  <a:p>
                    <a:r>
                      <a:rPr lang="en-US"/>
                      <a:t>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F-2181-4B70-A6DE-095004354FA1}"/>
                </c:ext>
              </c:extLst>
            </c:dLbl>
            <c:dLbl>
              <c:idx val="3"/>
              <c:tx>
                <c:rich>
                  <a:bodyPr/>
                  <a:lstStyle/>
                  <a:p>
                    <a:r>
                      <a:rPr lang="en-US"/>
                      <a:t>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0-2181-4B70-A6DE-095004354FA1}"/>
                </c:ext>
              </c:extLst>
            </c:dLbl>
            <c:dLbl>
              <c:idx val="4"/>
              <c:tx>
                <c:rich>
                  <a:bodyPr/>
                  <a:lstStyle/>
                  <a:p>
                    <a:r>
                      <a:rPr lang="en-US"/>
                      <a:t>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1-2181-4B70-A6DE-095004354FA1}"/>
                </c:ext>
              </c:extLst>
            </c:dLbl>
            <c:dLbl>
              <c:idx val="5"/>
              <c:tx>
                <c:rich>
                  <a:bodyPr/>
                  <a:lstStyle/>
                  <a:p>
                    <a:r>
                      <a:rPr lang="en-US"/>
                      <a:t>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2-2181-4B70-A6DE-095004354FA1}"/>
                </c:ext>
              </c:extLst>
            </c:dLbl>
            <c:dLbl>
              <c:idx val="6"/>
              <c:tx>
                <c:rich>
                  <a:bodyPr/>
                  <a:lstStyle/>
                  <a:p>
                    <a:r>
                      <a:rPr lang="en-US"/>
                      <a:t>12%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3-2181-4B70-A6DE-095004354FA1}"/>
                </c:ext>
              </c:extLst>
            </c:dLbl>
            <c:dLbl>
              <c:idx val="7"/>
              <c:tx>
                <c:rich>
                  <a:bodyPr/>
                  <a:lstStyle/>
                  <a:p>
                    <a:fld id="{CE19B96E-5083-49EC-8640-DA199225CD2B}"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4-2181-4B70-A6DE-095004354FA1}"/>
                </c:ext>
              </c:extLst>
            </c:dLbl>
            <c:dLbl>
              <c:idx val="8"/>
              <c:tx>
                <c:rich>
                  <a:bodyPr/>
                  <a:lstStyle/>
                  <a:p>
                    <a:r>
                      <a:rPr lang="en-US"/>
                      <a:t>14%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5-2181-4B70-A6DE-095004354FA1}"/>
                </c:ext>
              </c:extLst>
            </c:dLbl>
            <c:dLbl>
              <c:idx val="9"/>
              <c:tx>
                <c:rich>
                  <a:bodyPr/>
                  <a:lstStyle/>
                  <a:p>
                    <a:r>
                      <a:rPr lang="en-US"/>
                      <a:t>14%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6-2181-4B70-A6DE-095004354FA1}"/>
                </c:ext>
              </c:extLst>
            </c:dLbl>
            <c:dLbl>
              <c:idx val="10"/>
              <c:tx>
                <c:rich>
                  <a:bodyPr/>
                  <a:lstStyle/>
                  <a:p>
                    <a:r>
                      <a:rPr lang="en-US"/>
                      <a:t>21%</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7-2181-4B70-A6DE-095004354FA1}"/>
                </c:ext>
              </c:extLst>
            </c:dLbl>
            <c:dLbl>
              <c:idx val="11"/>
              <c:tx>
                <c:rich>
                  <a:bodyPr/>
                  <a:lstStyle/>
                  <a:p>
                    <a:r>
                      <a:rPr lang="en-US"/>
                      <a:t>33%</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8-2181-4B70-A6DE-095004354FA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Sheet1!$C$3:$C$14</c:f>
              <c:strCache>
                <c:ptCount val="12"/>
                <c:pt idx="0">
                  <c:v>Youth Choir</c:v>
                </c:pt>
                <c:pt idx="1">
                  <c:v>Male Voice Choir</c:v>
                </c:pt>
                <c:pt idx="2">
                  <c:v>Gospel Choir</c:v>
                </c:pt>
                <c:pt idx="3">
                  <c:v>Barbershop</c:v>
                </c:pt>
                <c:pt idx="4">
                  <c:v>Opera/Musical Theatre</c:v>
                </c:pt>
                <c:pt idx="5">
                  <c:v>Female Voice Choir</c:v>
                </c:pt>
                <c:pt idx="6">
                  <c:v>Chamber Choir</c:v>
                </c:pt>
                <c:pt idx="7">
                  <c:v>Church Choir/Other Religious Choir</c:v>
                </c:pt>
                <c:pt idx="8">
                  <c:v>Rock or Pop Choir</c:v>
                </c:pt>
                <c:pt idx="9">
                  <c:v>Other </c:v>
                </c:pt>
                <c:pt idx="10">
                  <c:v>Choral society</c:v>
                </c:pt>
                <c:pt idx="11">
                  <c:v>Community Choir</c:v>
                </c:pt>
              </c:strCache>
            </c:strRef>
          </c:cat>
          <c:val>
            <c:numRef>
              <c:f>Sheet1!$E$3:$E$14</c:f>
              <c:numCache>
                <c:formatCode>0</c:formatCode>
                <c:ptCount val="12"/>
                <c:pt idx="0">
                  <c:v>0.29761904761904762</c:v>
                </c:pt>
                <c:pt idx="1">
                  <c:v>1.3392857142857142</c:v>
                </c:pt>
                <c:pt idx="2">
                  <c:v>1.3392857142857142</c:v>
                </c:pt>
                <c:pt idx="3">
                  <c:v>1.4136904761904763</c:v>
                </c:pt>
                <c:pt idx="4">
                  <c:v>3</c:v>
                </c:pt>
                <c:pt idx="5">
                  <c:v>5.9523809523809517</c:v>
                </c:pt>
                <c:pt idx="6">
                  <c:v>9.8958333333333321</c:v>
                </c:pt>
                <c:pt idx="7">
                  <c:v>10.863095238095239</c:v>
                </c:pt>
                <c:pt idx="8">
                  <c:v>11.160714285714286</c:v>
                </c:pt>
                <c:pt idx="9">
                  <c:v>11.532738095238097</c:v>
                </c:pt>
                <c:pt idx="10">
                  <c:v>16.517857142857142</c:v>
                </c:pt>
                <c:pt idx="11">
                  <c:v>26.636904761904763</c:v>
                </c:pt>
              </c:numCache>
            </c:numRef>
          </c:val>
          <c:extLst>
            <c:ext xmlns:c16="http://schemas.microsoft.com/office/drawing/2014/chart" uri="{C3380CC4-5D6E-409C-BE32-E72D297353CC}">
              <c16:uniqueId val="{00000019-2181-4B70-A6DE-095004354FA1}"/>
            </c:ext>
          </c:extLst>
        </c:ser>
        <c:dLbls>
          <c:dLblPos val="outEnd"/>
          <c:showLegendKey val="0"/>
          <c:showVal val="1"/>
          <c:showCatName val="0"/>
          <c:showSerName val="0"/>
          <c:showPercent val="0"/>
          <c:showBubbleSize val="0"/>
        </c:dLbls>
        <c:gapWidth val="150"/>
        <c:axId val="1221904031"/>
        <c:axId val="1216853871"/>
      </c:barChart>
      <c:catAx>
        <c:axId val="1221904031"/>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853871"/>
        <c:crosses val="autoZero"/>
        <c:auto val="1"/>
        <c:lblAlgn val="ctr"/>
        <c:lblOffset val="100"/>
        <c:noMultiLvlLbl val="0"/>
      </c:catAx>
      <c:valAx>
        <c:axId val="1216853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9040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41</Pages>
  <Words>25561</Words>
  <Characters>145700</Characters>
  <Application>Microsoft Office Word</Application>
  <DocSecurity>0</DocSecurity>
  <Lines>1214</Lines>
  <Paragraphs>341</Paragraphs>
  <ScaleCrop>false</ScaleCrop>
  <Company/>
  <LinksUpToDate>false</LinksUpToDate>
  <CharactersWithSpaces>170920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Nordmann</dc:creator>
  <cp:keywords/>
  <dc:description/>
  <cp:lastModifiedBy>Emily Nordmann</cp:lastModifiedBy>
  <cp:revision>3</cp:revision>
  <cp:lastPrinted>2021-11-18T23:18:00Z</cp:lastPrinted>
  <dcterms:created xsi:type="dcterms:W3CDTF">2021-11-02T22:20:00Z</dcterms:created>
  <dcterms:modified xsi:type="dcterms:W3CDTF">2021-11-18T23:18:00Z</dcterms:modified>
</cp:coreProperties>
</file>