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three conclusions we can make about Kickstarter campaigns given the provided data?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most common project on Kickstarter is categorized as a play, approximately ⅔ of which have been successful.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Projects with the greatest odds of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Success are (in no particular order):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Technology: hardware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Publishing: podcasts, nonfiction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Music: rock, pop, metal, electronic/classical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Games: Tabletop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Food: Small batch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Film &amp; video: Television, shorts, documentary.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Failure are (in no particular order):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Technology: web, gadgets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Publishing: Translations, fiction, children’s books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Photography: Places, people, nature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Music: faith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Games: Video games, mobile games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Food: restaurants, food trucks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Films &amp; video: Drama, animation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month that more projects created tend to fail rather than succeed is December.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linear relationship between the goal amount and likelihood of project cancelation.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limitations of this dataset?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4000 out of 425,118 (as of 11/14/18) total projects is less than one percent -- a very small subset of total projects. As a result it appears that video games, for instance, are guaranteed failure when in fact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Shenmue III</w:t>
        </w:r>
      </w:hyperlink>
      <w:r w:rsidDel="00000000" w:rsidR="00000000" w:rsidRPr="00000000">
        <w:rPr>
          <w:rtl w:val="0"/>
        </w:rPr>
        <w:t xml:space="preserve"> is one of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most funded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projects span more than one category and/or subcategory, or might not match any existing category well.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is restricted to Kickstarter, which has limited relevance without context of other fundraising websites and methods.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a currency converter function, the goal and pledged amounts as currency are unrelated data points unless you filter by currency.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amounts can fluctuate during their campaign -- if a project meets its goal, the creator(s) may increase the amount, which leads to unreliable data in the “goal” column.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other possible tables/graphs that we could create?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Success Variation With and Without Staff Pick Status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9488" cy="28697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869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41871" cy="287178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871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comparison can also be shown in a single graph:</w:t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4791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Relationship of pledged amount vs goal amount in USD, in </w:t>
      </w:r>
      <w:r w:rsidDel="00000000" w:rsidR="00000000" w:rsidRPr="00000000">
        <w:rPr>
          <w:b w:val="1"/>
          <w:rtl w:val="0"/>
        </w:rPr>
        <w:t xml:space="preserve">successful </w:t>
      </w:r>
      <w:r w:rsidDel="00000000" w:rsidR="00000000" w:rsidRPr="00000000">
        <w:rPr>
          <w:rtl w:val="0"/>
        </w:rPr>
        <w:t xml:space="preserve">projects, broken out by category: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91225" cy="4371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095210" cy="74628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210" cy="746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Is this one particularly useful? No. Is it neat? Yes. 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70679" cy="35956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679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www.kickstarter.com/projects/ysnet/shenmue-3?ref=discovery" TargetMode="External"/><Relationship Id="rId8" Type="http://schemas.openxmlformats.org/officeDocument/2006/relationships/hyperlink" Target="https://www.kickstarter.com/discover/advanced?sort=most_funded&amp;seed=2571651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