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FEDE" w14:textId="3EE3D830" w:rsidR="007C4737" w:rsidRDefault="00DC2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Sellinger</w:t>
      </w:r>
    </w:p>
    <w:p w14:paraId="45E99004" w14:textId="14FCEDC4" w:rsidR="00DC2218" w:rsidRDefault="00DC2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 558</w:t>
      </w:r>
    </w:p>
    <w:p w14:paraId="463A2649" w14:textId="1ACB5BD4" w:rsidR="00DC2218" w:rsidRDefault="00DC2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5</w:t>
      </w:r>
    </w:p>
    <w:p w14:paraId="503D6F78" w14:textId="215DEF61" w:rsidR="009F2CF4" w:rsidRDefault="009F2CF4" w:rsidP="009F2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</w:t>
      </w:r>
    </w:p>
    <w:p w14:paraId="2BB53208" w14:textId="7E9A1319" w:rsidR="00BC1A32" w:rsidRDefault="00BC1A32" w:rsidP="009F2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B9892" wp14:editId="63825922">
            <wp:extent cx="6939781" cy="5204836"/>
            <wp:effectExtent l="0" t="8890" r="5080" b="5080"/>
            <wp:docPr id="1" name="Picture 1" descr="A white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board with writing on i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45527" cy="5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A11F" w14:textId="4D5BA7B3" w:rsidR="00DC2218" w:rsidRDefault="00DC2218" w:rsidP="009F2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585"/>
        <w:gridCol w:w="2155"/>
      </w:tblGrid>
      <w:tr w:rsidR="001B79DE" w14:paraId="5A325AA5" w14:textId="77777777" w:rsidTr="001B79DE">
        <w:tc>
          <w:tcPr>
            <w:tcW w:w="1870" w:type="dxa"/>
            <w:vMerge w:val="restart"/>
            <w:vAlign w:val="bottom"/>
          </w:tcPr>
          <w:p w14:paraId="47CEF1A4" w14:textId="44AF505C" w:rsidR="001B79DE" w:rsidRDefault="001B79DE" w:rsidP="001B7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Harvest alternatives</w:t>
            </w:r>
          </w:p>
        </w:tc>
        <w:tc>
          <w:tcPr>
            <w:tcW w:w="5325" w:type="dxa"/>
            <w:gridSpan w:val="3"/>
          </w:tcPr>
          <w:p w14:paraId="5DDE917D" w14:textId="43BC4962" w:rsidR="001B79DE" w:rsidRPr="00A42E82" w:rsidRDefault="001B79DE" w:rsidP="00A4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States of Nature (S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5" w:type="dxa"/>
            <w:vMerge w:val="restart"/>
            <w:vAlign w:val="bottom"/>
          </w:tcPr>
          <w:p w14:paraId="3E80470C" w14:textId="41308458" w:rsidR="001B79DE" w:rsidRDefault="001B79DE" w:rsidP="001B7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Number of Adults</w:t>
            </w:r>
          </w:p>
        </w:tc>
      </w:tr>
      <w:tr w:rsidR="001B79DE" w14:paraId="449C610F" w14:textId="77777777" w:rsidTr="00BB4A62">
        <w:tc>
          <w:tcPr>
            <w:tcW w:w="1870" w:type="dxa"/>
            <w:vMerge/>
          </w:tcPr>
          <w:p w14:paraId="4692E8CB" w14:textId="7E69EF28" w:rsidR="001B79DE" w:rsidRDefault="001B79DE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6C5A53B" w14:textId="77777777" w:rsidR="001B79DE" w:rsidRDefault="001B79DE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0.75</w:t>
            </w:r>
          </w:p>
          <w:p w14:paraId="0CF99515" w14:textId="755909A0" w:rsidR="001B79DE" w:rsidRPr="001B3C85" w:rsidRDefault="001B79DE" w:rsidP="00BB4A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C85">
              <w:rPr>
                <w:rFonts w:ascii="Times New Roman" w:hAnsi="Times New Roman" w:cs="Times New Roman"/>
                <w:sz w:val="20"/>
                <w:szCs w:val="20"/>
              </w:rPr>
              <w:t>(prob = 1/3)</w:t>
            </w:r>
          </w:p>
        </w:tc>
        <w:tc>
          <w:tcPr>
            <w:tcW w:w="1870" w:type="dxa"/>
          </w:tcPr>
          <w:p w14:paraId="085FA038" w14:textId="77777777" w:rsidR="001B79DE" w:rsidRDefault="001B79DE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</w:t>
            </w:r>
          </w:p>
          <w:p w14:paraId="5DD8F83B" w14:textId="4C3E52C7" w:rsidR="001B79DE" w:rsidRPr="001B3C85" w:rsidRDefault="001B79DE" w:rsidP="00BB4A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C85">
              <w:rPr>
                <w:rFonts w:ascii="Times New Roman" w:hAnsi="Times New Roman" w:cs="Times New Roman"/>
                <w:sz w:val="20"/>
                <w:szCs w:val="20"/>
              </w:rPr>
              <w:t>(prob = 1/3)</w:t>
            </w:r>
          </w:p>
        </w:tc>
        <w:tc>
          <w:tcPr>
            <w:tcW w:w="1585" w:type="dxa"/>
          </w:tcPr>
          <w:p w14:paraId="5CA9C6FD" w14:textId="77777777" w:rsidR="001B79DE" w:rsidRDefault="001B79DE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0.82</w:t>
            </w:r>
          </w:p>
          <w:p w14:paraId="67B7D2B6" w14:textId="6C56EC92" w:rsidR="001B79DE" w:rsidRPr="001B3C85" w:rsidRDefault="001B79DE" w:rsidP="00BB4A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C85">
              <w:rPr>
                <w:rFonts w:ascii="Times New Roman" w:hAnsi="Times New Roman" w:cs="Times New Roman"/>
                <w:sz w:val="20"/>
                <w:szCs w:val="20"/>
              </w:rPr>
              <w:t>(prob = 1/3)</w:t>
            </w:r>
          </w:p>
        </w:tc>
        <w:tc>
          <w:tcPr>
            <w:tcW w:w="2155" w:type="dxa"/>
            <w:vMerge/>
          </w:tcPr>
          <w:p w14:paraId="121B83CF" w14:textId="52B4F05A" w:rsidR="001B79DE" w:rsidRDefault="001B79DE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218" w14:paraId="2B8283FA" w14:textId="77777777" w:rsidTr="00BB4A62">
        <w:tc>
          <w:tcPr>
            <w:tcW w:w="1870" w:type="dxa"/>
          </w:tcPr>
          <w:p w14:paraId="3E445384" w14:textId="1130AE0D" w:rsidR="00DC2218" w:rsidRDefault="00BB4A62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7894">
              <w:rPr>
                <w:rFonts w:ascii="Times New Roman" w:hAnsi="Times New Roman" w:cs="Times New Roman"/>
                <w:sz w:val="24"/>
                <w:szCs w:val="24"/>
              </w:rPr>
              <w:t>rea</w:t>
            </w:r>
            <w:r w:rsidR="00976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8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E44CB57" w14:textId="34CC9847" w:rsidR="00DC2218" w:rsidRDefault="00B27894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870" w:type="dxa"/>
          </w:tcPr>
          <w:p w14:paraId="1039A106" w14:textId="546AE3D0" w:rsidR="00DC2218" w:rsidRDefault="00B27894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1087</w:t>
            </w:r>
          </w:p>
        </w:tc>
        <w:tc>
          <w:tcPr>
            <w:tcW w:w="1585" w:type="dxa"/>
          </w:tcPr>
          <w:p w14:paraId="0DE3238C" w14:textId="19559D94" w:rsidR="00DC2218" w:rsidRDefault="00B27894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</w:t>
            </w:r>
          </w:p>
        </w:tc>
        <w:tc>
          <w:tcPr>
            <w:tcW w:w="2155" w:type="dxa"/>
          </w:tcPr>
          <w:p w14:paraId="5DD76675" w14:textId="1E320800" w:rsidR="00DC2218" w:rsidRDefault="001058EA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1256</w:t>
            </w:r>
          </w:p>
        </w:tc>
      </w:tr>
      <w:tr w:rsidR="00DC2218" w14:paraId="5BCC294E" w14:textId="77777777" w:rsidTr="00BB4A62">
        <w:tc>
          <w:tcPr>
            <w:tcW w:w="1870" w:type="dxa"/>
          </w:tcPr>
          <w:p w14:paraId="490DCFC2" w14:textId="01214E02" w:rsidR="00DC2218" w:rsidRDefault="00BB4A62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7894">
              <w:rPr>
                <w:rFonts w:ascii="Times New Roman" w:hAnsi="Times New Roman" w:cs="Times New Roman"/>
                <w:sz w:val="24"/>
                <w:szCs w:val="24"/>
              </w:rPr>
              <w:t>rea 2</w:t>
            </w:r>
          </w:p>
        </w:tc>
        <w:tc>
          <w:tcPr>
            <w:tcW w:w="1870" w:type="dxa"/>
          </w:tcPr>
          <w:p w14:paraId="31E81953" w14:textId="40A0276B" w:rsidR="00DC2218" w:rsidRDefault="00B27894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870" w:type="dxa"/>
          </w:tcPr>
          <w:p w14:paraId="30204272" w14:textId="6E775B04" w:rsidR="00DC2218" w:rsidRDefault="00B27894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814</w:t>
            </w:r>
          </w:p>
        </w:tc>
        <w:tc>
          <w:tcPr>
            <w:tcW w:w="1585" w:type="dxa"/>
          </w:tcPr>
          <w:p w14:paraId="60A1D937" w14:textId="7A820D96" w:rsidR="00DC2218" w:rsidRDefault="00B27894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1846</w:t>
            </w:r>
          </w:p>
        </w:tc>
        <w:tc>
          <w:tcPr>
            <w:tcW w:w="2155" w:type="dxa"/>
          </w:tcPr>
          <w:p w14:paraId="3C170FF6" w14:textId="199F9CA6" w:rsidR="00DC2218" w:rsidRDefault="001058EA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928</w:t>
            </w:r>
          </w:p>
        </w:tc>
      </w:tr>
      <w:tr w:rsidR="00DC2218" w14:paraId="699E3591" w14:textId="77777777" w:rsidTr="00BB4A62">
        <w:tc>
          <w:tcPr>
            <w:tcW w:w="1870" w:type="dxa"/>
          </w:tcPr>
          <w:p w14:paraId="4259867A" w14:textId="4A77DAD1" w:rsidR="00DC2218" w:rsidRDefault="00BB4A62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7894">
              <w:rPr>
                <w:rFonts w:ascii="Times New Roman" w:hAnsi="Times New Roman" w:cs="Times New Roman"/>
                <w:sz w:val="24"/>
                <w:szCs w:val="24"/>
              </w:rPr>
              <w:t>rea 3</w:t>
            </w:r>
          </w:p>
        </w:tc>
        <w:tc>
          <w:tcPr>
            <w:tcW w:w="1870" w:type="dxa"/>
          </w:tcPr>
          <w:p w14:paraId="7F88DACC" w14:textId="38B25D51" w:rsidR="00DC2218" w:rsidRDefault="001058EA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870" w:type="dxa"/>
          </w:tcPr>
          <w:p w14:paraId="403EB434" w14:textId="3D3AC5E0" w:rsidR="00DC2218" w:rsidRDefault="001058EA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1585" w:type="dxa"/>
          </w:tcPr>
          <w:p w14:paraId="4093FE8A" w14:textId="3706DFCA" w:rsidR="00DC2218" w:rsidRDefault="001058EA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2379</w:t>
            </w:r>
          </w:p>
        </w:tc>
        <w:tc>
          <w:tcPr>
            <w:tcW w:w="2155" w:type="dxa"/>
          </w:tcPr>
          <w:p w14:paraId="0898D133" w14:textId="31DB7CF1" w:rsidR="00DC2218" w:rsidRDefault="001058EA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1116</w:t>
            </w:r>
          </w:p>
        </w:tc>
      </w:tr>
      <w:tr w:rsidR="00A42E82" w14:paraId="7BB72AE8" w14:textId="77777777" w:rsidTr="00BB4A62">
        <w:tc>
          <w:tcPr>
            <w:tcW w:w="1870" w:type="dxa"/>
          </w:tcPr>
          <w:p w14:paraId="239EC2EC" w14:textId="2565FDDC" w:rsidR="00A42E82" w:rsidRPr="00093158" w:rsidRDefault="00BB4A62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315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All closed</w:t>
            </w:r>
          </w:p>
        </w:tc>
        <w:tc>
          <w:tcPr>
            <w:tcW w:w="1870" w:type="dxa"/>
          </w:tcPr>
          <w:p w14:paraId="1CA8A297" w14:textId="36ED38EE" w:rsidR="00A42E82" w:rsidRPr="00093158" w:rsidRDefault="001058EA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315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535</w:t>
            </w:r>
          </w:p>
        </w:tc>
        <w:tc>
          <w:tcPr>
            <w:tcW w:w="1870" w:type="dxa"/>
          </w:tcPr>
          <w:p w14:paraId="0C723FF1" w14:textId="5188F976" w:rsidR="00A42E82" w:rsidRPr="00093158" w:rsidRDefault="001058EA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315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4859</w:t>
            </w:r>
          </w:p>
        </w:tc>
        <w:tc>
          <w:tcPr>
            <w:tcW w:w="1585" w:type="dxa"/>
          </w:tcPr>
          <w:p w14:paraId="160BC629" w14:textId="1F6C2B46" w:rsidR="00A42E82" w:rsidRPr="00093158" w:rsidRDefault="001058EA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315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12445</w:t>
            </w:r>
          </w:p>
        </w:tc>
        <w:tc>
          <w:tcPr>
            <w:tcW w:w="2155" w:type="dxa"/>
          </w:tcPr>
          <w:p w14:paraId="5CBDE2EB" w14:textId="4241BAC3" w:rsidR="00A42E82" w:rsidRPr="00093158" w:rsidRDefault="001058EA" w:rsidP="00BB4A6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315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5946</w:t>
            </w:r>
          </w:p>
        </w:tc>
      </w:tr>
    </w:tbl>
    <w:p w14:paraId="38E94986" w14:textId="3143EC0A" w:rsidR="00DC2218" w:rsidRDefault="00DC22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3C85" w14:paraId="0E9A790E" w14:textId="77777777" w:rsidTr="001B3C85">
        <w:tc>
          <w:tcPr>
            <w:tcW w:w="1870" w:type="dxa"/>
            <w:vMerge w:val="restart"/>
            <w:vAlign w:val="bottom"/>
          </w:tcPr>
          <w:p w14:paraId="7655690F" w14:textId="73D3EAC4" w:rsidR="001B3C85" w:rsidRDefault="001B3C85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Harvest alternatives</w:t>
            </w:r>
          </w:p>
        </w:tc>
        <w:tc>
          <w:tcPr>
            <w:tcW w:w="5610" w:type="dxa"/>
            <w:gridSpan w:val="3"/>
          </w:tcPr>
          <w:p w14:paraId="45AC6327" w14:textId="77777777" w:rsidR="001B3C85" w:rsidRPr="00A42E82" w:rsidRDefault="001B3C85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States of Nature (S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  <w:vMerge w:val="restart"/>
            <w:vAlign w:val="bottom"/>
          </w:tcPr>
          <w:p w14:paraId="0164AF01" w14:textId="138CDCE7" w:rsidR="001B3C85" w:rsidRDefault="001B3C85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adults &lt; 1000)</w:t>
            </w:r>
          </w:p>
        </w:tc>
      </w:tr>
      <w:tr w:rsidR="001B3C85" w14:paraId="0604127A" w14:textId="77777777" w:rsidTr="0057348F">
        <w:tc>
          <w:tcPr>
            <w:tcW w:w="1870" w:type="dxa"/>
            <w:vMerge/>
          </w:tcPr>
          <w:p w14:paraId="5722D0B3" w14:textId="5DE4C3EA" w:rsidR="001B3C85" w:rsidRDefault="001B3C85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DAD345C" w14:textId="77777777" w:rsidR="001B3C85" w:rsidRDefault="001B3C85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0.75</w:t>
            </w:r>
          </w:p>
          <w:p w14:paraId="28BEA0F7" w14:textId="77777777" w:rsidR="001B3C85" w:rsidRPr="001B3C85" w:rsidRDefault="001B3C85" w:rsidP="001B3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C85">
              <w:rPr>
                <w:rFonts w:ascii="Times New Roman" w:hAnsi="Times New Roman" w:cs="Times New Roman"/>
                <w:sz w:val="20"/>
                <w:szCs w:val="20"/>
              </w:rPr>
              <w:t>(prob = 1/3)</w:t>
            </w:r>
          </w:p>
        </w:tc>
        <w:tc>
          <w:tcPr>
            <w:tcW w:w="1870" w:type="dxa"/>
          </w:tcPr>
          <w:p w14:paraId="3431DACE" w14:textId="77777777" w:rsidR="001B3C85" w:rsidRDefault="001B3C85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</w:t>
            </w:r>
          </w:p>
          <w:p w14:paraId="77A3D7B7" w14:textId="77777777" w:rsidR="001B3C85" w:rsidRPr="001B3C85" w:rsidRDefault="001B3C85" w:rsidP="001B3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C85">
              <w:rPr>
                <w:rFonts w:ascii="Times New Roman" w:hAnsi="Times New Roman" w:cs="Times New Roman"/>
                <w:sz w:val="20"/>
                <w:szCs w:val="20"/>
              </w:rPr>
              <w:t>(prob = 1/3)</w:t>
            </w:r>
          </w:p>
        </w:tc>
        <w:tc>
          <w:tcPr>
            <w:tcW w:w="1870" w:type="dxa"/>
          </w:tcPr>
          <w:p w14:paraId="6397813D" w14:textId="77777777" w:rsidR="001B3C85" w:rsidRDefault="001B3C85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0.82</w:t>
            </w:r>
          </w:p>
          <w:p w14:paraId="4645E171" w14:textId="77777777" w:rsidR="001B3C85" w:rsidRPr="001B3C85" w:rsidRDefault="001B3C85" w:rsidP="001B3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3C85">
              <w:rPr>
                <w:rFonts w:ascii="Times New Roman" w:hAnsi="Times New Roman" w:cs="Times New Roman"/>
                <w:sz w:val="20"/>
                <w:szCs w:val="20"/>
              </w:rPr>
              <w:t>(prob = 1/3)</w:t>
            </w:r>
          </w:p>
        </w:tc>
        <w:tc>
          <w:tcPr>
            <w:tcW w:w="1870" w:type="dxa"/>
            <w:vMerge/>
          </w:tcPr>
          <w:p w14:paraId="01E6958E" w14:textId="723CBF88" w:rsidR="001B3C85" w:rsidRDefault="001B3C85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8EA" w14:paraId="03C83F53" w14:textId="77777777" w:rsidTr="0057348F">
        <w:tc>
          <w:tcPr>
            <w:tcW w:w="1870" w:type="dxa"/>
          </w:tcPr>
          <w:p w14:paraId="6545740A" w14:textId="30CCABF1" w:rsidR="001058EA" w:rsidRDefault="00BB4A62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058EA">
              <w:rPr>
                <w:rFonts w:ascii="Times New Roman" w:hAnsi="Times New Roman" w:cs="Times New Roman"/>
                <w:sz w:val="24"/>
                <w:szCs w:val="24"/>
              </w:rPr>
              <w:t>rea 1</w:t>
            </w:r>
          </w:p>
        </w:tc>
        <w:tc>
          <w:tcPr>
            <w:tcW w:w="1870" w:type="dxa"/>
          </w:tcPr>
          <w:p w14:paraId="34818A6D" w14:textId="19D66821" w:rsidR="001058EA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1870" w:type="dxa"/>
          </w:tcPr>
          <w:p w14:paraId="68A84A3E" w14:textId="175DEA8A" w:rsidR="001058EA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1870" w:type="dxa"/>
          </w:tcPr>
          <w:p w14:paraId="1B3513C7" w14:textId="4F4F710D" w:rsidR="001058EA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70" w:type="dxa"/>
          </w:tcPr>
          <w:p w14:paraId="5E44784E" w14:textId="7C63089E" w:rsidR="001058EA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0.414</w:t>
            </w:r>
          </w:p>
        </w:tc>
      </w:tr>
      <w:tr w:rsidR="001058EA" w14:paraId="4BC526E9" w14:textId="77777777" w:rsidTr="0057348F">
        <w:tc>
          <w:tcPr>
            <w:tcW w:w="1870" w:type="dxa"/>
          </w:tcPr>
          <w:p w14:paraId="343217B6" w14:textId="249119C2" w:rsidR="001058EA" w:rsidRDefault="00BB4A62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058EA">
              <w:rPr>
                <w:rFonts w:ascii="Times New Roman" w:hAnsi="Times New Roman" w:cs="Times New Roman"/>
                <w:sz w:val="24"/>
                <w:szCs w:val="24"/>
              </w:rPr>
              <w:t>rea 2</w:t>
            </w:r>
          </w:p>
        </w:tc>
        <w:tc>
          <w:tcPr>
            <w:tcW w:w="1870" w:type="dxa"/>
          </w:tcPr>
          <w:p w14:paraId="00C482AE" w14:textId="41EE394B" w:rsidR="001058EA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1870" w:type="dxa"/>
          </w:tcPr>
          <w:p w14:paraId="0DD5ED5C" w14:textId="0354F166" w:rsidR="001058EA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0.756</w:t>
            </w:r>
          </w:p>
        </w:tc>
        <w:tc>
          <w:tcPr>
            <w:tcW w:w="1870" w:type="dxa"/>
          </w:tcPr>
          <w:p w14:paraId="62FF92FA" w14:textId="68DA3D92" w:rsidR="001058EA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</w:t>
            </w:r>
          </w:p>
        </w:tc>
        <w:tc>
          <w:tcPr>
            <w:tcW w:w="1870" w:type="dxa"/>
          </w:tcPr>
          <w:p w14:paraId="01B65AC7" w14:textId="6A026603" w:rsidR="001058EA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0.614</w:t>
            </w:r>
          </w:p>
        </w:tc>
      </w:tr>
      <w:tr w:rsidR="001058EA" w14:paraId="66F0C1CB" w14:textId="77777777" w:rsidTr="0057348F">
        <w:tc>
          <w:tcPr>
            <w:tcW w:w="1870" w:type="dxa"/>
          </w:tcPr>
          <w:p w14:paraId="65728F56" w14:textId="7E0FAEC5" w:rsidR="001058EA" w:rsidRDefault="00BB4A62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058EA">
              <w:rPr>
                <w:rFonts w:ascii="Times New Roman" w:hAnsi="Times New Roman" w:cs="Times New Roman"/>
                <w:sz w:val="24"/>
                <w:szCs w:val="24"/>
              </w:rPr>
              <w:t>rea 3</w:t>
            </w:r>
          </w:p>
        </w:tc>
        <w:tc>
          <w:tcPr>
            <w:tcW w:w="1870" w:type="dxa"/>
          </w:tcPr>
          <w:p w14:paraId="76F1CD26" w14:textId="3C949316" w:rsidR="001058EA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1870" w:type="dxa"/>
          </w:tcPr>
          <w:p w14:paraId="35583520" w14:textId="129FBF5A" w:rsidR="001058EA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0.643</w:t>
            </w:r>
          </w:p>
        </w:tc>
        <w:tc>
          <w:tcPr>
            <w:tcW w:w="1870" w:type="dxa"/>
          </w:tcPr>
          <w:p w14:paraId="13FACC18" w14:textId="360E9ED7" w:rsidR="001058EA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0.131</w:t>
            </w:r>
          </w:p>
        </w:tc>
        <w:tc>
          <w:tcPr>
            <w:tcW w:w="1870" w:type="dxa"/>
          </w:tcPr>
          <w:p w14:paraId="1774626E" w14:textId="74EAF07A" w:rsidR="001058EA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0.592</w:t>
            </w:r>
          </w:p>
        </w:tc>
      </w:tr>
      <w:tr w:rsidR="001058EA" w14:paraId="167CD815" w14:textId="77777777" w:rsidTr="0057348F">
        <w:tc>
          <w:tcPr>
            <w:tcW w:w="1870" w:type="dxa"/>
          </w:tcPr>
          <w:p w14:paraId="3D476C8D" w14:textId="4155F6AA" w:rsidR="001058EA" w:rsidRPr="00896399" w:rsidRDefault="00BB4A62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639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All closed</w:t>
            </w:r>
          </w:p>
        </w:tc>
        <w:tc>
          <w:tcPr>
            <w:tcW w:w="1870" w:type="dxa"/>
          </w:tcPr>
          <w:p w14:paraId="781C34F6" w14:textId="2BA5157E" w:rsidR="001058EA" w:rsidRPr="00896399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639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1.000</w:t>
            </w:r>
          </w:p>
        </w:tc>
        <w:tc>
          <w:tcPr>
            <w:tcW w:w="1870" w:type="dxa"/>
          </w:tcPr>
          <w:p w14:paraId="6D28B61A" w14:textId="66A6C0CE" w:rsidR="001058EA" w:rsidRPr="00896399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639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0.000</w:t>
            </w:r>
          </w:p>
        </w:tc>
        <w:tc>
          <w:tcPr>
            <w:tcW w:w="1870" w:type="dxa"/>
          </w:tcPr>
          <w:p w14:paraId="4DDF03A6" w14:textId="622DDB03" w:rsidR="001058EA" w:rsidRPr="00896399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639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0.000</w:t>
            </w:r>
          </w:p>
        </w:tc>
        <w:tc>
          <w:tcPr>
            <w:tcW w:w="1870" w:type="dxa"/>
          </w:tcPr>
          <w:p w14:paraId="7F9BC90C" w14:textId="5DC20913" w:rsidR="001058EA" w:rsidRPr="00896399" w:rsidRDefault="00AC3764" w:rsidP="001B3C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639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0.333</w:t>
            </w:r>
          </w:p>
        </w:tc>
      </w:tr>
    </w:tbl>
    <w:p w14:paraId="4BDD1FB4" w14:textId="36A3A021" w:rsidR="006D5C7D" w:rsidRDefault="006D5C7D">
      <w:pPr>
        <w:rPr>
          <w:rFonts w:ascii="Times New Roman" w:hAnsi="Times New Roman" w:cs="Times New Roman"/>
          <w:sz w:val="24"/>
          <w:szCs w:val="24"/>
        </w:rPr>
      </w:pPr>
    </w:p>
    <w:p w14:paraId="3E42D559" w14:textId="2F9B0874" w:rsidR="006D5C7D" w:rsidRDefault="006D5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both performance metrics</w:t>
      </w:r>
      <w:r w:rsidR="00981901">
        <w:rPr>
          <w:rFonts w:ascii="Times New Roman" w:hAnsi="Times New Roman" w:cs="Times New Roman"/>
          <w:sz w:val="24"/>
          <w:szCs w:val="24"/>
        </w:rPr>
        <w:t xml:space="preserve">, it is best to close all three areas to hunting. </w:t>
      </w:r>
      <w:r w:rsidR="00F85F5F">
        <w:rPr>
          <w:rFonts w:ascii="Times New Roman" w:hAnsi="Times New Roman" w:cs="Times New Roman"/>
          <w:sz w:val="24"/>
          <w:szCs w:val="24"/>
        </w:rPr>
        <w:t xml:space="preserve">If the manager </w:t>
      </w:r>
      <w:r w:rsidR="00C46C0B">
        <w:rPr>
          <w:rFonts w:ascii="Times New Roman" w:hAnsi="Times New Roman" w:cs="Times New Roman"/>
          <w:sz w:val="24"/>
          <w:szCs w:val="24"/>
        </w:rPr>
        <w:t xml:space="preserve">is </w:t>
      </w:r>
      <w:r w:rsidR="00F85F5F">
        <w:rPr>
          <w:rFonts w:ascii="Times New Roman" w:hAnsi="Times New Roman" w:cs="Times New Roman"/>
          <w:sz w:val="24"/>
          <w:szCs w:val="24"/>
        </w:rPr>
        <w:t>interested in keeping at least one area open to hunting</w:t>
      </w:r>
      <w:r w:rsidR="00707453">
        <w:rPr>
          <w:rFonts w:ascii="Times New Roman" w:hAnsi="Times New Roman" w:cs="Times New Roman"/>
          <w:sz w:val="24"/>
          <w:szCs w:val="24"/>
        </w:rPr>
        <w:t xml:space="preserve">, the best strategy </w:t>
      </w:r>
      <w:r w:rsidR="00B856EC">
        <w:rPr>
          <w:rFonts w:ascii="Times New Roman" w:hAnsi="Times New Roman" w:cs="Times New Roman"/>
          <w:sz w:val="24"/>
          <w:szCs w:val="24"/>
        </w:rPr>
        <w:t>is to harvest in area 1</w:t>
      </w:r>
      <w:r w:rsidR="00C46C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D863F9" w14:textId="744A84DC" w:rsidR="001E0FE2" w:rsidRDefault="001E0FE2" w:rsidP="009F2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44592" w14:paraId="4D6F465D" w14:textId="77777777" w:rsidTr="00044592">
        <w:tc>
          <w:tcPr>
            <w:tcW w:w="1870" w:type="dxa"/>
            <w:vMerge w:val="restart"/>
            <w:vAlign w:val="bottom"/>
          </w:tcPr>
          <w:p w14:paraId="51E78AC8" w14:textId="0F363F67" w:rsidR="00044592" w:rsidRDefault="00044592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Harvest alternatives</w:t>
            </w:r>
          </w:p>
        </w:tc>
        <w:tc>
          <w:tcPr>
            <w:tcW w:w="5610" w:type="dxa"/>
            <w:gridSpan w:val="3"/>
          </w:tcPr>
          <w:p w14:paraId="3AC40727" w14:textId="77777777" w:rsidR="00044592" w:rsidRPr="00A42E82" w:rsidRDefault="00044592" w:rsidP="003A2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States of Nature (S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  <w:vMerge w:val="restart"/>
            <w:vAlign w:val="bottom"/>
          </w:tcPr>
          <w:p w14:paraId="0D533D9C" w14:textId="72119E0B" w:rsidR="00044592" w:rsidRDefault="00044592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value of harvest</w:t>
            </w:r>
          </w:p>
        </w:tc>
      </w:tr>
      <w:tr w:rsidR="00044592" w14:paraId="377AFEB5" w14:textId="77777777" w:rsidTr="003A2C4F">
        <w:tc>
          <w:tcPr>
            <w:tcW w:w="1870" w:type="dxa"/>
            <w:vMerge/>
          </w:tcPr>
          <w:p w14:paraId="40EB3C92" w14:textId="6C3EE943" w:rsidR="00044592" w:rsidRDefault="00044592" w:rsidP="005876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B7F7E44" w14:textId="77777777" w:rsidR="00044592" w:rsidRDefault="00044592" w:rsidP="005876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0.75</w:t>
            </w:r>
          </w:p>
          <w:p w14:paraId="051BA649" w14:textId="77777777" w:rsidR="00044592" w:rsidRDefault="00044592" w:rsidP="005876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(prob = 1/3)</w:t>
            </w:r>
          </w:p>
        </w:tc>
        <w:tc>
          <w:tcPr>
            <w:tcW w:w="1870" w:type="dxa"/>
          </w:tcPr>
          <w:p w14:paraId="10C6FF1C" w14:textId="77777777" w:rsidR="00044592" w:rsidRDefault="00044592" w:rsidP="005876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</w:t>
            </w:r>
          </w:p>
          <w:p w14:paraId="3D359EAD" w14:textId="77777777" w:rsidR="00044592" w:rsidRDefault="00044592" w:rsidP="005876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(prob = 1/3)</w:t>
            </w:r>
          </w:p>
        </w:tc>
        <w:tc>
          <w:tcPr>
            <w:tcW w:w="1870" w:type="dxa"/>
          </w:tcPr>
          <w:p w14:paraId="4D1533F4" w14:textId="77777777" w:rsidR="00044592" w:rsidRDefault="00044592" w:rsidP="005876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0.82</w:t>
            </w:r>
          </w:p>
          <w:p w14:paraId="41770111" w14:textId="77777777" w:rsidR="00044592" w:rsidRDefault="00044592" w:rsidP="005876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(prob = 1/3)</w:t>
            </w:r>
          </w:p>
        </w:tc>
        <w:tc>
          <w:tcPr>
            <w:tcW w:w="1870" w:type="dxa"/>
            <w:vMerge/>
          </w:tcPr>
          <w:p w14:paraId="0D70B276" w14:textId="54C12E53" w:rsidR="00044592" w:rsidRDefault="00044592" w:rsidP="005876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592" w14:paraId="19D62C3B" w14:textId="77777777" w:rsidTr="003A2C4F">
        <w:tc>
          <w:tcPr>
            <w:tcW w:w="1870" w:type="dxa"/>
          </w:tcPr>
          <w:p w14:paraId="048A352F" w14:textId="6B08B4DE" w:rsidR="00247592" w:rsidRDefault="00247592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 1</w:t>
            </w:r>
          </w:p>
        </w:tc>
        <w:tc>
          <w:tcPr>
            <w:tcW w:w="1870" w:type="dxa"/>
          </w:tcPr>
          <w:p w14:paraId="4526EDDE" w14:textId="6A1E1F70" w:rsidR="00247592" w:rsidRDefault="00CE7FA7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6487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21D9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70" w:type="dxa"/>
          </w:tcPr>
          <w:p w14:paraId="0180346B" w14:textId="3DC0205B" w:rsidR="00247592" w:rsidRDefault="00021D9C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10,545</w:t>
            </w:r>
          </w:p>
        </w:tc>
        <w:tc>
          <w:tcPr>
            <w:tcW w:w="1870" w:type="dxa"/>
          </w:tcPr>
          <w:p w14:paraId="2E67AD63" w14:textId="0503D192" w:rsidR="00247592" w:rsidRDefault="00021D9C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18,672</w:t>
            </w:r>
          </w:p>
        </w:tc>
        <w:tc>
          <w:tcPr>
            <w:tcW w:w="1870" w:type="dxa"/>
          </w:tcPr>
          <w:p w14:paraId="5A737180" w14:textId="69C8D93F" w:rsidR="00247592" w:rsidRDefault="00C53D71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10,917</w:t>
            </w:r>
          </w:p>
        </w:tc>
      </w:tr>
      <w:tr w:rsidR="00247592" w14:paraId="12BB3E62" w14:textId="77777777" w:rsidTr="003A2C4F">
        <w:tc>
          <w:tcPr>
            <w:tcW w:w="1870" w:type="dxa"/>
          </w:tcPr>
          <w:p w14:paraId="486BA4CE" w14:textId="04C5EBA0" w:rsidR="00247592" w:rsidRDefault="00247592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 2</w:t>
            </w:r>
          </w:p>
        </w:tc>
        <w:tc>
          <w:tcPr>
            <w:tcW w:w="1870" w:type="dxa"/>
          </w:tcPr>
          <w:p w14:paraId="649E56B7" w14:textId="26A59285" w:rsidR="00247592" w:rsidRDefault="00D64875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6,238</w:t>
            </w:r>
          </w:p>
        </w:tc>
        <w:tc>
          <w:tcPr>
            <w:tcW w:w="1870" w:type="dxa"/>
          </w:tcPr>
          <w:p w14:paraId="29718931" w14:textId="4EB35817" w:rsidR="00247592" w:rsidRDefault="00D64875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20,225</w:t>
            </w:r>
          </w:p>
        </w:tc>
        <w:tc>
          <w:tcPr>
            <w:tcW w:w="1870" w:type="dxa"/>
          </w:tcPr>
          <w:p w14:paraId="03A8E70F" w14:textId="26BE0D23" w:rsidR="00247592" w:rsidRDefault="0090328D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35,772</w:t>
            </w:r>
          </w:p>
        </w:tc>
        <w:tc>
          <w:tcPr>
            <w:tcW w:w="1870" w:type="dxa"/>
          </w:tcPr>
          <w:p w14:paraId="01B4DE27" w14:textId="22C89081" w:rsidR="00247592" w:rsidRDefault="00EF0DA8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20,745</w:t>
            </w:r>
          </w:p>
        </w:tc>
      </w:tr>
      <w:tr w:rsidR="00247592" w14:paraId="0DD3D1E7" w14:textId="77777777" w:rsidTr="003A2C4F">
        <w:tc>
          <w:tcPr>
            <w:tcW w:w="1870" w:type="dxa"/>
          </w:tcPr>
          <w:p w14:paraId="345502A2" w14:textId="63B064C7" w:rsidR="00247592" w:rsidRDefault="00247592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 3</w:t>
            </w:r>
          </w:p>
        </w:tc>
        <w:tc>
          <w:tcPr>
            <w:tcW w:w="1870" w:type="dxa"/>
          </w:tcPr>
          <w:p w14:paraId="3C52C0D7" w14:textId="3762AC07" w:rsidR="00247592" w:rsidRDefault="0090328D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9,736</w:t>
            </w:r>
          </w:p>
        </w:tc>
        <w:tc>
          <w:tcPr>
            <w:tcW w:w="1870" w:type="dxa"/>
          </w:tcPr>
          <w:p w14:paraId="4DBCD697" w14:textId="75EA3B2A" w:rsidR="00247592" w:rsidRPr="007365EF" w:rsidRDefault="0090328D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365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36,618</w:t>
            </w:r>
          </w:p>
        </w:tc>
        <w:tc>
          <w:tcPr>
            <w:tcW w:w="1870" w:type="dxa"/>
          </w:tcPr>
          <w:p w14:paraId="60813A91" w14:textId="0855A8C3" w:rsidR="00247592" w:rsidRDefault="0090328D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70,45</w:t>
            </w:r>
            <w:r w:rsidR="00587688" w:rsidRPr="007365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870" w:type="dxa"/>
          </w:tcPr>
          <w:p w14:paraId="58B0B31A" w14:textId="690208D5" w:rsidR="00247592" w:rsidRDefault="006A35E0" w:rsidP="0004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F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38,935</w:t>
            </w:r>
          </w:p>
        </w:tc>
      </w:tr>
    </w:tbl>
    <w:p w14:paraId="69D7D365" w14:textId="2AB01149" w:rsidR="001E0FE2" w:rsidRDefault="001E0FE2">
      <w:pPr>
        <w:rPr>
          <w:rFonts w:ascii="Times New Roman" w:hAnsi="Times New Roman" w:cs="Times New Roman"/>
          <w:sz w:val="24"/>
          <w:szCs w:val="24"/>
        </w:rPr>
      </w:pPr>
    </w:p>
    <w:p w14:paraId="3F93F376" w14:textId="146D0394" w:rsidR="00896399" w:rsidRDefault="00D84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maximize the value of hunting</w:t>
      </w:r>
      <w:r w:rsidR="00362FD8">
        <w:rPr>
          <w:rFonts w:ascii="Times New Roman" w:hAnsi="Times New Roman" w:cs="Times New Roman"/>
          <w:sz w:val="24"/>
          <w:szCs w:val="24"/>
        </w:rPr>
        <w:t xml:space="preserve"> over all 100 years</w:t>
      </w:r>
      <w:r>
        <w:rPr>
          <w:rFonts w:ascii="Times New Roman" w:hAnsi="Times New Roman" w:cs="Times New Roman"/>
          <w:sz w:val="24"/>
          <w:szCs w:val="24"/>
        </w:rPr>
        <w:t>, the managers should open area 3</w:t>
      </w:r>
      <w:r w:rsidR="00295126">
        <w:rPr>
          <w:rFonts w:ascii="Times New Roman" w:hAnsi="Times New Roman" w:cs="Times New Roman"/>
          <w:sz w:val="24"/>
          <w:szCs w:val="24"/>
        </w:rPr>
        <w:t>. Even under different states of nature, t</w:t>
      </w:r>
      <w:r w:rsidR="00362FD8">
        <w:rPr>
          <w:rFonts w:ascii="Times New Roman" w:hAnsi="Times New Roman" w:cs="Times New Roman"/>
          <w:sz w:val="24"/>
          <w:szCs w:val="24"/>
        </w:rPr>
        <w:t>hat area has on average the highest returns.</w:t>
      </w:r>
    </w:p>
    <w:p w14:paraId="352EF818" w14:textId="4628C237" w:rsidR="002901D2" w:rsidRDefault="002901D2" w:rsidP="009F2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E</w:t>
      </w:r>
    </w:p>
    <w:p w14:paraId="24AF86F5" w14:textId="53DC4F82" w:rsidR="002901D2" w:rsidRDefault="00290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hunting in area 3 </w:t>
      </w:r>
      <w:r w:rsidR="00C71807">
        <w:rPr>
          <w:rFonts w:ascii="Times New Roman" w:hAnsi="Times New Roman" w:cs="Times New Roman"/>
          <w:sz w:val="24"/>
          <w:szCs w:val="24"/>
        </w:rPr>
        <w:t>provides the highest value under each state of nature, the expected value of perfect information (EVPI)</w:t>
      </w:r>
      <w:r w:rsidR="00BB1AC1">
        <w:rPr>
          <w:rFonts w:ascii="Times New Roman" w:hAnsi="Times New Roman" w:cs="Times New Roman"/>
          <w:sz w:val="24"/>
          <w:szCs w:val="24"/>
        </w:rPr>
        <w:t xml:space="preserve"> = 0. </w:t>
      </w:r>
    </w:p>
    <w:p w14:paraId="56A7C662" w14:textId="77777777" w:rsidR="0044278D" w:rsidRPr="00DC2218" w:rsidRDefault="0044278D">
      <w:pPr>
        <w:rPr>
          <w:rFonts w:ascii="Times New Roman" w:hAnsi="Times New Roman" w:cs="Times New Roman"/>
          <w:sz w:val="24"/>
          <w:szCs w:val="24"/>
        </w:rPr>
      </w:pPr>
    </w:p>
    <w:sectPr w:rsidR="0044278D" w:rsidRPr="00DC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18"/>
    <w:rsid w:val="00021D9C"/>
    <w:rsid w:val="00044592"/>
    <w:rsid w:val="00093158"/>
    <w:rsid w:val="001058EA"/>
    <w:rsid w:val="001B3C85"/>
    <w:rsid w:val="001B79DE"/>
    <w:rsid w:val="001E0FE2"/>
    <w:rsid w:val="00247592"/>
    <w:rsid w:val="002901D2"/>
    <w:rsid w:val="00295126"/>
    <w:rsid w:val="00362FD8"/>
    <w:rsid w:val="0044278D"/>
    <w:rsid w:val="00587688"/>
    <w:rsid w:val="006A35E0"/>
    <w:rsid w:val="006D5C7D"/>
    <w:rsid w:val="00707453"/>
    <w:rsid w:val="007365EF"/>
    <w:rsid w:val="007C4737"/>
    <w:rsid w:val="00896399"/>
    <w:rsid w:val="0090328D"/>
    <w:rsid w:val="00976B82"/>
    <w:rsid w:val="00981901"/>
    <w:rsid w:val="009F2CF4"/>
    <w:rsid w:val="00A42E82"/>
    <w:rsid w:val="00A4717A"/>
    <w:rsid w:val="00AC3764"/>
    <w:rsid w:val="00B27894"/>
    <w:rsid w:val="00B856EC"/>
    <w:rsid w:val="00BB1AC1"/>
    <w:rsid w:val="00BB4A62"/>
    <w:rsid w:val="00BC1A32"/>
    <w:rsid w:val="00C46C0B"/>
    <w:rsid w:val="00C53D71"/>
    <w:rsid w:val="00C71807"/>
    <w:rsid w:val="00CE7FA7"/>
    <w:rsid w:val="00D64875"/>
    <w:rsid w:val="00D84F8A"/>
    <w:rsid w:val="00DC2218"/>
    <w:rsid w:val="00EF0DA8"/>
    <w:rsid w:val="00F8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6F2A"/>
  <w15:chartTrackingRefBased/>
  <w15:docId w15:val="{8C96F689-A855-4B5A-8A00-3550BE4E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Sellinger</dc:creator>
  <cp:keywords/>
  <dc:description/>
  <cp:lastModifiedBy>Emily Sellinger</cp:lastModifiedBy>
  <cp:revision>33</cp:revision>
  <dcterms:created xsi:type="dcterms:W3CDTF">2021-11-12T21:48:00Z</dcterms:created>
  <dcterms:modified xsi:type="dcterms:W3CDTF">2021-11-16T02:12:00Z</dcterms:modified>
</cp:coreProperties>
</file>