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F9A" w:rsidRDefault="00000000">
      <w:pPr>
        <w:pStyle w:val="Title"/>
      </w:pPr>
      <w:r>
        <w:t>Carbon Report for Indonesia</w:t>
      </w:r>
    </w:p>
    <w:p w:rsidR="003C2F9A" w:rsidRDefault="00000000">
      <w:pPr>
        <w:pStyle w:val="FirstParagraph"/>
      </w:pPr>
      <w:r>
        <w:t xml:space="preserve"> </w:t>
      </w:r>
    </w:p>
    <w:p w:rsidR="003C2F9A" w:rsidRDefault="00000000">
      <w:pPr>
        <w:pStyle w:val="Heading3"/>
      </w:pPr>
      <w:bookmarkStart w:id="0" w:name="total-aboveground-carbon"/>
      <w:r>
        <w:t>1. Total aboveground carbon</w:t>
      </w:r>
    </w:p>
    <w:p w:rsidR="003C2F9A" w:rsidRDefault="003C2F9A">
      <w:pPr>
        <w:pStyle w:val="FirstParagraph"/>
      </w:pPr>
    </w:p>
    <w:p w:rsidR="003C2F9A" w:rsidRDefault="00000000">
      <w:pPr>
        <w:pStyle w:val="BodyText"/>
      </w:pPr>
      <w:r>
        <w:t>The region has an area of 189,531,752 ha, and stored 20,291.5 million metric tons of aboveground carbon (MtC) ca. 2003, with an average carbon density of 107.1 tons of carbon per hectare (tC/ha). As of 2018, the region stored 20,499.4 MtC with an average carbon density of 108.2 tC/ha.</w:t>
      </w:r>
    </w:p>
    <w:p w:rsidR="003C2F9A" w:rsidRDefault="003C2F9A">
      <w:pPr>
        <w:pStyle w:val="BodyText"/>
      </w:pPr>
    </w:p>
    <w:p w:rsidR="003C2F9A" w:rsidRDefault="00000000">
      <w:pPr>
        <w:pStyle w:val="CaptionedFigure"/>
      </w:pPr>
      <w:r>
        <w:rPr>
          <w:noProof/>
        </w:rPr>
        <w:drawing>
          <wp:inline distT="0" distB="0" distL="0" distR="0">
            <wp:extent cx="5504749" cy="2201899"/>
            <wp:effectExtent l="0" t="0" r="0" b="0"/>
            <wp:docPr id="21" name="Picture" descr="Figure 1: Distribution of aboveground carbon density ca. 2003 (left) and 2018 (right)."/>
            <wp:cNvGraphicFramePr/>
            <a:graphic xmlns:a="http://schemas.openxmlformats.org/drawingml/2006/main">
              <a:graphicData uri="http://schemas.openxmlformats.org/drawingml/2006/picture">
                <pic:pic xmlns:pic="http://schemas.openxmlformats.org/drawingml/2006/picture">
                  <pic:nvPicPr>
                    <pic:cNvPr id="22" name="Picture" descr="/tmp/RtmpdZjIED/report_files/figure-docx/hist-1.png"/>
                    <pic:cNvPicPr>
                      <a:picLocks noChangeAspect="1" noChangeArrowheads="1"/>
                    </pic:cNvPicPr>
                  </pic:nvPicPr>
                  <pic:blipFill>
                    <a:blip r:embed="rId7"/>
                    <a:stretch>
                      <a:fillRect/>
                    </a:stretch>
                  </pic:blipFill>
                  <pic:spPr bwMode="auto">
                    <a:xfrm>
                      <a:off x="0" y="0"/>
                      <a:ext cx="5504749" cy="2201899"/>
                    </a:xfrm>
                    <a:prstGeom prst="rect">
                      <a:avLst/>
                    </a:prstGeom>
                    <a:noFill/>
                    <a:ln w="9525">
                      <a:noFill/>
                      <a:headEnd/>
                      <a:tailEnd/>
                    </a:ln>
                  </pic:spPr>
                </pic:pic>
              </a:graphicData>
            </a:graphic>
          </wp:inline>
        </w:drawing>
      </w:r>
    </w:p>
    <w:p w:rsidR="003C2F9A" w:rsidRDefault="00000000">
      <w:pPr>
        <w:pStyle w:val="ImageCaption"/>
      </w:pPr>
      <w:r>
        <w:t>Figure 1: Distribution of aboveground carbon density ca. 2003 (left) and 2018 (right).</w:t>
      </w:r>
    </w:p>
    <w:p w:rsidR="003C2F9A" w:rsidRDefault="003C2F9A">
      <w:pPr>
        <w:pStyle w:val="BodyText"/>
      </w:pPr>
    </w:p>
    <w:p w:rsidR="003C2F9A" w:rsidRDefault="00000000" w:rsidP="00332EC6">
      <w:pPr>
        <w:pStyle w:val="Heading3"/>
      </w:pPr>
      <w:bookmarkStart w:id="1" w:name="annual-losses-and-gains-2003-2018"/>
      <w:bookmarkEnd w:id="0"/>
      <w:r>
        <w:t>2. Annual losses and gains (2003-2018)</w:t>
      </w:r>
    </w:p>
    <w:p w:rsidR="003C2F9A" w:rsidRDefault="00000000">
      <w:pPr>
        <w:pStyle w:val="CaptionedFigure"/>
      </w:pPr>
      <w:r>
        <w:rPr>
          <w:noProof/>
        </w:rPr>
        <w:drawing>
          <wp:inline distT="0" distB="0" distL="0" distR="0">
            <wp:extent cx="5046020" cy="3532214"/>
            <wp:effectExtent l="0" t="0" r="0" b="0"/>
            <wp:docPr id="25" name="Picture" descr="Figure 2: Annual gain, loss, and net change in aboveground carbon storage."/>
            <wp:cNvGraphicFramePr/>
            <a:graphic xmlns:a="http://schemas.openxmlformats.org/drawingml/2006/main">
              <a:graphicData uri="http://schemas.openxmlformats.org/drawingml/2006/picture">
                <pic:pic xmlns:pic="http://schemas.openxmlformats.org/drawingml/2006/picture">
                  <pic:nvPicPr>
                    <pic:cNvPr id="26" name="Picture" descr="/tmp/RtmpdZjIED/report_files/figure-docx/ts-1.png"/>
                    <pic:cNvPicPr>
                      <a:picLocks noChangeAspect="1" noChangeArrowheads="1"/>
                    </pic:cNvPicPr>
                  </pic:nvPicPr>
                  <pic:blipFill>
                    <a:blip r:embed="rId8"/>
                    <a:stretch>
                      <a:fillRect/>
                    </a:stretch>
                  </pic:blipFill>
                  <pic:spPr bwMode="auto">
                    <a:xfrm>
                      <a:off x="0" y="0"/>
                      <a:ext cx="5046020" cy="3532214"/>
                    </a:xfrm>
                    <a:prstGeom prst="rect">
                      <a:avLst/>
                    </a:prstGeom>
                    <a:noFill/>
                    <a:ln w="9525">
                      <a:noFill/>
                      <a:headEnd/>
                      <a:tailEnd/>
                    </a:ln>
                  </pic:spPr>
                </pic:pic>
              </a:graphicData>
            </a:graphic>
          </wp:inline>
        </w:drawing>
      </w:r>
    </w:p>
    <w:p w:rsidR="003C2F9A" w:rsidRDefault="00000000">
      <w:pPr>
        <w:pStyle w:val="ImageCaption"/>
      </w:pPr>
      <w:r>
        <w:t>Figure 2: Annual gain, loss, and net change in aboveground carbon storage.</w:t>
      </w:r>
    </w:p>
    <w:p w:rsidR="003C2F9A" w:rsidRDefault="003C2F9A">
      <w:pPr>
        <w:pStyle w:val="BodyText"/>
      </w:pPr>
    </w:p>
    <w:p w:rsidR="003C2F9A" w:rsidRDefault="00000000">
      <w:pPr>
        <w:pStyle w:val="Heading3"/>
      </w:pPr>
      <w:bookmarkStart w:id="2" w:name="Xb0f30d4a39624395890b5645991f3dcaf31e01c"/>
      <w:bookmarkEnd w:id="1"/>
      <w:r>
        <w:t>3. Greatest rates of carbon gain and loss (2003-2018)</w:t>
      </w:r>
    </w:p>
    <w:p w:rsidR="003C2F9A" w:rsidRDefault="003C2F9A">
      <w:pPr>
        <w:pStyle w:val="FirstParagraph"/>
      </w:pPr>
    </w:p>
    <w:p w:rsidR="003C2F9A" w:rsidRDefault="00000000">
      <w:pPr>
        <w:pStyle w:val="BodyText"/>
      </w:pPr>
      <w:r>
        <w:t>Table 1: Maximum rates of gain and loss in aboveground carbon at three different scales (ca. 2.5, 25, and 250 sq. km).</w:t>
      </w:r>
    </w:p>
    <w:p w:rsidR="003C2F9A" w:rsidRDefault="003C2F9A">
      <w:pPr>
        <w:pStyle w:val="BodyText"/>
      </w:pPr>
    </w:p>
    <w:tbl>
      <w:tblPr>
        <w:tblW w:w="0" w:type="auto"/>
        <w:jc w:val="center"/>
        <w:tblLayout w:type="fixed"/>
        <w:tblLook w:val="0420" w:firstRow="1" w:lastRow="0" w:firstColumn="0" w:lastColumn="0" w:noHBand="0" w:noVBand="1"/>
      </w:tblPr>
      <w:tblGrid>
        <w:gridCol w:w="1844"/>
        <w:gridCol w:w="2597"/>
        <w:gridCol w:w="2557"/>
      </w:tblGrid>
      <w:tr w:rsidR="003C2F9A">
        <w:trPr>
          <w:cantSplit/>
          <w:tblHeader/>
          <w:jc w:val="center"/>
        </w:trPr>
        <w:tc>
          <w:tcPr>
            <w:tcW w:w="184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b/>
                <w:color w:val="000000"/>
              </w:rPr>
              <w:t>Scale (sq. km)</w:t>
            </w:r>
          </w:p>
        </w:tc>
        <w:tc>
          <w:tcPr>
            <w:tcW w:w="259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b/>
                <w:color w:val="000000"/>
              </w:rPr>
              <w:t>Gain (tons C ha</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 yr</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w:t>
            </w:r>
          </w:p>
        </w:tc>
        <w:tc>
          <w:tcPr>
            <w:tcW w:w="255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b/>
                <w:color w:val="000000"/>
              </w:rPr>
              <w:t>Loss (tons C ha</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 yr</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w:t>
            </w:r>
          </w:p>
        </w:tc>
      </w:tr>
      <w:tr w:rsidR="003C2F9A">
        <w:trPr>
          <w:cantSplit/>
          <w:jc w:val="center"/>
        </w:trPr>
        <w:tc>
          <w:tcPr>
            <w:tcW w:w="1844" w:type="dxa"/>
            <w:shd w:val="clear" w:color="auto" w:fill="EFEFE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w:t>
            </w:r>
          </w:p>
        </w:tc>
        <w:tc>
          <w:tcPr>
            <w:tcW w:w="2597" w:type="dxa"/>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13.</w:t>
            </w:r>
            <w:r w:rsidR="00FA5D38">
              <w:rPr>
                <w:rFonts w:ascii="Times New Roman" w:eastAsia="Times New Roman" w:hAnsi="Times New Roman" w:cs="Times New Roman"/>
                <w:color w:val="000000"/>
              </w:rPr>
              <w:t>8</w:t>
            </w:r>
          </w:p>
        </w:tc>
        <w:tc>
          <w:tcPr>
            <w:tcW w:w="2557" w:type="dxa"/>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-15.2</w:t>
            </w:r>
          </w:p>
        </w:tc>
      </w:tr>
      <w:tr w:rsidR="003C2F9A">
        <w:trPr>
          <w:cantSplit/>
          <w:jc w:val="center"/>
        </w:trPr>
        <w:tc>
          <w:tcPr>
            <w:tcW w:w="1844" w:type="dxa"/>
            <w:shd w:val="clear" w:color="auto" w:fill="FFFFF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w:t>
            </w:r>
          </w:p>
        </w:tc>
        <w:tc>
          <w:tcPr>
            <w:tcW w:w="2597" w:type="dxa"/>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9.6</w:t>
            </w:r>
          </w:p>
        </w:tc>
        <w:tc>
          <w:tcPr>
            <w:tcW w:w="2557" w:type="dxa"/>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-9.5</w:t>
            </w:r>
          </w:p>
        </w:tc>
      </w:tr>
      <w:tr w:rsidR="003C2F9A">
        <w:trPr>
          <w:cantSplit/>
          <w:jc w:val="center"/>
        </w:trPr>
        <w:tc>
          <w:tcPr>
            <w:tcW w:w="1844"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~250</w:t>
            </w:r>
          </w:p>
        </w:tc>
        <w:tc>
          <w:tcPr>
            <w:tcW w:w="2597"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4.7</w:t>
            </w:r>
          </w:p>
        </w:tc>
        <w:tc>
          <w:tcPr>
            <w:tcW w:w="2557"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-5.</w:t>
            </w:r>
            <w:r w:rsidR="00FA5D38">
              <w:rPr>
                <w:rFonts w:ascii="Times New Roman" w:eastAsia="Times New Roman" w:hAnsi="Times New Roman" w:cs="Times New Roman"/>
                <w:color w:val="000000"/>
              </w:rPr>
              <w:t>6</w:t>
            </w:r>
          </w:p>
        </w:tc>
      </w:tr>
    </w:tbl>
    <w:p w:rsidR="003C2F9A" w:rsidRDefault="003C2F9A">
      <w:pPr>
        <w:pStyle w:val="BodyText"/>
      </w:pPr>
    </w:p>
    <w:p w:rsidR="003C2F9A" w:rsidRDefault="00000000">
      <w:pPr>
        <w:pStyle w:val="Heading3"/>
      </w:pPr>
      <w:bookmarkStart w:id="3" w:name="Xe124c31fd20bd465287eab276162aa027b94871"/>
      <w:bookmarkEnd w:id="2"/>
      <w:r>
        <w:t>4. Greatest gain and loss of carbon (2003-2018)</w:t>
      </w:r>
    </w:p>
    <w:p w:rsidR="003C2F9A" w:rsidRDefault="003C2F9A">
      <w:pPr>
        <w:pStyle w:val="FirstParagraph"/>
      </w:pPr>
    </w:p>
    <w:p w:rsidR="003C2F9A" w:rsidRDefault="00000000">
      <w:pPr>
        <w:pStyle w:val="BodyText"/>
      </w:pPr>
      <w:r>
        <w:t>Table 2: Greatest total gain and loss in aboveground carbon at three different scales (ca. 2.5, 25, and 250 sq. km).</w:t>
      </w:r>
    </w:p>
    <w:p w:rsidR="003C2F9A" w:rsidRDefault="003C2F9A">
      <w:pPr>
        <w:pStyle w:val="BodyText"/>
      </w:pPr>
    </w:p>
    <w:tbl>
      <w:tblPr>
        <w:tblW w:w="0" w:type="auto"/>
        <w:jc w:val="center"/>
        <w:tblLayout w:type="fixed"/>
        <w:tblLook w:val="0420" w:firstRow="1" w:lastRow="0" w:firstColumn="0" w:lastColumn="0" w:noHBand="0" w:noVBand="1"/>
      </w:tblPr>
      <w:tblGrid>
        <w:gridCol w:w="1844"/>
        <w:gridCol w:w="2397"/>
        <w:gridCol w:w="2358"/>
      </w:tblGrid>
      <w:tr w:rsidR="003C2F9A">
        <w:trPr>
          <w:cantSplit/>
          <w:tblHeader/>
          <w:jc w:val="center"/>
        </w:trPr>
        <w:tc>
          <w:tcPr>
            <w:tcW w:w="184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b/>
                <w:color w:val="000000"/>
              </w:rPr>
              <w:t>Scale (sq. km)</w:t>
            </w:r>
          </w:p>
        </w:tc>
        <w:tc>
          <w:tcPr>
            <w:tcW w:w="239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b/>
                <w:color w:val="000000"/>
              </w:rPr>
              <w:t>Gain (1x10</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xml:space="preserve"> tons C)</w:t>
            </w:r>
          </w:p>
        </w:tc>
        <w:tc>
          <w:tcPr>
            <w:tcW w:w="235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b/>
                <w:color w:val="000000"/>
              </w:rPr>
              <w:t>Loss (1x10</w:t>
            </w:r>
            <w:r>
              <w:rPr>
                <w:rFonts w:ascii="Times New Roman" w:eastAsia="Times New Roman" w:hAnsi="Times New Roman" w:cs="Times New Roman"/>
                <w:b/>
                <w:color w:val="000000"/>
                <w:vertAlign w:val="superscript"/>
              </w:rPr>
              <w:t>3</w:t>
            </w:r>
            <w:r>
              <w:rPr>
                <w:rFonts w:ascii="Times New Roman" w:eastAsia="Times New Roman" w:hAnsi="Times New Roman" w:cs="Times New Roman"/>
                <w:b/>
                <w:color w:val="000000"/>
              </w:rPr>
              <w:t xml:space="preserve"> tons C)</w:t>
            </w:r>
          </w:p>
        </w:tc>
      </w:tr>
      <w:tr w:rsidR="003C2F9A">
        <w:trPr>
          <w:cantSplit/>
          <w:jc w:val="center"/>
        </w:trPr>
        <w:tc>
          <w:tcPr>
            <w:tcW w:w="1844" w:type="dxa"/>
            <w:shd w:val="clear" w:color="auto" w:fill="EFEFE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w:t>
            </w:r>
          </w:p>
        </w:tc>
        <w:tc>
          <w:tcPr>
            <w:tcW w:w="2397" w:type="dxa"/>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26.3</w:t>
            </w:r>
          </w:p>
        </w:tc>
        <w:tc>
          <w:tcPr>
            <w:tcW w:w="2358" w:type="dxa"/>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-27.</w:t>
            </w:r>
            <w:r w:rsidR="003927F1">
              <w:rPr>
                <w:rFonts w:ascii="Times New Roman" w:eastAsia="Times New Roman" w:hAnsi="Times New Roman" w:cs="Times New Roman"/>
                <w:color w:val="000000"/>
              </w:rPr>
              <w:t>8</w:t>
            </w:r>
          </w:p>
        </w:tc>
      </w:tr>
      <w:tr w:rsidR="003C2F9A">
        <w:trPr>
          <w:cantSplit/>
          <w:jc w:val="center"/>
        </w:trPr>
        <w:tc>
          <w:tcPr>
            <w:tcW w:w="1844" w:type="dxa"/>
            <w:shd w:val="clear" w:color="auto" w:fill="FFFFF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w:t>
            </w:r>
          </w:p>
        </w:tc>
        <w:tc>
          <w:tcPr>
            <w:tcW w:w="2397" w:type="dxa"/>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244.</w:t>
            </w:r>
            <w:r w:rsidR="003927F1">
              <w:rPr>
                <w:rFonts w:ascii="Times New Roman" w:eastAsia="Times New Roman" w:hAnsi="Times New Roman" w:cs="Times New Roman"/>
                <w:color w:val="000000"/>
              </w:rPr>
              <w:t>1</w:t>
            </w:r>
          </w:p>
        </w:tc>
        <w:tc>
          <w:tcPr>
            <w:tcW w:w="2358" w:type="dxa"/>
            <w:shd w:val="clear" w:color="auto" w:fill="FFFFF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-29</w:t>
            </w:r>
            <w:r w:rsidR="003927F1">
              <w:rPr>
                <w:rFonts w:ascii="Times New Roman" w:eastAsia="Times New Roman" w:hAnsi="Times New Roman" w:cs="Times New Roman"/>
                <w:color w:val="000000"/>
              </w:rPr>
              <w:t>5</w:t>
            </w:r>
            <w:r>
              <w:rPr>
                <w:rFonts w:ascii="Times New Roman" w:eastAsia="Times New Roman" w:hAnsi="Times New Roman" w:cs="Times New Roman"/>
                <w:color w:val="000000"/>
              </w:rPr>
              <w:t>.</w:t>
            </w:r>
            <w:r w:rsidR="003927F1">
              <w:rPr>
                <w:rFonts w:ascii="Times New Roman" w:eastAsia="Times New Roman" w:hAnsi="Times New Roman" w:cs="Times New Roman"/>
                <w:color w:val="000000"/>
              </w:rPr>
              <w:t>0</w:t>
            </w:r>
          </w:p>
        </w:tc>
      </w:tr>
      <w:tr w:rsidR="003C2F9A">
        <w:trPr>
          <w:cantSplit/>
          <w:jc w:val="center"/>
        </w:trPr>
        <w:tc>
          <w:tcPr>
            <w:tcW w:w="1844"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pPr>
            <w:r>
              <w:rPr>
                <w:rFonts w:ascii="Times New Roman" w:eastAsia="Times New Roman" w:hAnsi="Times New Roman" w:cs="Times New Roman"/>
                <w:color w:val="000000"/>
              </w:rPr>
              <w:t>~250</w:t>
            </w:r>
          </w:p>
        </w:tc>
        <w:tc>
          <w:tcPr>
            <w:tcW w:w="2397"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1,501.1</w:t>
            </w:r>
          </w:p>
        </w:tc>
        <w:tc>
          <w:tcPr>
            <w:tcW w:w="2358" w:type="dxa"/>
            <w:tcBorders>
              <w:bottom w:val="single" w:sz="8" w:space="0" w:color="000000"/>
            </w:tcBorders>
            <w:shd w:val="clear" w:color="auto" w:fill="EFEFEF"/>
            <w:tcMar>
              <w:top w:w="0" w:type="dxa"/>
              <w:left w:w="0" w:type="dxa"/>
              <w:bottom w:w="0" w:type="dxa"/>
              <w:right w:w="0" w:type="dxa"/>
            </w:tcMar>
            <w:vAlign w:val="center"/>
          </w:tcPr>
          <w:p w:rsidR="003C2F9A" w:rsidRDefault="00000000">
            <w:pPr>
              <w:spacing w:before="100" w:after="100"/>
              <w:ind w:left="100" w:right="100"/>
              <w:jc w:val="right"/>
            </w:pPr>
            <w:r>
              <w:rPr>
                <w:rFonts w:ascii="Times New Roman" w:eastAsia="Times New Roman" w:hAnsi="Times New Roman" w:cs="Times New Roman"/>
                <w:color w:val="000000"/>
              </w:rPr>
              <w:t>-1,641.</w:t>
            </w:r>
            <w:r w:rsidR="003927F1">
              <w:rPr>
                <w:rFonts w:ascii="Times New Roman" w:eastAsia="Times New Roman" w:hAnsi="Times New Roman" w:cs="Times New Roman"/>
                <w:color w:val="000000"/>
              </w:rPr>
              <w:t>7</w:t>
            </w:r>
          </w:p>
        </w:tc>
      </w:tr>
    </w:tbl>
    <w:p w:rsidR="003C2F9A" w:rsidRDefault="00000000">
      <w:pPr>
        <w:pStyle w:val="BodyText"/>
      </w:pPr>
      <w:r>
        <w:t xml:space="preserve"> </w:t>
      </w:r>
    </w:p>
    <w:p w:rsidR="003C2F9A" w:rsidRDefault="00000000">
      <w:pPr>
        <w:pStyle w:val="CaptionedFigure"/>
      </w:pPr>
      <w:r>
        <w:rPr>
          <w:noProof/>
        </w:rPr>
        <w:lastRenderedPageBreak/>
        <w:drawing>
          <wp:inline distT="0" distB="0" distL="0" distR="0">
            <wp:extent cx="5943600" cy="4114800"/>
            <wp:effectExtent l="0" t="0" r="0" b="0"/>
            <wp:docPr id="30" name="Picture" descr="Figure 3: Gains and losses in aboveground carbon aggregated to three different scales (ca. 2.5, 25, and 250 sq. km)."/>
            <wp:cNvGraphicFramePr/>
            <a:graphic xmlns:a="http://schemas.openxmlformats.org/drawingml/2006/main">
              <a:graphicData uri="http://schemas.openxmlformats.org/drawingml/2006/picture">
                <pic:pic xmlns:pic="http://schemas.openxmlformats.org/drawingml/2006/picture">
                  <pic:nvPicPr>
                    <pic:cNvPr id="31" name="Picture" descr="/tmp/RtmpdZjIED/report_files/figure-docx/fig3-1.png"/>
                    <pic:cNvPicPr>
                      <a:picLocks noChangeAspect="1" noChangeArrowheads="1"/>
                    </pic:cNvPicPr>
                  </pic:nvPicPr>
                  <pic:blipFill>
                    <a:blip r:embed="rId9"/>
                    <a:stretch>
                      <a:fillRect/>
                    </a:stretch>
                  </pic:blipFill>
                  <pic:spPr bwMode="auto">
                    <a:xfrm>
                      <a:off x="0" y="0"/>
                      <a:ext cx="5943600" cy="4114800"/>
                    </a:xfrm>
                    <a:prstGeom prst="rect">
                      <a:avLst/>
                    </a:prstGeom>
                    <a:noFill/>
                    <a:ln w="9525">
                      <a:noFill/>
                      <a:headEnd/>
                      <a:tailEnd/>
                    </a:ln>
                  </pic:spPr>
                </pic:pic>
              </a:graphicData>
            </a:graphic>
          </wp:inline>
        </w:drawing>
      </w:r>
    </w:p>
    <w:p w:rsidR="003C2F9A" w:rsidRDefault="00000000">
      <w:pPr>
        <w:pStyle w:val="ImageCaption"/>
      </w:pPr>
      <w:r>
        <w:t>Figure 3: Gains and losses in aboveground carbon aggregated to three different scales (ca. 2.5, 25, and 250 sq. km).</w:t>
      </w:r>
      <w:bookmarkEnd w:id="3"/>
    </w:p>
    <w:sectPr w:rsidR="003C2F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205" w:rsidRDefault="00BC5205">
      <w:pPr>
        <w:spacing w:after="0"/>
      </w:pPr>
      <w:r>
        <w:separator/>
      </w:r>
    </w:p>
  </w:endnote>
  <w:endnote w:type="continuationSeparator" w:id="0">
    <w:p w:rsidR="00BC5205" w:rsidRDefault="00BC5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4979004"/>
      <w:docPartObj>
        <w:docPartGallery w:val="Page Numbers (Bottom of Page)"/>
        <w:docPartUnique/>
      </w:docPartObj>
    </w:sdtPr>
    <w:sdtContent>
      <w:p w:rsidR="00000000" w:rsidRDefault="00000000" w:rsidP="00BE6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0000" w:rsidRDefault="00000000" w:rsidP="00DB1D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9743715"/>
      <w:docPartObj>
        <w:docPartGallery w:val="Page Numbers (Bottom of Page)"/>
        <w:docPartUnique/>
      </w:docPartObj>
    </w:sdtPr>
    <w:sdtContent>
      <w:p w:rsidR="00000000" w:rsidRDefault="00000000" w:rsidP="00BE6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00000" w:rsidRDefault="00000000" w:rsidP="00DB1D6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205" w:rsidRDefault="00BC5205">
      <w:r>
        <w:separator/>
      </w:r>
    </w:p>
  </w:footnote>
  <w:footnote w:type="continuationSeparator" w:id="0">
    <w:p w:rsidR="00BC5205" w:rsidRDefault="00BC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EC35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B49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A8FD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E62C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458E2"/>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C40E12C"/>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D1985ADC"/>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0DFCBB92"/>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23AAA8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B8182C"/>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A990"/>
    <w:multiLevelType w:val="multilevel"/>
    <w:tmpl w:val="003095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7C728C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1B69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26422044">
    <w:abstractNumId w:val="11"/>
  </w:num>
  <w:num w:numId="2" w16cid:durableId="669909250">
    <w:abstractNumId w:val="11"/>
  </w:num>
  <w:num w:numId="3" w16cid:durableId="687945360">
    <w:abstractNumId w:val="0"/>
  </w:num>
  <w:num w:numId="4" w16cid:durableId="1869833448">
    <w:abstractNumId w:val="1"/>
  </w:num>
  <w:num w:numId="5" w16cid:durableId="1181316406">
    <w:abstractNumId w:val="2"/>
  </w:num>
  <w:num w:numId="6" w16cid:durableId="1743986354">
    <w:abstractNumId w:val="3"/>
  </w:num>
  <w:num w:numId="7" w16cid:durableId="303241168">
    <w:abstractNumId w:val="8"/>
  </w:num>
  <w:num w:numId="8" w16cid:durableId="44766105">
    <w:abstractNumId w:val="4"/>
  </w:num>
  <w:num w:numId="9" w16cid:durableId="1869949203">
    <w:abstractNumId w:val="5"/>
  </w:num>
  <w:num w:numId="10" w16cid:durableId="1550260025">
    <w:abstractNumId w:val="6"/>
  </w:num>
  <w:num w:numId="11" w16cid:durableId="1369715988">
    <w:abstractNumId w:val="7"/>
  </w:num>
  <w:num w:numId="12" w16cid:durableId="686059184">
    <w:abstractNumId w:val="9"/>
  </w:num>
  <w:num w:numId="13" w16cid:durableId="417990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9A"/>
    <w:rsid w:val="00332EC6"/>
    <w:rsid w:val="003927F1"/>
    <w:rsid w:val="003C2F9A"/>
    <w:rsid w:val="003F7796"/>
    <w:rsid w:val="00BC5205"/>
    <w:rsid w:val="00FA5D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9A89A4"/>
  <w15:docId w15:val="{47B6E739-4C6D-BC4B-AF3F-C643C0B8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879A6"/>
    <w:pPr>
      <w:keepNext/>
      <w:keepLines/>
      <w:spacing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4879A6"/>
    <w:pPr>
      <w:keepNext/>
      <w:keepLines/>
      <w:spacing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145080"/>
    <w:pPr>
      <w:keepNext/>
      <w:keepLines/>
      <w:pBdr>
        <w:bottom w:val="single" w:sz="4" w:space="1" w:color="auto"/>
      </w:pBdr>
      <w:spacing w:after="0"/>
      <w:outlineLvl w:val="2"/>
    </w:pPr>
    <w:rPr>
      <w:rFonts w:ascii="Times New Roman" w:eastAsiaTheme="majorEastAsia" w:hAnsi="Times New Roman" w:cstheme="majorBidi"/>
      <w:b/>
      <w:bCs/>
      <w:i/>
      <w:color w:val="000000" w:themeColor="text1"/>
      <w:szCs w:val="28"/>
    </w:rPr>
  </w:style>
  <w:style w:type="paragraph" w:styleId="Heading4">
    <w:name w:val="heading 4"/>
    <w:basedOn w:val="Normal"/>
    <w:next w:val="BodyText"/>
    <w:uiPriority w:val="9"/>
    <w:unhideWhenUsed/>
    <w:qFormat/>
    <w:rsid w:val="004879A6"/>
    <w:pPr>
      <w:keepNext/>
      <w:keepLines/>
      <w:spacing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4879A6"/>
    <w:pPr>
      <w:keepNext/>
      <w:keepLines/>
      <w:spacing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8F4BD9"/>
    <w:pPr>
      <w:keepNext/>
      <w:keepLines/>
      <w:spacing w:before="200" w:after="0"/>
      <w:outlineLvl w:val="5"/>
    </w:pPr>
    <w:rPr>
      <w:rFonts w:ascii="Times New Roman" w:eastAsiaTheme="majorEastAsia" w:hAnsi="Times New Roman" w:cstheme="majorBidi"/>
      <w:color w:val="000000" w:themeColor="text1"/>
    </w:rPr>
  </w:style>
  <w:style w:type="paragraph" w:styleId="Heading7">
    <w:name w:val="heading 7"/>
    <w:basedOn w:val="Normal"/>
    <w:next w:val="BodyText"/>
    <w:uiPriority w:val="9"/>
    <w:unhideWhenUsed/>
    <w:qFormat/>
    <w:rsid w:val="008F4BD9"/>
    <w:pPr>
      <w:keepNext/>
      <w:keepLines/>
      <w:spacing w:before="200" w:after="0"/>
      <w:outlineLvl w:val="6"/>
    </w:pPr>
    <w:rPr>
      <w:rFonts w:ascii="Times New Roman" w:eastAsiaTheme="majorEastAsia" w:hAnsi="Times New Roman" w:cstheme="majorBidi"/>
      <w:color w:val="000000" w:themeColor="text1"/>
    </w:rPr>
  </w:style>
  <w:style w:type="paragraph" w:styleId="Heading8">
    <w:name w:val="heading 8"/>
    <w:basedOn w:val="Normal"/>
    <w:next w:val="BodyText"/>
    <w:uiPriority w:val="9"/>
    <w:unhideWhenUsed/>
    <w:qFormat/>
    <w:rsid w:val="008F4BD9"/>
    <w:pPr>
      <w:keepNext/>
      <w:keepLines/>
      <w:spacing w:before="200" w:after="0"/>
      <w:outlineLvl w:val="7"/>
    </w:pPr>
    <w:rPr>
      <w:rFonts w:ascii="Times New Roman" w:eastAsiaTheme="majorEastAsia" w:hAnsi="Times New Roman" w:cstheme="majorBidi"/>
      <w:color w:val="000000" w:themeColor="text1"/>
    </w:rPr>
  </w:style>
  <w:style w:type="paragraph" w:styleId="Heading9">
    <w:name w:val="heading 9"/>
    <w:basedOn w:val="Normal"/>
    <w:next w:val="BodyText"/>
    <w:uiPriority w:val="9"/>
    <w:unhideWhenUsed/>
    <w:qFormat/>
    <w:rsid w:val="00CA4089"/>
    <w:pPr>
      <w:keepNext/>
      <w:keepLines/>
      <w:pageBreakBefore/>
      <w:spacing w:before="200" w:after="0"/>
      <w:outlineLvl w:val="8"/>
    </w:pPr>
    <w:rPr>
      <w:rFonts w:ascii="Times New Roman" w:eastAsiaTheme="majorEastAsia" w:hAnsi="Times New Roman"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79A6"/>
    <w:pPr>
      <w:spacing w:after="0"/>
    </w:pPr>
    <w:rPr>
      <w:rFonts w:ascii="Times New Roman" w:hAnsi="Times New Roman"/>
    </w:rPr>
  </w:style>
  <w:style w:type="paragraph" w:customStyle="1" w:styleId="FirstParagraph">
    <w:name w:val="First Paragraph"/>
    <w:basedOn w:val="BodyText"/>
    <w:next w:val="BodyText"/>
    <w:qFormat/>
    <w:rsid w:val="004879A6"/>
  </w:style>
  <w:style w:type="paragraph" w:customStyle="1" w:styleId="Compact">
    <w:name w:val="Compact"/>
    <w:basedOn w:val="BodyText"/>
    <w:qFormat/>
    <w:pPr>
      <w:spacing w:before="36" w:after="36"/>
    </w:pPr>
  </w:style>
  <w:style w:type="paragraph" w:styleId="Title">
    <w:name w:val="Title"/>
    <w:basedOn w:val="Normal"/>
    <w:next w:val="BodyText"/>
    <w:qFormat/>
    <w:rsid w:val="004879A6"/>
    <w:pPr>
      <w:keepNext/>
      <w:keepLines/>
      <w:spacing w:after="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rsid w:val="004879A6"/>
    <w:rPr>
      <w:sz w:val="30"/>
      <w:szCs w:val="30"/>
    </w:rPr>
  </w:style>
  <w:style w:type="paragraph" w:customStyle="1" w:styleId="Author">
    <w:name w:val="Author"/>
    <w:next w:val="BodyText"/>
    <w:qFormat/>
    <w:rsid w:val="00A44BC2"/>
    <w:pPr>
      <w:keepNext/>
      <w:keepLines/>
      <w:spacing w:after="0"/>
      <w:jc w:val="center"/>
    </w:pPr>
    <w:rPr>
      <w:rFonts w:ascii="Times New Roman" w:hAnsi="Times New Roman"/>
    </w:rPr>
  </w:style>
  <w:style w:type="paragraph" w:styleId="Date">
    <w:name w:val="Date"/>
    <w:next w:val="BodyText"/>
    <w:qFormat/>
    <w:rsid w:val="004879A6"/>
    <w:pPr>
      <w:keepNext/>
      <w:keepLines/>
      <w:spacing w:after="0"/>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11D24"/>
    <w:pPr>
      <w:spacing w:after="0"/>
    </w:pPr>
    <w:rPr>
      <w:rFonts w:ascii="Times New Roman" w:hAnsi="Times New Roman"/>
      <w:sz w:val="16"/>
    </w:rPr>
  </w:style>
  <w:style w:type="paragraph" w:styleId="Caption">
    <w:name w:val="caption"/>
    <w:basedOn w:val="Normal"/>
    <w:link w:val="CaptionChar"/>
    <w:rsid w:val="00F63AF8"/>
    <w:pPr>
      <w:spacing w:after="0"/>
    </w:pPr>
    <w:rPr>
      <w:rFonts w:ascii="Times New Roman" w:hAnsi="Times New Roman"/>
    </w:rPr>
  </w:style>
  <w:style w:type="paragraph" w:customStyle="1" w:styleId="TableCaption">
    <w:name w:val="Table Caption"/>
    <w:basedOn w:val="Caption"/>
    <w:rsid w:val="00527499"/>
    <w:pPr>
      <w:keepNext/>
      <w:spacing w:after="240"/>
    </w:pPr>
  </w:style>
  <w:style w:type="paragraph" w:customStyle="1" w:styleId="ImageCaption">
    <w:name w:val="Image Caption"/>
    <w:basedOn w:val="Caption"/>
    <w:rsid w:val="00F63AF8"/>
  </w:style>
  <w:style w:type="paragraph" w:customStyle="1" w:styleId="Figure">
    <w:name w:val="Figure"/>
    <w:basedOn w:val="Normal"/>
    <w:rsid w:val="00697215"/>
    <w:pPr>
      <w:spacing w:after="0"/>
      <w:jc w:val="center"/>
    </w:pPr>
  </w:style>
  <w:style w:type="paragraph" w:customStyle="1" w:styleId="CaptionedFigure">
    <w:name w:val="Captioned Figure"/>
    <w:basedOn w:val="Figure"/>
    <w:rsid w:val="00697215"/>
    <w:pPr>
      <w:keepNext/>
    </w:pPr>
    <w:rPr>
      <w:rFonts w:ascii="Times New Roman" w:hAnsi="Times New Roman"/>
    </w:rPr>
  </w:style>
  <w:style w:type="character" w:customStyle="1" w:styleId="CaptionChar">
    <w:name w:val="Caption Char"/>
    <w:basedOn w:val="DefaultParagraphFont"/>
    <w:link w:val="Caption"/>
    <w:rsid w:val="00F63AF8"/>
    <w:rPr>
      <w:rFonts w:ascii="Times New Roman" w:hAnsi="Times New Roman"/>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sid w:val="008F4BD9"/>
    <w:rPr>
      <w:rFonts w:ascii="Times New Roman" w:hAnsi="Times New Roman"/>
      <w:color w:val="4F81BD" w:themeColor="accent1"/>
    </w:rPr>
  </w:style>
  <w:style w:type="paragraph" w:styleId="TOCHeading">
    <w:name w:val="TOC Heading"/>
    <w:basedOn w:val="Heading1"/>
    <w:next w:val="BodyText"/>
    <w:uiPriority w:val="39"/>
    <w:unhideWhenUsed/>
    <w:qFormat/>
    <w:rsid w:val="008F4BD9"/>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F4BD9"/>
    <w:rPr>
      <w:color w:val="800080" w:themeColor="followedHyperlink"/>
      <w:u w:val="single"/>
    </w:rPr>
  </w:style>
  <w:style w:type="character" w:customStyle="1" w:styleId="BodyTextChar">
    <w:name w:val="Body Text Char"/>
    <w:basedOn w:val="DefaultParagraphFont"/>
    <w:link w:val="BodyText"/>
    <w:rsid w:val="004879A6"/>
    <w:rPr>
      <w:rFonts w:ascii="Times New Roman" w:hAnsi="Times New Roman"/>
    </w:rPr>
  </w:style>
  <w:style w:type="paragraph" w:styleId="Footer">
    <w:name w:val="footer"/>
    <w:basedOn w:val="Normal"/>
    <w:link w:val="FooterChar"/>
    <w:unhideWhenUsed/>
    <w:rsid w:val="00DB1D6A"/>
    <w:pPr>
      <w:tabs>
        <w:tab w:val="center" w:pos="4680"/>
        <w:tab w:val="right" w:pos="9360"/>
      </w:tabs>
      <w:spacing w:after="0"/>
    </w:pPr>
  </w:style>
  <w:style w:type="character" w:customStyle="1" w:styleId="FooterChar">
    <w:name w:val="Footer Char"/>
    <w:basedOn w:val="DefaultParagraphFont"/>
    <w:link w:val="Footer"/>
    <w:rsid w:val="00DB1D6A"/>
  </w:style>
  <w:style w:type="character" w:styleId="PageNumber">
    <w:name w:val="page number"/>
    <w:basedOn w:val="DefaultParagraphFont"/>
    <w:semiHidden/>
    <w:unhideWhenUsed/>
    <w:rsid w:val="00DB1D6A"/>
    <w:rPr>
      <w:rFonts w:ascii="Times New Roman" w:hAnsi="Times New Roman"/>
      <w:sz w:val="24"/>
    </w:rPr>
  </w:style>
  <w:style w:type="paragraph" w:styleId="Header">
    <w:name w:val="header"/>
    <w:basedOn w:val="Normal"/>
    <w:link w:val="HeaderChar"/>
    <w:unhideWhenUsed/>
    <w:rsid w:val="00DB1D6A"/>
    <w:pPr>
      <w:tabs>
        <w:tab w:val="center" w:pos="4680"/>
        <w:tab w:val="right" w:pos="9360"/>
      </w:tabs>
      <w:spacing w:after="0"/>
    </w:pPr>
  </w:style>
  <w:style w:type="character" w:customStyle="1" w:styleId="HeaderChar">
    <w:name w:val="Header Char"/>
    <w:basedOn w:val="DefaultParagraphFont"/>
    <w:link w:val="Header"/>
    <w:rsid w:val="00DB1D6A"/>
  </w:style>
  <w:style w:type="table" w:styleId="TableGrid">
    <w:name w:val="Table Grid"/>
    <w:basedOn w:val="TableNormal"/>
    <w:rsid w:val="00254E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A4089"/>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CA40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Style Template</vt:lpstr>
    </vt:vector>
  </TitlesOfParts>
  <Company>Woods Hole Research Center</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Report for Indonesia</dc:title>
  <dc:creator>Emily Sturdivant</dc:creator>
  <cp:keywords/>
  <cp:lastModifiedBy>Emily Sturdivant</cp:lastModifiedBy>
  <cp:revision>4</cp:revision>
  <dcterms:created xsi:type="dcterms:W3CDTF">2023-09-16T00:12:00Z</dcterms:created>
  <dcterms:modified xsi:type="dcterms:W3CDTF">2023-09-16T00:13:00Z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params">
    <vt:lpwstr/>
  </property>
</Properties>
</file>