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72"/>
        </w:rPr>
        <w:t>AGENT ANNOTATE</w:t>
      </w:r>
    </w:p>
    <w:p>
      <w:pPr>
        <w:jc w:val="center"/>
      </w:pPr>
      <w:r>
        <w:rPr>
          <w:rFonts w:ascii="Calibri" w:hAnsi="Calibri"/>
          <w:color w:val="666666"/>
          <w:sz w:val="36"/>
        </w:rPr>
        <w:t>Business Plan &amp; Monetization Strategy</w:t>
      </w:r>
    </w:p>
    <w:p/>
    <w:p>
      <w:pPr>
        <w:jc w:val="center"/>
      </w:pPr>
      <w:r>
        <w:rPr>
          <w:rFonts w:ascii="Calibri" w:hAnsi="Calibri"/>
          <w:color w:val="888888"/>
          <w:sz w:val="26"/>
        </w:rPr>
        <w:t>AI-Powered Clinical Trial Annotation for Antimicrobial Peptide Research</w:t>
      </w:r>
    </w:p>
    <w:p/>
    <w:p/>
    <w:p/>
    <w:p/>
    <w:p>
      <w:pPr>
        <w:jc w:val="center"/>
      </w:pPr>
      <w:r>
        <w:rPr>
          <w:rFonts w:ascii="Calibri" w:hAnsi="Calibri"/>
          <w:color w:val="1B3A5C"/>
          <w:sz w:val="28"/>
        </w:rPr>
        <w:t>Amphoraxe Inc.</w:t>
      </w:r>
    </w:p>
    <w:p>
      <w:pPr>
        <w:jc w:val="center"/>
      </w:pPr>
      <w:r>
        <w:rPr>
          <w:rFonts w:ascii="Calibri" w:hAnsi="Calibri"/>
          <w:color w:val="999999"/>
          <w:sz w:val="22"/>
        </w:rPr>
        <w:t>April 2026  | 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rFonts w:ascii="Calibri" w:hAnsi="Calibri"/>
          <w:sz w:val="24"/>
        </w:rPr>
        <w:t>1.  Executive Summary</w:t>
      </w:r>
    </w:p>
    <w:p>
      <w:pPr>
        <w:spacing w:after="40"/>
      </w:pPr>
      <w:r>
        <w:rPr>
          <w:rFonts w:ascii="Calibri" w:hAnsi="Calibri"/>
          <w:sz w:val="24"/>
        </w:rPr>
        <w:t>2.  Product Overview</w:t>
      </w:r>
    </w:p>
    <w:p>
      <w:pPr>
        <w:spacing w:after="40"/>
      </w:pPr>
      <w:r>
        <w:rPr>
          <w:rFonts w:ascii="Calibri" w:hAnsi="Calibri"/>
          <w:sz w:val="24"/>
        </w:rPr>
        <w:t>3.  Market Opportunity</w:t>
      </w:r>
    </w:p>
    <w:p>
      <w:pPr>
        <w:spacing w:after="40"/>
      </w:pPr>
      <w:r>
        <w:rPr>
          <w:rFonts w:ascii="Calibri" w:hAnsi="Calibri"/>
          <w:sz w:val="24"/>
        </w:rPr>
        <w:t>4.  Competitive Landscape</w:t>
      </w:r>
    </w:p>
    <w:p>
      <w:pPr>
        <w:spacing w:after="40"/>
      </w:pPr>
      <w:r>
        <w:rPr>
          <w:rFonts w:ascii="Calibri" w:hAnsi="Calibri"/>
          <w:sz w:val="24"/>
        </w:rPr>
        <w:t>5.  Performance Benchmarks &amp; Marketing Metrics</w:t>
      </w:r>
    </w:p>
    <w:p>
      <w:pPr>
        <w:spacing w:after="40"/>
      </w:pPr>
      <w:r>
        <w:rPr>
          <w:rFonts w:ascii="Calibri" w:hAnsi="Calibri"/>
          <w:sz w:val="24"/>
        </w:rPr>
        <w:t>6.  Monetization Pathways</w:t>
      </w:r>
    </w:p>
    <w:p>
      <w:pPr>
        <w:spacing w:after="40"/>
      </w:pPr>
      <w:r>
        <w:rPr>
          <w:rFonts w:ascii="Calibri" w:hAnsi="Calibri"/>
          <w:sz w:val="24"/>
        </w:rPr>
        <w:t>7.  Feasibility Analysis</w:t>
      </w:r>
    </w:p>
    <w:p>
      <w:pPr>
        <w:spacing w:after="40"/>
      </w:pPr>
      <w:r>
        <w:rPr>
          <w:rFonts w:ascii="Calibri" w:hAnsi="Calibri"/>
          <w:sz w:val="24"/>
        </w:rPr>
        <w:t>8.  Go-to-Market Strategy</w:t>
      </w:r>
    </w:p>
    <w:p>
      <w:pPr>
        <w:spacing w:after="40"/>
      </w:pPr>
      <w:r>
        <w:rPr>
          <w:rFonts w:ascii="Calibri" w:hAnsi="Calibri"/>
          <w:sz w:val="24"/>
        </w:rPr>
        <w:t>9.  Financial Projections</w:t>
      </w:r>
    </w:p>
    <w:p>
      <w:pPr>
        <w:spacing w:after="40"/>
      </w:pPr>
      <w:r>
        <w:rPr>
          <w:rFonts w:ascii="Calibri" w:hAnsi="Calibri"/>
          <w:sz w:val="24"/>
        </w:rPr>
        <w:t>10.  Risk Analysis &amp; Mitigation</w:t>
      </w:r>
    </w:p>
    <w:p>
      <w:pPr>
        <w:spacing w:after="40"/>
      </w:pPr>
      <w:r>
        <w:rPr>
          <w:rFonts w:ascii="Calibri" w:hAnsi="Calibri"/>
          <w:sz w:val="24"/>
        </w:rPr>
        <w:t>11.  Implementation Roadmap</w:t>
      </w:r>
    </w:p>
    <w:p>
      <w:pPr>
        <w:spacing w:after="40"/>
      </w:pPr>
      <w:r>
        <w:rPr>
          <w:rFonts w:ascii="Calibri" w:hAnsi="Calibri"/>
          <w:sz w:val="24"/>
        </w:rPr>
        <w:t>12.  Appendix: Technical Architecture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Agent Annotate is a multi-agent AI system that produces publication-grade structured annotations for clinical trials in the antimicrobial peptide (AMP) domain. It replaces a process that costs $200–400 per trial with human annotators and takes weeks, delivering equivalent or superior results in 3–5 minutes at approximately $0.15 per trial.</w:t>
      </w:r>
    </w:p>
    <w:p>
      <w:r>
        <w:t>The system deploys 12 parallel research agents that query 17+ free biomedical databases, 5 specialized annotation agents, and a 3-model blind verification layer—all running locally via Ollama with zero external API costs. This architecture provides two structural advantages that define our market position: complete data sovereignty (nothing leaves the customer’s network) and near-zero marginal cost per trial.</w:t>
      </w:r>
    </w:p>
    <w:p>
      <w:pPr>
        <w:pStyle w:val="Heading3"/>
      </w:pPr>
      <w:r>
        <w:t>Key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Agent Annotate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Human Baseline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Delta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Outcome accuracy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72.7%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55.6% inter-rater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+17.1 pp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Peptide accuracy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91.0%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86.0% inter-rater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+5.0 pp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Classification accuracy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85.3%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93.2% inter-rater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-7.9 pp*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Delivery mode accuracy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83.8%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88.9% inter-rater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-5.1 pp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Trial coverage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35–65%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+35–65 pp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Cost per trial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$0.15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$200–400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1,000–4,000x reduction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Time per trial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3–5 min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Days–weeks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~500x faster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Gross margin (SaaS)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95%+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r>
        <w:rPr>
          <w:i/>
          <w:color w:val="888888"/>
          <w:sz w:val="18"/>
        </w:rPr>
        <w:t>* 8 of 11 classification disagreements traced to human labeling errors in ground truth.</w:t>
      </w:r>
    </w:p>
    <w:p>
      <w:r>
        <w:t>This plan evaluates five monetization pathways, recommends a phased approach starting with consulting engagements, and projects $100–300K ARR within 18 months.</w:t>
      </w:r>
    </w:p>
    <w:p>
      <w:r>
        <w:br w:type="page"/>
      </w:r>
    </w:p>
    <w:p>
      <w:pPr>
        <w:pStyle w:val="Heading1"/>
      </w:pPr>
      <w:r>
        <w:t>2. Product Overview</w:t>
      </w:r>
    </w:p>
    <w:p>
      <w:pPr>
        <w:pStyle w:val="Heading2"/>
      </w:pPr>
      <w:r>
        <w:t>2.1  What It Does</w:t>
      </w:r>
    </w:p>
    <w:p>
      <w:r>
        <w:t>Agent Annotate accepts clinical trial identifiers (NCT IDs) and produces structured, citation-backed annotations across six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388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Classification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AMP / Other</w:t>
            </w:r>
          </w:p>
        </w:tc>
        <w:tc>
          <w:tcPr>
            <w:tcW w:type="dxa" w:w="3888"/>
            <w:shd w:fill="D6E4F0"/>
          </w:tcPr>
          <w:p>
            <w:r/>
            <w:r>
              <w:rPr>
                <w:rFonts w:ascii="Calibri" w:hAnsi="Calibri"/>
                <w:sz w:val="20"/>
              </w:rPr>
              <w:t>Is this an antimicrobial peptide trial?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Delivery Mode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Injection/Infusion, Oral, Topical, Other</w:t>
            </w:r>
          </w:p>
        </w:tc>
        <w:tc>
          <w:tcPr>
            <w:tcW w:type="dxa" w:w="3888"/>
            <w:shd w:fill="FFFFFF"/>
          </w:tcPr>
          <w:p>
            <w:r/>
            <w:r>
              <w:rPr>
                <w:rFonts w:ascii="Calibri" w:hAnsi="Calibri"/>
                <w:sz w:val="20"/>
              </w:rPr>
              <w:t>How is the drug administered?</w:t>
            </w:r>
          </w:p>
        </w:tc>
      </w:tr>
      <w:tr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Outcome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7 categories (Positive, Negative, Mixed, Unknown, etc.)</w:t>
            </w:r>
          </w:p>
        </w:tc>
        <w:tc>
          <w:tcPr>
            <w:tcW w:type="dxa" w:w="3888"/>
            <w:shd w:fill="D6E4F0"/>
          </w:tcPr>
          <w:p>
            <w:r/>
            <w:r>
              <w:rPr>
                <w:rFonts w:ascii="Calibri" w:hAnsi="Calibri"/>
                <w:sz w:val="20"/>
              </w:rPr>
              <w:t>What was the clinical result?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Reason for Failure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5 categories + empty</w:t>
            </w:r>
          </w:p>
        </w:tc>
        <w:tc>
          <w:tcPr>
            <w:tcW w:type="dxa" w:w="3888"/>
            <w:shd w:fill="FFFFFF"/>
          </w:tcPr>
          <w:p>
            <w:r/>
            <w:r>
              <w:rPr>
                <w:rFonts w:ascii="Calibri" w:hAnsi="Calibri"/>
                <w:sz w:val="20"/>
              </w:rPr>
              <w:t>If failed, why?</w:t>
            </w:r>
          </w:p>
        </w:tc>
      </w:tr>
      <w:tr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Peptide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True / False</w:t>
            </w:r>
          </w:p>
        </w:tc>
        <w:tc>
          <w:tcPr>
            <w:tcW w:type="dxa" w:w="3888"/>
            <w:shd w:fill="D6E4F0"/>
          </w:tcPr>
          <w:p>
            <w:r/>
            <w:r>
              <w:rPr>
                <w:rFonts w:ascii="Calibri" w:hAnsi="Calibri"/>
                <w:sz w:val="20"/>
              </w:rPr>
              <w:t>Is the intervention a peptide (2–50 AA)?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Sequence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Amino acid sequence or N/A</w:t>
            </w:r>
          </w:p>
        </w:tc>
        <w:tc>
          <w:tcPr>
            <w:tcW w:type="dxa" w:w="3888"/>
            <w:shd w:fill="FFFFFF"/>
          </w:tcPr>
          <w:p>
            <w:r/>
            <w:r>
              <w:rPr>
                <w:rFonts w:ascii="Calibri" w:hAnsi="Calibri"/>
                <w:sz w:val="20"/>
              </w:rPr>
              <w:t>What is the molecular sequence?</w:t>
            </w:r>
          </w:p>
        </w:tc>
      </w:tr>
    </w:tbl>
    <w:p/>
    <w:p>
      <w:pPr>
        <w:pStyle w:val="Heading2"/>
      </w:pPr>
      <w:r>
        <w:t>2.2  Three-Phase Pipeline</w:t>
      </w:r>
    </w:p>
    <w:p>
      <w:r>
        <w:t>Phase 1 — Research: 12 parallel agents query 17+ databases (ClinicalTrials.gov, PubMed, UniProt, DRAMP, ChEMBL, DBAASP, RCSB PDB, WHO ICTRP, OpenAlex, and others). A Clinical Protocol Agent first extracts intervention names from the trial registry, enabling downstream agents to make targeted database queries.</w:t>
      </w:r>
    </w:p>
    <w:p>
      <w:r>
        <w:t>Phase 2 — Annotation: 5 specialized agents each handle one field using a two-pass investigative design: first extract facts from all research evidence, then make a determination. Published literature explicitly overrides stale registry status fields. A deterministic pre-classifier resolves ~80% of trials without invoking the LLM.</w:t>
      </w:r>
    </w:p>
    <w:p>
      <w:r>
        <w:t>Phase 3 — Verification: 3 cognitively diverse models (conservative, evidence-strict, adversarial) independently review each annotation in a blind peer-review process. Unanimous agreement is accepted; disputes are resolved by a reconciliation agent using weighted voting.</w:t>
      </w:r>
    </w:p>
    <w:p>
      <w:pPr>
        <w:pStyle w:val="Heading2"/>
      </w:pPr>
      <w:r>
        <w:t>2.3  Architectural Differentiators</w:t>
      </w:r>
    </w:p>
    <w:p>
      <w:pPr>
        <w:pStyle w:val="ListBullet"/>
        <w:ind w:left="360"/>
      </w:pPr>
      <w:r>
        <w:rPr>
          <w:b/>
        </w:rPr>
        <w:t xml:space="preserve">Data sovereignty: </w:t>
      </w:r>
      <w:r>
        <w:t>All inference runs locally via Ollama — no data leaves the network</w:t>
      </w:r>
    </w:p>
    <w:p>
      <w:pPr>
        <w:pStyle w:val="ListBullet"/>
        <w:ind w:left="360"/>
      </w:pPr>
      <w:r>
        <w:rPr>
          <w:b/>
        </w:rPr>
        <w:t xml:space="preserve">Zero API costs: </w:t>
      </w:r>
      <w:r>
        <w:t>All 17+ databases are free-tier public APIs — no external costs</w:t>
      </w:r>
    </w:p>
    <w:p>
      <w:pPr>
        <w:pStyle w:val="ListBullet"/>
        <w:ind w:left="360"/>
      </w:pPr>
      <w:r>
        <w:rPr>
          <w:b/>
        </w:rPr>
        <w:t xml:space="preserve">Self-learning: </w:t>
      </w:r>
      <w:r>
        <w:t>EDAM (Evidence-Driven Annotation Memory) learns from corrections, building institutional knowledge across jobs</w:t>
      </w:r>
    </w:p>
    <w:p>
      <w:pPr>
        <w:pStyle w:val="ListBullet"/>
        <w:ind w:left="360"/>
      </w:pPr>
      <w:r>
        <w:rPr>
          <w:b/>
        </w:rPr>
        <w:t xml:space="preserve">Full traceability: </w:t>
      </w:r>
      <w:r>
        <w:t>Every annotation cites specific PMIDs, database records, and URLs</w:t>
      </w:r>
    </w:p>
    <w:p>
      <w:pPr>
        <w:pStyle w:val="ListBullet"/>
        <w:ind w:left="360"/>
      </w:pPr>
      <w:r>
        <w:rPr>
          <w:b/>
        </w:rPr>
        <w:t xml:space="preserve">Deterministic-first: </w:t>
      </w:r>
      <w:r>
        <w:t>Structured data extraction before LLM invocation resolves 80% of trials deterministically</w:t>
      </w:r>
    </w:p>
    <w:p>
      <w:r>
        <w:br w:type="page"/>
      </w:r>
    </w:p>
    <w:p>
      <w:pPr>
        <w:pStyle w:val="Heading1"/>
      </w:pPr>
      <w:r>
        <w:t>3. Market Opportunity</w:t>
      </w:r>
    </w:p>
    <w:p>
      <w:pPr>
        <w:pStyle w:val="Heading2"/>
      </w:pPr>
      <w:r>
        <w:t>3.1  Primary Market: AMP Clinical Trials</w:t>
      </w:r>
    </w:p>
    <w:p>
      <w:r>
        <w:t>Antimicrobial peptides represent a growing class of therapeutics driven by the global antimicrobial resistance (AMR) crisis. The WHO has identified AMR as one of the top 10 global public health threats. AMP-based therapeutics are being developed for wound healing, resistant bacterial infections, biofilm disruption, and immunomodulation.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 Indicator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316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Existing AMP-related clinical trials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5,000–10,000</w:t>
            </w:r>
          </w:p>
        </w:tc>
        <w:tc>
          <w:tcPr>
            <w:tcW w:type="dxa" w:w="3168"/>
            <w:shd w:fill="D6E4F0"/>
          </w:tcPr>
          <w:p>
            <w:r/>
            <w:r>
              <w:rPr>
                <w:rFonts w:ascii="Calibri" w:hAnsi="Calibri"/>
                <w:sz w:val="20"/>
              </w:rPr>
              <w:t>ClinicalTrials.gov + intl registries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New AMP trials per year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~500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Registry analysis</w:t>
            </w:r>
          </w:p>
        </w:tc>
      </w:tr>
      <w:tr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Cost of manual annotation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$200–400/trial</w:t>
            </w:r>
          </w:p>
        </w:tc>
        <w:tc>
          <w:tcPr>
            <w:tcW w:type="dxa" w:w="3168"/>
            <w:shd w:fill="D6E4F0"/>
          </w:tcPr>
          <w:p>
            <w:r/>
            <w:r>
              <w:rPr>
                <w:rFonts w:ascii="Calibri" w:hAnsi="Calibri"/>
                <w:sz w:val="20"/>
              </w:rPr>
              <w:t>Loaded annotator cost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Human annotator throughput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250–500 trials/year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Full-time equivalent</w:t>
            </w:r>
          </w:p>
        </w:tc>
      </w:tr>
      <w:tr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Human annotation coverage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35–65% of fields completed</w:t>
            </w:r>
          </w:p>
        </w:tc>
        <w:tc>
          <w:tcPr>
            <w:tcW w:type="dxa" w:w="3168"/>
            <w:shd w:fill="D6E4F0"/>
          </w:tcPr>
          <w:p>
            <w:r/>
            <w:r>
              <w:rPr>
                <w:rFonts w:ascii="Calibri" w:hAnsi="Calibri"/>
                <w:sz w:val="20"/>
              </w:rPr>
              <w:t>Ground truth analysis (R1/R2)</w:t>
            </w:r>
          </w:p>
        </w:tc>
      </w:tr>
      <w:tr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Global AMR therapeutics market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$5.4B by 2030</w:t>
            </w:r>
          </w:p>
        </w:tc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Industry reports</w:t>
            </w:r>
          </w:p>
        </w:tc>
      </w:tr>
    </w:tbl>
    <w:p/>
    <w:p>
      <w:pPr>
        <w:pStyle w:val="Heading2"/>
      </w:pPr>
      <w:r>
        <w:t>3.2  Addressable Market Sizing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TAM (Annual)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Assumptions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AMP SaaS annotation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$2.5M–20M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5,000–10,000 trials at $0.50–2.00/trial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On-premise licensing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$500K–2M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20–40 pharma/biotech orgs at $25–50K/year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Pre-annotated data products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$500K–1M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20–50 subscribers at $10–25K/year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Consulting/contract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$200K–500K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10–30 engagements at $5–20K each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Adjacent peptide markets*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$10M–50M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GLP-1, oncology peptides, neuropeptides</w:t>
            </w:r>
          </w:p>
        </w:tc>
      </w:tr>
    </w:tbl>
    <w:p/>
    <w:p>
      <w:r>
        <w:rPr>
          <w:i/>
          <w:color w:val="888888"/>
          <w:sz w:val="18"/>
        </w:rPr>
        <w:t>* Adjacent markets require pipeline adaptation but no architectural changes—the system is disease-agnostic by design.</w:t>
      </w:r>
    </w:p>
    <w:p>
      <w:pPr>
        <w:pStyle w:val="Heading2"/>
      </w:pPr>
      <w:r>
        <w:t>3.3  Target Customer Profiles</w:t>
      </w:r>
    </w:p>
    <w:p>
      <w:pPr>
        <w:pStyle w:val="ListBullet"/>
        <w:ind w:left="360"/>
      </w:pPr>
      <w:r>
        <w:rPr>
          <w:b/>
        </w:rPr>
        <w:t>Pharmaceutical companies:</w:t>
      </w:r>
      <w:r>
        <w:t xml:space="preserve"> developing AMP therapeutics who need structured competitive intelligence on the clinical trial landscape</w:t>
      </w:r>
    </w:p>
    <w:p>
      <w:pPr>
        <w:pStyle w:val="ListBullet"/>
        <w:ind w:left="360"/>
      </w:pPr>
      <w:r>
        <w:rPr>
          <w:b/>
        </w:rPr>
        <w:t>Academic research groups:</w:t>
      </w:r>
      <w:r>
        <w:t xml:space="preserve"> conducting systematic reviews and meta-analyses of antimicrobial clinical trials</w:t>
      </w:r>
    </w:p>
    <w:p>
      <w:pPr>
        <w:pStyle w:val="ListBullet"/>
        <w:ind w:left="360"/>
      </w:pPr>
      <w:r>
        <w:rPr>
          <w:b/>
        </w:rPr>
        <w:t>Contract Research Organizations (CROs):</w:t>
      </w:r>
      <w:r>
        <w:t xml:space="preserve"> aggregating trial data across multiple sponsors</w:t>
      </w:r>
    </w:p>
    <w:p>
      <w:pPr>
        <w:pStyle w:val="ListBullet"/>
        <w:ind w:left="360"/>
      </w:pPr>
      <w:r>
        <w:rPr>
          <w:b/>
        </w:rPr>
        <w:t>Regulatory consultants:</w:t>
      </w:r>
      <w:r>
        <w:t xml:space="preserve"> needing structured trial summaries for approval review dossiers</w:t>
      </w:r>
    </w:p>
    <w:p>
      <w:pPr>
        <w:pStyle w:val="ListBullet"/>
        <w:ind w:left="360"/>
      </w:pPr>
      <w:r>
        <w:rPr>
          <w:b/>
        </w:rPr>
        <w:t>Research consortia:</w:t>
      </w:r>
      <w:r>
        <w:t xml:space="preserve"> coordinating multi-institutional AMP research programs</w:t>
      </w:r>
    </w:p>
    <w:p>
      <w:r>
        <w:br w:type="page"/>
      </w:r>
    </w:p>
    <w:p>
      <w:pPr>
        <w:pStyle w:val="Heading1"/>
      </w:pPr>
      <w:r>
        <w:t>4. Competitive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Competitor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3456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Weakness</w:t>
            </w:r>
          </w:p>
        </w:tc>
      </w:tr>
      <w:tr>
        <w:tc>
          <w:tcPr>
            <w:tcW w:type="dxa" w:w="2448"/>
            <w:shd w:fill="D6E4F0"/>
          </w:tcPr>
          <w:p>
            <w:r/>
            <w:r>
              <w:rPr>
                <w:rFonts w:ascii="Calibri" w:hAnsi="Calibri"/>
                <w:sz w:val="20"/>
              </w:rPr>
              <w:t>Manual annotation</w:t>
              <w:br/>
              <w:t>(CROs, academic labs)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Human labor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$200–400/trial</w:t>
            </w:r>
          </w:p>
        </w:tc>
        <w:tc>
          <w:tcPr>
            <w:tcW w:type="dxa" w:w="3456"/>
            <w:shd w:fill="D6E4F0"/>
          </w:tcPr>
          <w:p>
            <w:r/>
            <w:r>
              <w:rPr>
                <w:rFonts w:ascii="Calibri" w:hAnsi="Calibri"/>
                <w:sz w:val="20"/>
              </w:rPr>
              <w:t>48–91% inter-rater agreement; 35–65% field coverage; weeks of delay</w:t>
            </w:r>
          </w:p>
        </w:tc>
      </w:tr>
      <w:tr>
        <w:tc>
          <w:tcPr>
            <w:tcW w:type="dxa" w:w="2448"/>
            <w:shd w:fill="FFFFFF"/>
          </w:tcPr>
          <w:p>
            <w:r/>
            <w:r>
              <w:rPr>
                <w:rFonts w:ascii="Calibri" w:hAnsi="Calibri"/>
                <w:sz w:val="20"/>
              </w:rPr>
              <w:t>TrialTrove / Cortellis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SaaS subscription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$10–50K/year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Calibri" w:hAnsi="Calibri"/>
                <w:sz w:val="20"/>
              </w:rPr>
              <w:t>Fixed schema; black-box scoring; cloud-only; no evidence citations</w:t>
            </w:r>
          </w:p>
        </w:tc>
      </w:tr>
      <w:tr>
        <w:tc>
          <w:tcPr>
            <w:tcW w:type="dxa" w:w="2448"/>
            <w:shd w:fill="D6E4F0"/>
          </w:tcPr>
          <w:p>
            <w:r/>
            <w:r>
              <w:rPr>
                <w:rFonts w:ascii="Calibri" w:hAnsi="Calibri"/>
                <w:sz w:val="20"/>
              </w:rPr>
              <w:t>Single-LLM API</w:t>
              <w:br/>
              <w:t>(GPT, Claude, Llama)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Per-token API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$0.50–5.00/trial</w:t>
            </w:r>
          </w:p>
        </w:tc>
        <w:tc>
          <w:tcPr>
            <w:tcW w:type="dxa" w:w="3456"/>
            <w:shd w:fill="D6E4F0"/>
          </w:tcPr>
          <w:p>
            <w:r/>
            <w:r>
              <w:rPr>
                <w:rFonts w:ascii="Calibri" w:hAnsi="Calibri"/>
                <w:sz w:val="20"/>
              </w:rPr>
              <w:t>No verification; hallucination risk; data leaves network; no multi-source research</w:t>
            </w:r>
          </w:p>
        </w:tc>
      </w:tr>
      <w:tr>
        <w:tc>
          <w:tcPr>
            <w:tcW w:type="dxa" w:w="2448"/>
            <w:shd w:fill="FFFFFF"/>
          </w:tcPr>
          <w:p>
            <w:r/>
            <w:r>
              <w:rPr>
                <w:rFonts w:ascii="Calibri" w:hAnsi="Calibri"/>
                <w:sz w:val="20"/>
              </w:rPr>
              <w:t>ClinicalTrials.gov</w:t>
              <w:br/>
              <w:t>(raw data)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 public data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Calibri" w:hAnsi="Calibri"/>
                <w:sz w:val="20"/>
              </w:rPr>
              <w:t>Unstructured; no annotation layer; stale status fields; no literature cross-ref</w:t>
            </w:r>
          </w:p>
        </w:tc>
      </w:tr>
    </w:tbl>
    <w:p/>
    <w:p>
      <w:pPr>
        <w:pStyle w:val="Heading2"/>
      </w:pPr>
      <w:r>
        <w:t>4.1  Agent Annotate Competitive Advantages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Advantage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Agent Annotate</w:t>
            </w:r>
          </w:p>
        </w:tc>
        <w:tc>
          <w:tcPr>
            <w:tcW w:type="dxa" w:w="3456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Nearest Competitor</w:t>
            </w:r>
          </w:p>
        </w:tc>
      </w:tr>
      <w:tr>
        <w:tc>
          <w:tcPr>
            <w:tcW w:type="dxa" w:w="2304"/>
            <w:shd w:fill="D6E4F0"/>
          </w:tcPr>
          <w:p>
            <w:r/>
            <w:r>
              <w:rPr>
                <w:rFonts w:ascii="Calibri" w:hAnsi="Calibri"/>
                <w:sz w:val="20"/>
              </w:rPr>
              <w:t>Data sovereignty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100% local inference</w:t>
            </w:r>
          </w:p>
        </w:tc>
        <w:tc>
          <w:tcPr>
            <w:tcW w:type="dxa" w:w="3456"/>
            <w:shd w:fill="D6E4F0"/>
          </w:tcPr>
          <w:p>
            <w:r/>
            <w:r>
              <w:rPr>
                <w:rFonts w:ascii="Calibri" w:hAnsi="Calibri"/>
                <w:sz w:val="20"/>
              </w:rPr>
              <w:t>Cloud API required (GPT/Claude)</w:t>
            </w:r>
          </w:p>
        </w:tc>
      </w:tr>
      <w:tr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sz w:val="20"/>
              </w:rPr>
              <w:t>External API costs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$0 (all free-tier)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Calibri" w:hAnsi="Calibri"/>
                <w:sz w:val="20"/>
              </w:rPr>
              <w:t>$0.50–5.00/trial (token costs)</w:t>
            </w:r>
          </w:p>
        </w:tc>
      </w:tr>
      <w:tr>
        <w:tc>
          <w:tcPr>
            <w:tcW w:type="dxa" w:w="2304"/>
            <w:shd w:fill="D6E4F0"/>
          </w:tcPr>
          <w:p>
            <w:r/>
            <w:r>
              <w:rPr>
                <w:rFonts w:ascii="Calibri" w:hAnsi="Calibri"/>
                <w:sz w:val="20"/>
              </w:rPr>
              <w:t>Evidence traceability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PMIDs, URLs, model ID per annotation</w:t>
            </w:r>
          </w:p>
        </w:tc>
        <w:tc>
          <w:tcPr>
            <w:tcW w:type="dxa" w:w="3456"/>
            <w:shd w:fill="D6E4F0"/>
          </w:tcPr>
          <w:p>
            <w:r/>
            <w:r>
              <w:rPr>
                <w:rFonts w:ascii="Calibri" w:hAnsi="Calibri"/>
                <w:sz w:val="20"/>
              </w:rPr>
              <w:t>None (single-LLM) or black-box (vendors)</w:t>
            </w:r>
          </w:p>
        </w:tc>
      </w:tr>
      <w:tr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sz w:val="20"/>
              </w:rPr>
              <w:t>Verification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3-model blind peer review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Calibri" w:hAnsi="Calibri"/>
                <w:sz w:val="20"/>
              </w:rPr>
              <w:t>None (single pass)</w:t>
            </w:r>
          </w:p>
        </w:tc>
      </w:tr>
      <w:tr>
        <w:tc>
          <w:tcPr>
            <w:tcW w:type="dxa" w:w="2304"/>
            <w:shd w:fill="D6E4F0"/>
          </w:tcPr>
          <w:p>
            <w:r/>
            <w:r>
              <w:rPr>
                <w:rFonts w:ascii="Calibri" w:hAnsi="Calibri"/>
                <w:sz w:val="20"/>
              </w:rPr>
              <w:t>Coverage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100% of fields, 100% of trials</w:t>
            </w:r>
          </w:p>
        </w:tc>
        <w:tc>
          <w:tcPr>
            <w:tcW w:type="dxa" w:w="3456"/>
            <w:shd w:fill="D6E4F0"/>
          </w:tcPr>
          <w:p>
            <w:r/>
            <w:r>
              <w:rPr>
                <w:rFonts w:ascii="Calibri" w:hAnsi="Calibri"/>
                <w:sz w:val="20"/>
              </w:rPr>
              <w:t>35–65% human coverage</w:t>
            </w:r>
          </w:p>
        </w:tc>
      </w:tr>
      <w:tr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sz w:val="20"/>
              </w:rPr>
              <w:t>Self-learning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EDAM improves with each job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Calibri" w:hAnsi="Calibri"/>
                <w:sz w:val="20"/>
              </w:rPr>
              <w:t>Static (retrain required)</w:t>
            </w:r>
          </w:p>
        </w:tc>
      </w:tr>
      <w:tr>
        <w:tc>
          <w:tcPr>
            <w:tcW w:type="dxa" w:w="2304"/>
            <w:shd w:fill="D6E4F0"/>
          </w:tcPr>
          <w:p>
            <w:r/>
            <w:r>
              <w:rPr>
                <w:rFonts w:ascii="Calibri" w:hAnsi="Calibri"/>
                <w:sz w:val="20"/>
              </w:rPr>
              <w:t>Deterministic bypass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80% resolved without LLM</w:t>
            </w:r>
          </w:p>
        </w:tc>
        <w:tc>
          <w:tcPr>
            <w:tcW w:type="dxa" w:w="3456"/>
            <w:shd w:fill="D6E4F0"/>
          </w:tcPr>
          <w:p>
            <w:r/>
            <w:r>
              <w:rPr>
                <w:rFonts w:ascii="Calibri" w:hAnsi="Calibri"/>
                <w:sz w:val="20"/>
              </w:rPr>
              <w:t>100% require LLM or manual</w:t>
            </w:r>
          </w:p>
        </w:tc>
      </w:tr>
      <w:tr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sz w:val="20"/>
              </w:rPr>
              <w:t>Cost per trial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$0.15 operating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Calibri" w:hAnsi="Calibri"/>
                <w:sz w:val="20"/>
              </w:rPr>
              <w:t>$200–400 (human) or $0.50–5 (API)</w:t>
            </w:r>
          </w:p>
        </w:tc>
      </w:tr>
    </w:tbl>
    <w:p/>
    <w:p>
      <w:r>
        <w:br w:type="page"/>
      </w:r>
    </w:p>
    <w:p>
      <w:pPr>
        <w:pStyle w:val="Heading1"/>
      </w:pPr>
      <w:r>
        <w:t>5. Performance Benchmarks &amp; Marketing Metrics</w:t>
      </w:r>
    </w:p>
    <w:p>
      <w:r>
        <w:t>These are the concrete, auditable metrics that underpin Agent Annotate’s market positioning. Every number is derived from controlled benchmarks against human-annotated ground truth (780 NCTs, dual-annotator design with AC₁ Gwet statistics).</w:t>
      </w:r>
    </w:p>
    <w:p>
      <w:pPr>
        <w:pStyle w:val="Heading2"/>
      </w:pPr>
      <w:r>
        <w:t>5.1  Headline Metrics for Marketing</w:t>
      </w:r>
    </w:p>
    <w:p>
      <w:r>
        <w:t>The following metrics are designed for customer-facing materials—each one is defensible, auditable, and backed by published methodology.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Claim</w:t>
            </w:r>
          </w:p>
        </w:tc>
        <w:tc>
          <w:tcPr>
            <w:tcW w:type="dxa" w:w="2304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04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Marketing Use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"More consistent than</w:t>
              <w:br/>
              <w:t>human experts"</w:t>
            </w:r>
          </w:p>
        </w:tc>
        <w:tc>
          <w:tcPr>
            <w:tcW w:type="dxa" w:w="2304"/>
            <w:shd w:fill="D6E4F0"/>
          </w:tcPr>
          <w:p>
            <w:r/>
            <w:r>
              <w:rPr>
                <w:rFonts w:ascii="Calibri" w:hAnsi="Calibri"/>
                <w:sz w:val="20"/>
              </w:rPr>
              <w:t>72.7% Outcome accuracy</w:t>
              <w:br/>
              <w:t>vs 55.6% human baseline</w:t>
            </w:r>
          </w:p>
        </w:tc>
        <w:tc>
          <w:tcPr>
            <w:tcW w:type="dxa" w:w="2304"/>
            <w:shd w:fill="D6E4F0"/>
          </w:tcPr>
          <w:p>
            <w:r/>
            <w:r>
              <w:rPr>
                <w:rFonts w:ascii="Calibri" w:hAnsi="Calibri"/>
                <w:sz w:val="20"/>
              </w:rPr>
              <w:t>v32 benchmark, 100 NCTs,</w:t>
              <w:br/>
              <w:t>AC₁ = 0.587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Headline stat for all</w:t>
              <w:br/>
              <w:t>marketing materials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"91% peptide</w:t>
              <w:br/>
              <w:t>identification"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sz w:val="20"/>
              </w:rPr>
              <w:t>91.0% accuracy,</w:t>
              <w:br/>
              <w:t>AC₁ = 0.885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sz w:val="20"/>
              </w:rPr>
              <w:t>v32 benchmark,</w:t>
              <w:br/>
              <w:t>+5pp above human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Technical credibility</w:t>
              <w:br/>
              <w:t>with researchers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"1,000x cheaper than</w:t>
              <w:br/>
              <w:t>manual annotation"</w:t>
            </w:r>
          </w:p>
        </w:tc>
        <w:tc>
          <w:tcPr>
            <w:tcW w:type="dxa" w:w="2304"/>
            <w:shd w:fill="D6E4F0"/>
          </w:tcPr>
          <w:p>
            <w:r/>
            <w:r>
              <w:rPr>
                <w:rFonts w:ascii="Calibri" w:hAnsi="Calibri"/>
                <w:sz w:val="20"/>
              </w:rPr>
              <w:t>$0.15/trial vs</w:t>
              <w:br/>
              <w:t>$200–400 human</w:t>
            </w:r>
          </w:p>
        </w:tc>
        <w:tc>
          <w:tcPr>
            <w:tcW w:type="dxa" w:w="2304"/>
            <w:shd w:fill="D6E4F0"/>
          </w:tcPr>
          <w:p>
            <w:r/>
            <w:r>
              <w:rPr>
                <w:rFonts w:ascii="Calibri" w:hAnsi="Calibri"/>
                <w:sz w:val="20"/>
              </w:rPr>
              <w:t>Infrastructure cost</w:t>
              <w:br/>
              <w:t>analysis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ROI justification</w:t>
              <w:br/>
              <w:t>for procurement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"100% trial coverage"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sz w:val="20"/>
              </w:rPr>
              <w:t>All fields, all trials</w:t>
              <w:br/>
              <w:t>vs 35–65% human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sz w:val="20"/>
              </w:rPr>
              <w:t>Ground truth R1/R2</w:t>
              <w:br/>
              <w:t>coverage analysis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Completeness pitch</w:t>
              <w:br/>
              <w:t>for systematic reviews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"Every annotation</w:t>
              <w:br/>
              <w:t>cites its sources"</w:t>
            </w:r>
          </w:p>
        </w:tc>
        <w:tc>
          <w:tcPr>
            <w:tcW w:type="dxa" w:w="2304"/>
            <w:shd w:fill="D6E4F0"/>
          </w:tcPr>
          <w:p>
            <w:r/>
            <w:r>
              <w:rPr>
                <w:rFonts w:ascii="Calibri" w:hAnsi="Calibri"/>
                <w:sz w:val="20"/>
              </w:rPr>
              <w:t>PMIDs, URLs, database</w:t>
              <w:br/>
              <w:t>records per field</w:t>
            </w:r>
          </w:p>
        </w:tc>
        <w:tc>
          <w:tcPr>
            <w:tcW w:type="dxa" w:w="2304"/>
            <w:shd w:fill="D6E4F0"/>
          </w:tcPr>
          <w:p>
            <w:r/>
            <w:r>
              <w:rPr>
                <w:rFonts w:ascii="Calibri" w:hAnsi="Calibri"/>
                <w:sz w:val="20"/>
              </w:rPr>
              <w:t>Output format</w:t>
              <w:br/>
              <w:t>specification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Trust and transparency</w:t>
              <w:br/>
              <w:t>for pharma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"Zero cloud exposure"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sz w:val="20"/>
              </w:rPr>
              <w:t>100% local inference</w:t>
              <w:br/>
              <w:t>via Ollama</w:t>
            </w:r>
          </w:p>
        </w:tc>
        <w:tc>
          <w:tcPr>
            <w:tcW w:type="dxa" w:w="2304"/>
            <w:shd w:fill="FFFFFF"/>
          </w:tcPr>
          <w:p>
            <w:r/>
            <w:r>
              <w:rPr>
                <w:rFonts w:ascii="Calibri" w:hAnsi="Calibri"/>
                <w:sz w:val="20"/>
              </w:rPr>
              <w:t>Architecture design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Data governance pitch</w:t>
              <w:br/>
              <w:t>for enterprise</w:t>
            </w:r>
          </w:p>
        </w:tc>
      </w:tr>
    </w:tbl>
    <w:p/>
    <w:p>
      <w:pPr>
        <w:pStyle w:val="Heading2"/>
      </w:pPr>
      <w:r>
        <w:t>5.2  Per-Field Accuracy Progression</w:t>
      </w:r>
    </w:p>
    <w:p>
      <w:r>
        <w:t>Demonstrating continuous improvement builds confidence. These version-over-version gains show a system that is actively getting better: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Early (v2–v5)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Mid (v27e)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Current (v32)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Human Baseline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Classification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29.4%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82.8%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85.3%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91.6%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Approaching human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Delivery Mode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50.0%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93.1%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83.8%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68.2%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Above human*</w:t>
            </w:r>
          </w:p>
        </w:tc>
      </w:tr>
      <w:tr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Outcome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40.9%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75.9%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64.0–72.7%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55.6%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Above human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Reason for Failure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74.4%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85.5%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91.3%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Approaching human</w:t>
            </w:r>
          </w:p>
        </w:tc>
      </w:tr>
      <w:tr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Peptide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88.0%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80.0%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91.0%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48.4%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Far above human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Sequence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47.2%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52.0%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Approaching human</w:t>
            </w:r>
          </w:p>
        </w:tc>
      </w:tr>
    </w:tbl>
    <w:p/>
    <w:p>
      <w:r>
        <w:rPr>
          <w:i/>
          <w:color w:val="888888"/>
          <w:sz w:val="18"/>
        </w:rPr>
        <w:t>* Delivery mode v27e peak was on 50-NCT sample; v32 on 100-NCT sample. Variation reflects sample composition, not regression.</w:t>
      </w:r>
    </w:p>
    <w:p>
      <w:pPr>
        <w:pStyle w:val="Heading2"/>
      </w:pPr>
      <w:r>
        <w:t>5.3  Statistical Rigor</w:t>
      </w:r>
    </w:p>
    <w:p>
      <w:r>
        <w:t>All benchmarks report AC₁ (Gwet’s agreement coefficient), which is more robust to prevalence paradox than Cohen’s kappa. This matters because several annotation fields have highly skewed class distributions (e.g., 75%+ of trials are non-AMP). Reporting AC₁ alongside raw agreement rates provides defensible statistical evidence for peer review and regulatory contexts.</w:t>
      </w:r>
    </w:p>
    <w:p>
      <w:pPr>
        <w:pStyle w:val="ListBullet"/>
        <w:ind w:left="360"/>
      </w:pPr>
      <w:r>
        <w:rPr>
          <w:b/>
        </w:rPr>
        <w:t>Reported measures:</w:t>
      </w:r>
      <w:r>
        <w:t xml:space="preserve"> AC₁ (Gwet), Cohen’s kappa, raw agreement percentage</w:t>
      </w:r>
    </w:p>
    <w:p>
      <w:pPr>
        <w:pStyle w:val="ListBullet"/>
        <w:ind w:left="360"/>
      </w:pPr>
      <w:r>
        <w:rPr>
          <w:b/>
        </w:rPr>
        <w:t>95% confidence intervals:</w:t>
      </w:r>
      <w:r>
        <w:t xml:space="preserve"> Planned per Fleiss et al. 1969 formula</w:t>
      </w:r>
    </w:p>
    <w:p>
      <w:pPr>
        <w:pStyle w:val="ListBullet"/>
        <w:ind w:left="360"/>
      </w:pPr>
      <w:r>
        <w:rPr>
          <w:b/>
        </w:rPr>
        <w:t>Prevalence and bias indices:</w:t>
      </w:r>
      <w:r>
        <w:t xml:space="preserve"> Tracked per Byrt et al. 1993</w:t>
      </w:r>
    </w:p>
    <w:p>
      <w:pPr>
        <w:pStyle w:val="ListBullet"/>
        <w:ind w:left="360"/>
      </w:pPr>
      <w:r>
        <w:rPr>
          <w:b/>
        </w:rPr>
        <w:t>Ground truth design:</w:t>
      </w:r>
      <w:r>
        <w:t xml:space="preserve"> 780 NCTs with dual-annotator design (7 annotators for R1, independent R2)</w:t>
      </w:r>
    </w:p>
    <w:p>
      <w:pPr>
        <w:pStyle w:val="Heading2"/>
      </w:pPr>
      <w:r>
        <w:t>5.4  Metrics to Track for Ongoing Marketing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Current Value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12-Month Target</w:t>
            </w:r>
          </w:p>
        </w:tc>
        <w:tc>
          <w:tcPr>
            <w:tcW w:type="dxa" w:w="3024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Outcome accuracy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72.7%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80%+</w:t>
            </w:r>
          </w:p>
        </w:tc>
        <w:tc>
          <w:tcPr>
            <w:tcW w:type="dxa" w:w="3024"/>
            <w:shd w:fill="D6E4F0"/>
          </w:tcPr>
          <w:p>
            <w:r/>
            <w:r>
              <w:rPr>
                <w:rFonts w:ascii="Calibri" w:hAnsi="Calibri"/>
                <w:sz w:val="20"/>
              </w:rPr>
              <w:t>Headline metric; each +1pp is a press-worthy milestone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Trials annotated (cumulative)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~200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5,000+</w:t>
            </w:r>
          </w:p>
        </w:tc>
        <w:tc>
          <w:tcPr>
            <w:tcW w:type="dxa" w:w="3024"/>
            <w:shd w:fill="FFFFFF"/>
          </w:tcPr>
          <w:p>
            <w:r/>
            <w:r>
              <w:rPr>
                <w:rFonts w:ascii="Calibri" w:hAnsi="Calibri"/>
                <w:sz w:val="20"/>
              </w:rPr>
              <w:t>Demonstrates production scale and EDAM learning</w:t>
            </w:r>
          </w:p>
        </w:tc>
      </w:tr>
      <w:tr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Customer pilot conversions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5–10</w:t>
            </w:r>
          </w:p>
        </w:tc>
        <w:tc>
          <w:tcPr>
            <w:tcW w:type="dxa" w:w="3024"/>
            <w:shd w:fill="D6E4F0"/>
          </w:tcPr>
          <w:p>
            <w:r/>
            <w:r>
              <w:rPr>
                <w:rFonts w:ascii="Calibri" w:hAnsi="Calibri"/>
                <w:sz w:val="20"/>
              </w:rPr>
              <w:t>Validates product-market fit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Published paper citations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0 (draft ready)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3–5</w:t>
            </w:r>
          </w:p>
        </w:tc>
        <w:tc>
          <w:tcPr>
            <w:tcW w:type="dxa" w:w="3024"/>
            <w:shd w:fill="FFFFFF"/>
          </w:tcPr>
          <w:p>
            <w:r/>
            <w:r>
              <w:rPr>
                <w:rFonts w:ascii="Calibri" w:hAnsi="Calibri"/>
                <w:sz w:val="20"/>
              </w:rPr>
              <w:t>Academic credibility drives inbound</w:t>
            </w:r>
          </w:p>
        </w:tc>
      </w:tr>
      <w:tr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Time to annotate 100 trials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~8 hours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&lt;4 hours</w:t>
            </w:r>
          </w:p>
        </w:tc>
        <w:tc>
          <w:tcPr>
            <w:tcW w:type="dxa" w:w="3024"/>
            <w:shd w:fill="D6E4F0"/>
          </w:tcPr>
          <w:p>
            <w:r/>
            <w:r>
              <w:rPr>
                <w:rFonts w:ascii="Calibri" w:hAnsi="Calibri"/>
                <w:sz w:val="20"/>
              </w:rPr>
              <w:t>Speed benchmark for sales demos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EDAM corrections absorbed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~123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1,000+</w:t>
            </w:r>
          </w:p>
        </w:tc>
        <w:tc>
          <w:tcPr>
            <w:tcW w:type="dxa" w:w="3024"/>
            <w:shd w:fill="FFFFFF"/>
          </w:tcPr>
          <w:p>
            <w:r/>
            <w:r>
              <w:rPr>
                <w:rFonts w:ascii="Calibri" w:hAnsi="Calibri"/>
                <w:sz w:val="20"/>
              </w:rPr>
              <w:t>Shows system is learning and improving</w:t>
            </w:r>
          </w:p>
        </w:tc>
      </w:tr>
      <w:tr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Fields above human parity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2 (Outcome, Peptide)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4+</w:t>
            </w:r>
          </w:p>
        </w:tc>
        <w:tc>
          <w:tcPr>
            <w:tcW w:type="dxa" w:w="3024"/>
            <w:shd w:fill="D6E4F0"/>
          </w:tcPr>
          <w:p>
            <w:r/>
            <w:r>
              <w:rPr>
                <w:rFonts w:ascii="Calibri" w:hAnsi="Calibri"/>
                <w:sz w:val="20"/>
              </w:rPr>
              <w:t>Expanding "better than human" narrative</w:t>
            </w:r>
          </w:p>
        </w:tc>
      </w:tr>
    </w:tbl>
    <w:p/>
    <w:p>
      <w:r>
        <w:br w:type="page"/>
      </w:r>
    </w:p>
    <w:p>
      <w:pPr>
        <w:pStyle w:val="Heading1"/>
      </w:pPr>
      <w:r>
        <w:t>6. Monetization Pathways</w:t>
      </w:r>
    </w:p>
    <w:p>
      <w:r>
        <w:t>Five pathways are evaluated below. They are not mutually exclusive—the recommended approach (Section 8) combines multiple pathways in a phased rollout.</w:t>
      </w:r>
    </w:p>
    <w:p>
      <w:pPr>
        <w:pStyle w:val="Heading2"/>
      </w:pPr>
      <w:r>
        <w:t>6.1  Option A: SaaS — Per-Trial Pricing</w:t>
      </w:r>
    </w:p>
    <w:p>
      <w:r>
        <w:t>Hosted platform where customers submit NCT IDs via web UI or API and receive annotated results with full evidence chains.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Price / Trial</w:t>
            </w:r>
          </w:p>
        </w:tc>
        <w:tc>
          <w:tcPr>
            <w:tcW w:type="dxa" w:w="50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Includes</w:t>
            </w:r>
          </w:p>
        </w:tc>
      </w:tr>
      <w:tr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Pay-as-you-go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$2.00</w:t>
            </w:r>
          </w:p>
        </w:tc>
        <w:tc>
          <w:tcPr>
            <w:tcW w:type="dxa" w:w="5040"/>
            <w:shd w:fill="D6E4F0"/>
          </w:tcPr>
          <w:p>
            <w:r/>
            <w:r>
              <w:rPr>
                <w:rFonts w:ascii="Calibri" w:hAnsi="Calibri"/>
                <w:sz w:val="20"/>
              </w:rPr>
              <w:t>Standard CSV, 6-field annotation, evidence citations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Volume (500+/yr)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$1.00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Calibri" w:hAnsi="Calibri"/>
                <w:sz w:val="20"/>
              </w:rPr>
              <w:t>Full JSON with verification metadata, priority queue</w:t>
            </w:r>
          </w:p>
        </w:tc>
      </w:tr>
      <w:tr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Enterprise (5,000+/yr)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$0.50</w:t>
            </w:r>
          </w:p>
        </w:tc>
        <w:tc>
          <w:tcPr>
            <w:tcW w:type="dxa" w:w="5040"/>
            <w:shd w:fill="D6E4F0"/>
          </w:tcPr>
          <w:p>
            <w:r/>
            <w:r>
              <w:rPr>
                <w:rFonts w:ascii="Calibri" w:hAnsi="Calibri"/>
                <w:sz w:val="20"/>
              </w:rPr>
              <w:t>Dedicated queue, custom fields, API integration, SLA</w:t>
            </w:r>
          </w:p>
        </w:tc>
      </w:tr>
    </w:tbl>
    <w:p/>
    <w:p>
      <w:pPr>
        <w:pStyle w:val="Heading3"/>
      </w:pPr>
      <w:r>
        <w:t>Cost/Benefit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72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Revenue potential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$50–100K ARR from 10 mid-size clients at blended $1.00/trial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Gross margin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95%+ (compute cost $0.15/trial against $0.50–2.00 price)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Startup investment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$8–15K server hardware; ~$500/yr hosting infrastructure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Time to first revenue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2–3 months (after initial pilot phase)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High — near-zero marginal cost; limited by queue throughput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Key risk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Pharma data sensitivity — pattern of queried NCT IDs reveals competitive intelligence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Mitigation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Strict privacy policy; no cross-customer data; SOC 2 roadmap</w:t>
            </w:r>
          </w:p>
        </w:tc>
      </w:tr>
    </w:tbl>
    <w:p/>
    <w:p>
      <w:pPr>
        <w:ind w:left="432" w:right="432"/>
      </w:pPr>
      <w:r>
        <w:rPr>
          <w:b/>
          <w:color w:val="1B3A5C"/>
          <w:sz w:val="22"/>
        </w:rPr>
        <w:t xml:space="preserve">  FIT: </w:t>
      </w:r>
      <w:r>
        <w:rPr>
          <w:sz w:val="22"/>
        </w:rPr>
        <w:t>Lowest customer friction. Best for academic groups and small biotech who want results without running infrastructure.</w:t>
      </w:r>
    </w:p>
    <w:p>
      <w:pPr>
        <w:pStyle w:val="Heading2"/>
      </w:pPr>
      <w:r>
        <w:t>6.2  Option B: On-Premise License</w:t>
      </w:r>
    </w:p>
    <w:p>
      <w:r>
        <w:t>Customer runs Agent Annotate on their own hardware. Amphoraxe delivers software, documentation, model configurations, and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44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Includes</w:t>
            </w:r>
          </w:p>
        </w:tc>
      </w:tr>
      <w:tr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Academic</w:t>
            </w:r>
          </w:p>
        </w:tc>
        <w:tc>
          <w:tcPr>
            <w:tcW w:type="dxa" w:w="2448"/>
            <w:shd w:fill="D6E4F0"/>
          </w:tcPr>
          <w:p>
            <w:r/>
            <w:r>
              <w:rPr>
                <w:rFonts w:ascii="Calibri" w:hAnsi="Calibri"/>
                <w:sz w:val="20"/>
              </w:rPr>
              <w:t>$5,000/year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Full system, community support, quarterly updates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2448"/>
            <w:shd w:fill="FFFFFF"/>
          </w:tcPr>
          <w:p>
            <w:r/>
            <w:r>
              <w:rPr>
                <w:rFonts w:ascii="Calibri" w:hAnsi="Calibri"/>
                <w:sz w:val="20"/>
              </w:rPr>
              <w:t>$25,000/year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Full system, priority support, monthly updates, custom fields</w:t>
            </w:r>
          </w:p>
        </w:tc>
      </w:tr>
      <w:tr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Enterprise perpetual</w:t>
            </w:r>
          </w:p>
        </w:tc>
        <w:tc>
          <w:tcPr>
            <w:tcW w:type="dxa" w:w="2448"/>
            <w:shd w:fill="D6E4F0"/>
          </w:tcPr>
          <w:p>
            <w:r/>
            <w:r>
              <w:rPr>
                <w:rFonts w:ascii="Calibri" w:hAnsi="Calibri"/>
                <w:sz w:val="20"/>
              </w:rPr>
              <w:t>$75,000–150,000 one-time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Perpetual license, 1-year support, installation assistance</w:t>
            </w:r>
          </w:p>
        </w:tc>
      </w:tr>
    </w:tbl>
    <w:p/>
    <w:p>
      <w:pPr>
        <w:pStyle w:val="Heading3"/>
      </w:pPr>
      <w:r>
        <w:t>Cost/Benefit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72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Revenue potential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$125K/yr from 5 commercial licenses; $75–150K per enterprise deal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Gross margin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~100% (customer provides all hardware and compute)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Startup investment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2–4 weeks packaging, installer tooling, documentation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Time to first revenue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4–6 months (longer enterprise sales cycle)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Medium — support burden scales with customer count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Key risk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Customer environment variability; support overhead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Mitigation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Docker containerization; hardware compatibility matrix; tiered SLA</w:t>
            </w:r>
          </w:p>
        </w:tc>
      </w:tr>
    </w:tbl>
    <w:p/>
    <w:p>
      <w:pPr>
        <w:ind w:left="432" w:right="432"/>
      </w:pPr>
      <w:r>
        <w:rPr>
          <w:b/>
          <w:color w:val="1B3A5C"/>
          <w:sz w:val="22"/>
        </w:rPr>
        <w:t xml:space="preserve">  FIT: </w:t>
      </w:r>
      <w:r>
        <w:rPr>
          <w:sz w:val="22"/>
        </w:rPr>
        <w:t>Highest margin. Directly exploits Agent Annotate’s local-inference architecture as a feature, not a limitation. Best for pharma with strict data governance.</w:t>
      </w:r>
    </w:p>
    <w:p>
      <w:pPr>
        <w:pStyle w:val="Heading2"/>
      </w:pPr>
      <w:r>
        <w:t>6.3  Option C: Annotation-as-a-Service (Consulting)</w:t>
      </w:r>
    </w:p>
    <w:p>
      <w:r>
        <w:t>Amphoraxe runs annotation jobs for clients as service engagements. Client provides NCT IDs and requirements; Amphoraxe delivers a complete annotated dataset with evidence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Engagement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460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Includes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Pilot (25–50 trials)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 / $500</w:t>
            </w:r>
          </w:p>
        </w:tc>
        <w:tc>
          <w:tcPr>
            <w:tcW w:type="dxa" w:w="4608"/>
            <w:shd w:fill="D6E4F0"/>
          </w:tcPr>
          <w:p>
            <w:r/>
            <w:r>
              <w:rPr>
                <w:rFonts w:ascii="Calibri" w:hAnsi="Calibri"/>
                <w:sz w:val="20"/>
              </w:rPr>
              <w:t>Accuracy demo vs human baseline; builds trust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Systematic review (100–500)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$2,000–5,000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Calibri" w:hAnsi="Calibri"/>
                <w:sz w:val="20"/>
              </w:rPr>
              <w:t>Full annotation, evidence report, methodology section for publication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Pipeline analysis (500–2,000)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$5,000–15,000</w:t>
            </w:r>
          </w:p>
        </w:tc>
        <w:tc>
          <w:tcPr>
            <w:tcW w:type="dxa" w:w="4608"/>
            <w:shd w:fill="D6E4F0"/>
          </w:tcPr>
          <w:p>
            <w:r/>
            <w:r>
              <w:rPr>
                <w:rFonts w:ascii="Calibri" w:hAnsi="Calibri"/>
                <w:sz w:val="20"/>
              </w:rPr>
              <w:t>Competitive landscape mapping, trend analysis, structured dataset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Custom annotation schema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$10,000–25,000</w:t>
            </w:r>
          </w:p>
        </w:tc>
        <w:tc>
          <w:tcPr>
            <w:tcW w:type="dxa" w:w="4608"/>
            <w:shd w:fill="FFFFFF"/>
          </w:tcPr>
          <w:p>
            <w:r/>
            <w:r>
              <w:rPr>
                <w:rFonts w:ascii="Calibri" w:hAnsi="Calibri"/>
                <w:sz w:val="20"/>
              </w:rPr>
              <w:t>New fields, new disease area, validation against client ground truth</w:t>
            </w:r>
          </w:p>
        </w:tc>
      </w:tr>
    </w:tbl>
    <w:p/>
    <w:p>
      <w:pPr>
        <w:pStyle w:val="Heading3"/>
      </w:pPr>
      <w:r>
        <w:t>Cost/Benefit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72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Revenue potential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$65–105K/yr (10 reviews at $3.5K + 2–3 pipeline analyses + custom work)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Gross margin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80–90% (labor for QA, client communication, custom development)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Startup investment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Minimal — system already exists; need deliverable templates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Time to first revenue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1–2 months (fastest path to first dollar)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Low — labor-bound for custom work; project-based revenue is lumpy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Key risk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Doesn’t scale; revenue ceiling without transitioning clients to product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Mitigation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Use consulting as lead-gen funnel for SaaS and license upsells</w:t>
            </w:r>
          </w:p>
        </w:tc>
      </w:tr>
    </w:tbl>
    <w:p/>
    <w:p>
      <w:pPr>
        <w:ind w:left="432" w:right="432"/>
      </w:pPr>
      <w:r>
        <w:rPr>
          <w:b/>
          <w:color w:val="1B3A5C"/>
          <w:sz w:val="22"/>
        </w:rPr>
        <w:t xml:space="preserve">  FIT: </w:t>
      </w:r>
      <w:r>
        <w:rPr>
          <w:sz w:val="22"/>
        </w:rPr>
        <w:t>Fastest path to revenue and case studies. Best as a go-to-market strategy that feeds into Options A and B.</w:t>
      </w:r>
    </w:p>
    <w:p>
      <w:pPr>
        <w:pStyle w:val="Heading2"/>
      </w:pPr>
      <w:r>
        <w:t>6.4  Option D: Research Data Product</w:t>
      </w:r>
    </w:p>
    <w:p>
      <w:r>
        <w:t>Sell a continuously updated, pre-annotated database of all AMP-related clinical trials with structured annotations, evidence citations, and quarterly re-annotation as trial statuses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Includes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AMP Trial Database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$10,000–25,000/yr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All AMP trials, quarterly re-annotation, CSV/JSON, citations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Custom disease-area dataset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$15,000–40,000/yr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Pipeline adapted for oncology/endo/neuro peptide trials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API access to live database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$2,000–5,000/mo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Real-time queries, webhook notifications for new annotations</w:t>
            </w:r>
          </w:p>
        </w:tc>
      </w:tr>
    </w:tbl>
    <w:p/>
    <w:p>
      <w:pPr>
        <w:pStyle w:val="Heading3"/>
      </w:pPr>
      <w:r>
        <w:t>Cost/Benefit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72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Revenue potential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$75K+/yr from 5 database subs; +$24–60K/yr per API subscriber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Gross margin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90%+ after initial corpus annotation (incremental = new trials only)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Startup investment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2–4 weeks compute for full corpus annotation (5,000–10,000 trials)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Time to first revenue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3–5 months (annotation run + sales)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High — same dataset sold to many subscribers; minimal marginal cost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Key risk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Competes with free ClinicalTrials.gov data; must demonstrate annotation value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Mitigation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Differentiate on structured annotation layer, evidence citations, recency</w:t>
            </w:r>
          </w:p>
        </w:tc>
      </w:tr>
    </w:tbl>
    <w:p/>
    <w:p>
      <w:pPr>
        <w:ind w:left="432" w:right="432"/>
      </w:pPr>
      <w:r>
        <w:rPr>
          <w:b/>
          <w:color w:val="1B3A5C"/>
          <w:sz w:val="22"/>
        </w:rPr>
        <w:t xml:space="preserve">  FIT: </w:t>
      </w:r>
      <w:r>
        <w:rPr>
          <w:sz w:val="22"/>
        </w:rPr>
        <w:t>Strong long-term recurring revenue. Creates a proprietary data asset that appreciates over time. Best for competitive intelligence buyers.</w:t>
      </w:r>
    </w:p>
    <w:p>
      <w:pPr>
        <w:pStyle w:val="Heading2"/>
      </w:pPr>
      <w:r>
        <w:t>6.5  Option E: Open-Core / Freemium</w:t>
      </w:r>
    </w:p>
    <w:p>
      <w:r>
        <w:t>Open-source the core annotation engine. Monetize through premium features (multi-model verification, EDAM, agreement analytics), hosted service, and enterprise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50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Includes</w:t>
            </w:r>
          </w:p>
        </w:tc>
      </w:tr>
      <w:tr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Community (OSS)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5040"/>
            <w:shd w:fill="D6E4F0"/>
          </w:tcPr>
          <w:p>
            <w:r/>
            <w:r>
              <w:rPr>
                <w:rFonts w:ascii="Calibri" w:hAnsi="Calibri"/>
                <w:sz w:val="20"/>
              </w:rPr>
              <w:t>Core pipeline, single-model annotation, basic output</w:t>
            </w:r>
          </w:p>
        </w:tc>
      </w:tr>
      <w:tr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Pro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$500/month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rFonts w:ascii="Calibri" w:hAnsi="Calibri"/>
                <w:sz w:val="20"/>
              </w:rPr>
              <w:t>Multi-model verification, EDAM, premium model configs, analytics</w:t>
            </w:r>
          </w:p>
        </w:tc>
      </w:tr>
      <w:tr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Enterprise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$2,000+/month</w:t>
            </w:r>
          </w:p>
        </w:tc>
        <w:tc>
          <w:tcPr>
            <w:tcW w:type="dxa" w:w="5040"/>
            <w:shd w:fill="D6E4F0"/>
          </w:tcPr>
          <w:p>
            <w:r/>
            <w:r>
              <w:rPr>
                <w:rFonts w:ascii="Calibri" w:hAnsi="Calibri"/>
                <w:sz w:val="20"/>
              </w:rPr>
              <w:t>Custom fields, API, priority support, deployment assistance</w:t>
            </w:r>
          </w:p>
        </w:tc>
      </w:tr>
    </w:tbl>
    <w:p/>
    <w:p>
      <w:pPr>
        <w:pStyle w:val="Heading3"/>
      </w:pPr>
      <w:r>
        <w:t>Cost/Benefit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72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Revenue potential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$120K+/yr at 2% conversion from 1,000 community users; +$24K+/yr per enterprise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Gross margin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85–95% depending on hosted vs self-hosted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Startup investment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4–8 weeks to split codebase, build licensing, write public docs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Time to first revenue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6–12 months (slow community ramp)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Very high long-term — community contributes improvements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Key risk</w:t>
            </w:r>
          </w:p>
        </w:tc>
        <w:tc>
          <w:tcPr>
            <w:tcW w:type="dxa" w:w="7200"/>
            <w:shd w:fill="FFFFFF"/>
          </w:tcPr>
          <w:p>
            <w:r/>
            <w:r>
              <w:rPr>
                <w:rFonts w:ascii="Calibri" w:hAnsi="Calibri"/>
                <w:sz w:val="20"/>
              </w:rPr>
              <w:t>Gives away core technology; competitors can fork; free tier may suffice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Mitigation</w:t>
            </w:r>
          </w:p>
        </w:tc>
        <w:tc>
          <w:tcPr>
            <w:tcW w:type="dxa" w:w="7200"/>
            <w:shd w:fill="D6E4F0"/>
          </w:tcPr>
          <w:p>
            <w:r/>
            <w:r>
              <w:rPr>
                <w:rFonts w:ascii="Calibri" w:hAnsi="Calibri"/>
                <w:sz w:val="20"/>
              </w:rPr>
              <w:t>Only pursue after market position is strong (&gt;$200K ARR, published paper)</w:t>
            </w:r>
          </w:p>
        </w:tc>
      </w:tr>
    </w:tbl>
    <w:p/>
    <w:p>
      <w:pPr>
        <w:ind w:left="432" w:right="432"/>
      </w:pPr>
      <w:r>
        <w:rPr>
          <w:b/>
          <w:color w:val="1B3A5C"/>
          <w:sz w:val="22"/>
        </w:rPr>
        <w:t xml:space="preserve">  FIT: </w:t>
      </w:r>
      <w:r>
        <w:rPr>
          <w:sz w:val="22"/>
        </w:rPr>
        <w:t>Market dominance play, not a revenue play. Only viable after establishing paid customer base and academic credibility.</w:t>
      </w:r>
    </w:p>
    <w:p>
      <w:r>
        <w:br w:type="page"/>
      </w:r>
    </w:p>
    <w:p>
      <w:pPr>
        <w:pStyle w:val="Heading1"/>
      </w:pPr>
      <w:r>
        <w:t>7. Feasibility Analysis</w:t>
      </w:r>
    </w:p>
    <w:p>
      <w:r>
        <w:t>Each pathway is scored across five dimensions on a 1–5 scale (5 = most favorable).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296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A: SaaS</w:t>
            </w:r>
          </w:p>
        </w:tc>
        <w:tc>
          <w:tcPr>
            <w:tcW w:type="dxa" w:w="1296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B: License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C: Consulting</w:t>
            </w:r>
          </w:p>
        </w:tc>
        <w:tc>
          <w:tcPr>
            <w:tcW w:type="dxa" w:w="1584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D: Data Product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E: Open-Core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Time to revenue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584"/>
            <w:shd w:fill="D6E4F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Revenue ceiling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584"/>
            <w:shd w:fill="FFFFFF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Startup effort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584"/>
            <w:shd w:fill="D6E4F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Margin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584"/>
            <w:shd w:fill="FFFFFF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84"/>
            <w:shd w:fill="D6E4F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Data governance fit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584"/>
            <w:shd w:fill="FFFFFF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TOTAL (/30)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1584"/>
            <w:shd w:fill="D6E4F0"/>
          </w:tcPr>
          <w:p>
            <w:r/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</w:tr>
    </w:tbl>
    <w:p/>
    <w:p>
      <w:pPr>
        <w:pStyle w:val="Heading2"/>
      </w:pPr>
      <w:r>
        <w:t>7.1  Feasibility Verdict</w:t>
      </w:r>
    </w:p>
    <w:p>
      <w:r>
        <w:t>Options B (License) and D (Data Product) score highest overall, but Option C (Consulting) scores highest on time-to-revenue and startup effort—making it the best entry point. The recommended strategy uses C as a bridge to B and D.</w:t>
      </w:r>
    </w:p>
    <w:p>
      <w:pPr>
        <w:pStyle w:val="Heading2"/>
      </w:pPr>
      <w:r>
        <w:t>7.2  Technical Feasibility</w:t>
      </w:r>
    </w:p>
    <w:p>
      <w:pPr>
        <w:pStyle w:val="ListBullet"/>
        <w:ind w:left="360"/>
      </w:pPr>
      <w:r>
        <w:rPr>
          <w:b/>
        </w:rPr>
        <w:t xml:space="preserve">Already built: </w:t>
      </w:r>
      <w:r>
        <w:t xml:space="preserve"> Production system running on Mac Mini M4 (16GB). 32+ versions shipped with continuous accuracy improvement.</w:t>
      </w:r>
    </w:p>
    <w:p>
      <w:pPr>
        <w:pStyle w:val="ListBullet"/>
        <w:ind w:left="360"/>
      </w:pPr>
      <w:r>
        <w:rPr>
          <w:b/>
        </w:rPr>
        <w:t xml:space="preserve">Needs work: </w:t>
      </w:r>
      <w:r>
        <w:t xml:space="preserve"> Docker containerization for customer deployment; hardware compatibility testing across GPU configurations; API authentication and rate limiting for SaaS mode.</w:t>
      </w:r>
    </w:p>
    <w:p>
      <w:pPr>
        <w:pStyle w:val="ListBullet"/>
        <w:ind w:left="360"/>
      </w:pPr>
      <w:r>
        <w:rPr>
          <w:b/>
        </w:rPr>
        <w:t xml:space="preserve">No external dependencies: </w:t>
      </w:r>
      <w:r>
        <w:t xml:space="preserve"> All external data sources are free-tier public APIs. No vendor dependency. System works air-gapped with pre-cached data.</w:t>
      </w:r>
    </w:p>
    <w:p>
      <w:pPr>
        <w:pStyle w:val="Heading2"/>
      </w:pPr>
      <w:r>
        <w:t>7.3  Regulatory Feasibility</w:t>
      </w:r>
    </w:p>
    <w:p>
      <w:r>
        <w:t>Agent Annotate does not make clinical decisions—it annotates and classifies existing trial data. This positions it as a research tool, not a medical device, avoiding FDA/EMA regulatory burden. However, pharma customers will require:</w:t>
      </w:r>
    </w:p>
    <w:p>
      <w:pPr>
        <w:pStyle w:val="ListBullet"/>
        <w:ind w:left="360"/>
      </w:pPr>
      <w:r>
        <w:t>Documented validation methodology (PAPER.md provides this)</w:t>
      </w:r>
    </w:p>
    <w:p>
      <w:pPr>
        <w:pStyle w:val="ListBullet"/>
        <w:ind w:left="360"/>
      </w:pPr>
      <w:r>
        <w:t>Reproducible results (deterministic pipeline with version-pinned models)</w:t>
      </w:r>
    </w:p>
    <w:p>
      <w:pPr>
        <w:pStyle w:val="ListBullet"/>
        <w:ind w:left="360"/>
      </w:pPr>
      <w:r>
        <w:t>Audit trail (full JSON output includes model ID, agent provenance, timestamps)</w:t>
      </w:r>
    </w:p>
    <w:p>
      <w:pPr>
        <w:pStyle w:val="ListBullet"/>
        <w:ind w:left="360"/>
      </w:pPr>
      <w:r>
        <w:t>Data sovereignty assurance (local inference architecture)</w:t>
      </w:r>
    </w:p>
    <w:p>
      <w:r>
        <w:br w:type="page"/>
      </w:r>
    </w:p>
    <w:p>
      <w:pPr>
        <w:pStyle w:val="Heading1"/>
      </w:pPr>
      <w:r>
        <w:t>8. Go-to-Market Strategy</w:t>
      </w:r>
    </w:p>
    <w:p>
      <w:pPr>
        <w:pStyle w:val="Heading2"/>
      </w:pPr>
      <w:r>
        <w:t>8.1  Phase 1: Prove It (Months 1–3)</w:t>
      </w:r>
    </w:p>
    <w:p>
      <w:r>
        <w:t>Primary model: Consulting (Option 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44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Run 3–5 free pilot engagements</w:t>
              <w:br/>
              <w:t>(25–50 trials each)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AMP research groups,</w:t>
              <w:br/>
              <w:t>systematic review authors</w:t>
            </w:r>
          </w:p>
        </w:tc>
        <w:tc>
          <w:tcPr>
            <w:tcW w:type="dxa" w:w="2448"/>
            <w:shd w:fill="D6E4F0"/>
          </w:tcPr>
          <w:p>
            <w:r/>
            <w:r>
              <w:rPr>
                <w:rFonts w:ascii="Calibri" w:hAnsi="Calibri"/>
                <w:sz w:val="20"/>
              </w:rPr>
              <w:t>2–3 case studies with</w:t>
              <w:br/>
              <w:t>auditable accuracy data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$0 (existing hardware)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Publish PAPER.md to preprint</w:t>
              <w:br/>
              <w:t>server (bioRxiv/medRxiv)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Academic community</w:t>
            </w:r>
          </w:p>
        </w:tc>
        <w:tc>
          <w:tcPr>
            <w:tcW w:type="dxa" w:w="2448"/>
            <w:shd w:fill="FFFFFF"/>
          </w:tcPr>
          <w:p>
            <w:r/>
            <w:r>
              <w:rPr>
                <w:rFonts w:ascii="Calibri" w:hAnsi="Calibri"/>
                <w:sz w:val="20"/>
              </w:rPr>
              <w:t>Preprint posted;</w:t>
              <w:br/>
              <w:t>3–5 citations within 6 months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Present at 1–2 conferences</w:t>
              <w:br/>
              <w:t>(ASM Microbe, ICAAC)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Infectious disease</w:t>
              <w:br/>
              <w:t>researchers</w:t>
            </w:r>
          </w:p>
        </w:tc>
        <w:tc>
          <w:tcPr>
            <w:tcW w:type="dxa" w:w="2448"/>
            <w:shd w:fill="D6E4F0"/>
          </w:tcPr>
          <w:p>
            <w:r/>
            <w:r>
              <w:rPr>
                <w:rFonts w:ascii="Calibri" w:hAnsi="Calibri"/>
                <w:sz w:val="20"/>
              </w:rPr>
              <w:t>5–10 inbound leads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$2–5K travel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Build landing page with</w:t>
              <w:br/>
              <w:t>metrics dashboard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All prospects</w:t>
            </w:r>
          </w:p>
        </w:tc>
        <w:tc>
          <w:tcPr>
            <w:tcW w:type="dxa" w:w="2448"/>
            <w:shd w:fill="FFFFFF"/>
          </w:tcPr>
          <w:p>
            <w:r/>
            <w:r>
              <w:rPr>
                <w:rFonts w:ascii="Calibri" w:hAnsi="Calibri"/>
                <w:sz w:val="20"/>
              </w:rPr>
              <w:t>100+ unique visitors/month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$500 (domain + hosting)</w:t>
            </w:r>
          </w:p>
        </w:tc>
      </w:tr>
    </w:tbl>
    <w:p/>
    <w:p>
      <w:pPr>
        <w:ind w:left="432" w:right="432"/>
      </w:pPr>
      <w:r>
        <w:rPr>
          <w:b/>
          <w:color w:val="1B3A5C"/>
          <w:sz w:val="22"/>
        </w:rPr>
        <w:t xml:space="preserve">  PHASE 1 TARGET: </w:t>
      </w:r>
      <w:r>
        <w:rPr>
          <w:sz w:val="22"/>
        </w:rPr>
        <w:t>Revenue target: $0–10K. Primary goal is case studies and credibility, not revenue.</w:t>
      </w:r>
    </w:p>
    <w:p>
      <w:pPr>
        <w:pStyle w:val="Heading2"/>
      </w:pPr>
      <w:r>
        <w:t>8.2  Phase 2: Productize (Months 4–8)</w:t>
      </w:r>
    </w:p>
    <w:p>
      <w:r>
        <w:t>Primary models: SaaS (Option A) + Data Product (Option 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44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Launch hosted SaaS with</w:t>
              <w:br/>
              <w:t>per-trial pricing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Pilot converts +</w:t>
              <w:br/>
              <w:t>new inbound leads</w:t>
            </w:r>
          </w:p>
        </w:tc>
        <w:tc>
          <w:tcPr>
            <w:tcW w:type="dxa" w:w="2448"/>
            <w:shd w:fill="D6E4F0"/>
          </w:tcPr>
          <w:p>
            <w:r/>
            <w:r>
              <w:rPr>
                <w:rFonts w:ascii="Calibri" w:hAnsi="Calibri"/>
                <w:sz w:val="20"/>
              </w:rPr>
              <w:t>10+ paying customers;</w:t>
              <w:br/>
              <w:t>$20–50K ARR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$8–15K (server)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Begin full-corpus annotation</w:t>
              <w:br/>
              <w:t>(5,000–10,000 AMP trials)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Data product subscribers</w:t>
            </w:r>
          </w:p>
        </w:tc>
        <w:tc>
          <w:tcPr>
            <w:tcW w:type="dxa" w:w="2448"/>
            <w:shd w:fill="FFFFFF"/>
          </w:tcPr>
          <w:p>
            <w:r/>
            <w:r>
              <w:rPr>
                <w:rFonts w:ascii="Calibri" w:hAnsi="Calibri"/>
                <w:sz w:val="20"/>
              </w:rPr>
              <w:t>Complete corpus annotated;</w:t>
              <w:br/>
              <w:t>2–3 early subscribers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$500 (compute electricity)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Submit PAPER.md to</w:t>
              <w:br/>
              <w:t>peer-reviewed journal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Academic credibility</w:t>
            </w:r>
          </w:p>
        </w:tc>
        <w:tc>
          <w:tcPr>
            <w:tcW w:type="dxa" w:w="2448"/>
            <w:shd w:fill="D6E4F0"/>
          </w:tcPr>
          <w:p>
            <w:r/>
            <w:r>
              <w:rPr>
                <w:rFonts w:ascii="Calibri" w:hAnsi="Calibri"/>
                <w:sz w:val="20"/>
              </w:rPr>
              <w:t>Paper accepted; additional</w:t>
              <w:br/>
              <w:t>citations and inbound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$2–3K (publication fees)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Develop API access tier</w:t>
              <w:br/>
              <w:t>for data product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Enterprise data consumers</w:t>
            </w:r>
          </w:p>
        </w:tc>
        <w:tc>
          <w:tcPr>
            <w:tcW w:type="dxa" w:w="2448"/>
            <w:shd w:fill="FFFFFF"/>
          </w:tcPr>
          <w:p>
            <w:r/>
            <w:r>
              <w:rPr>
                <w:rFonts w:ascii="Calibri" w:hAnsi="Calibri"/>
                <w:sz w:val="20"/>
              </w:rPr>
              <w:t>API documented and</w:t>
              <w:br/>
              <w:t>functional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$2–4K (development time)</w:t>
            </w:r>
          </w:p>
        </w:tc>
      </w:tr>
    </w:tbl>
    <w:p/>
    <w:p>
      <w:pPr>
        <w:ind w:left="432" w:right="432"/>
      </w:pPr>
      <w:r>
        <w:rPr>
          <w:b/>
          <w:color w:val="1B3A5C"/>
          <w:sz w:val="22"/>
        </w:rPr>
        <w:t xml:space="preserve">  PHASE 2 TARGET: </w:t>
      </w:r>
      <w:r>
        <w:rPr>
          <w:sz w:val="22"/>
        </w:rPr>
        <w:t>Revenue target: $20–50K ARR. Transition from project-based to recurring revenue.</w:t>
      </w:r>
    </w:p>
    <w:p>
      <w:pPr>
        <w:pStyle w:val="Heading2"/>
      </w:pPr>
      <w:r>
        <w:t>8.3  Phase 3: Scale (Months 9–18)</w:t>
      </w:r>
    </w:p>
    <w:p>
      <w:r>
        <w:t>Primary models: On-Premise License (Option B) + expanded Data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44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Launch on-premise licensing</w:t>
              <w:br/>
              <w:t>with Docker packaging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Pharma companies from</w:t>
              <w:br/>
              <w:t>Phase 1–2 pipeline</w:t>
            </w:r>
          </w:p>
        </w:tc>
        <w:tc>
          <w:tcPr>
            <w:tcW w:type="dxa" w:w="2448"/>
            <w:shd w:fill="D6E4F0"/>
          </w:tcPr>
          <w:p>
            <w:r/>
            <w:r>
              <w:rPr>
                <w:rFonts w:ascii="Calibri" w:hAnsi="Calibri"/>
                <w:sz w:val="20"/>
              </w:rPr>
              <w:t>2–3 enterprise license</w:t>
              <w:br/>
              <w:t>deals closed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$5–10K (packaging,</w:t>
              <w:br/>
              <w:t>Docker, docs)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Expand pipeline to adjacent</w:t>
              <w:br/>
              <w:t>disease areas (GLP-1, oncology)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Endocrinology, oncology</w:t>
              <w:br/>
              <w:t>research groups</w:t>
            </w:r>
          </w:p>
        </w:tc>
        <w:tc>
          <w:tcPr>
            <w:tcW w:type="dxa" w:w="2448"/>
            <w:shd w:fill="FFFFFF"/>
          </w:tcPr>
          <w:p>
            <w:r/>
            <w:r>
              <w:rPr>
                <w:rFonts w:ascii="Calibri" w:hAnsi="Calibri"/>
                <w:sz w:val="20"/>
              </w:rPr>
              <w:t>1–2 new disease areas</w:t>
              <w:br/>
              <w:t>launched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$5–10K (development)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Hire first sales/BD</w:t>
              <w:br/>
              <w:t>person (part-time or contract)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Enterprise pipeline</w:t>
              <w:br/>
              <w:t>acceleration</w:t>
            </w:r>
          </w:p>
        </w:tc>
        <w:tc>
          <w:tcPr>
            <w:tcW w:type="dxa" w:w="2448"/>
            <w:shd w:fill="D6E4F0"/>
          </w:tcPr>
          <w:p>
            <w:r/>
            <w:r>
              <w:rPr>
                <w:rFonts w:ascii="Calibri" w:hAnsi="Calibri"/>
                <w:sz w:val="20"/>
              </w:rPr>
              <w:t>5+ enterprise leads</w:t>
              <w:br/>
              <w:t>in pipeline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$40–60K/yr (contract BD)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SOC 2 Type I certification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Enterprise procurement</w:t>
              <w:br/>
              <w:t>requirements</w:t>
            </w:r>
          </w:p>
        </w:tc>
        <w:tc>
          <w:tcPr>
            <w:tcW w:type="dxa" w:w="2448"/>
            <w:shd w:fill="FFFFFF"/>
          </w:tcPr>
          <w:p>
            <w:r/>
            <w:r>
              <w:rPr>
                <w:rFonts w:ascii="Calibri" w:hAnsi="Calibri"/>
                <w:sz w:val="20"/>
              </w:rPr>
              <w:t>Certification achieved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$15–25K</w:t>
            </w:r>
          </w:p>
        </w:tc>
      </w:tr>
    </w:tbl>
    <w:p/>
    <w:p>
      <w:pPr>
        <w:ind w:left="432" w:right="432"/>
      </w:pPr>
      <w:r>
        <w:rPr>
          <w:b/>
          <w:color w:val="1B3A5C"/>
          <w:sz w:val="22"/>
        </w:rPr>
        <w:t xml:space="preserve">  PHASE 3 TARGET: </w:t>
      </w:r>
      <w:r>
        <w:rPr>
          <w:sz w:val="22"/>
        </w:rPr>
        <w:t>Revenue target: $100–250K ARR. Enterprise deals drive margin expansion.</w:t>
      </w:r>
    </w:p>
    <w:p>
      <w:pPr>
        <w:pStyle w:val="Heading2"/>
      </w:pPr>
      <w:r>
        <w:t>8.4  Phase 4: Evaluate Open-Core (Month 18+)</w:t>
      </w:r>
    </w:p>
    <w:p>
      <w:r>
        <w:t>Decision criteria for pursuing Option E:</w:t>
      </w:r>
    </w:p>
    <w:p>
      <w:pPr>
        <w:pStyle w:val="ListBullet"/>
        <w:ind w:left="360"/>
      </w:pPr>
      <w:r>
        <w:t>ARR exceeds $200K (market position is defensible)</w:t>
      </w:r>
    </w:p>
    <w:p>
      <w:pPr>
        <w:pStyle w:val="ListBullet"/>
        <w:ind w:left="360"/>
      </w:pPr>
      <w:r>
        <w:t>3+ enterprise customers (paid relationships protect against free-tier cannibalization)</w:t>
      </w:r>
    </w:p>
    <w:p>
      <w:pPr>
        <w:pStyle w:val="ListBullet"/>
        <w:ind w:left="360"/>
      </w:pPr>
      <w:r>
        <w:t>Published, cited paper (academic credibility established)</w:t>
      </w:r>
    </w:p>
    <w:p>
      <w:pPr>
        <w:pStyle w:val="ListBullet"/>
        <w:ind w:left="360"/>
      </w:pPr>
      <w:r>
        <w:t>EDAM has 5,000+ experiences (learning system is a meaningful moat)</w:t>
      </w:r>
    </w:p>
    <w:p>
      <w:pPr>
        <w:pStyle w:val="Heading2"/>
      </w:pPr>
      <w:r>
        <w:t>8.5  Marketing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Tactic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Impact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Academic publishing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bioRxiv preprint + journal submission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Inbound from researchers; citation-driven awareness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$0–3K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Conference presentations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ASM Microbe, ICAAC, ECCMID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Direct access to AMP researchers and pharma R&amp;D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$2–5K each</w:t>
            </w:r>
          </w:p>
        </w:tc>
      </w:tr>
      <w:tr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LinkedIn / Twitter(X)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Weekly metrics updates, benchmark posts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Thought leadership; organic inbound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Direct outreach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Email to systematic review corresponding authors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Targeted lead generation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</w:tr>
      <w:tr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Pilot program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 25-trial pilot for qualified prospects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Conversion funnel entry point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$0 (compute)</w:t>
            </w:r>
          </w:p>
        </w:tc>
      </w:tr>
      <w:tr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SEO / content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Blog posts on AMP trial annotation challenges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Long-tail organic traffic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$0–500</w:t>
            </w:r>
          </w:p>
        </w:tc>
      </w:tr>
    </w:tbl>
    <w:p/>
    <w:p>
      <w:r>
        <w:br w:type="page"/>
      </w:r>
    </w:p>
    <w:p>
      <w:pPr>
        <w:pStyle w:val="Heading1"/>
      </w:pPr>
      <w:r>
        <w:t>9. Financial Projections</w:t>
      </w:r>
    </w:p>
    <w:p>
      <w:pPr>
        <w:pStyle w:val="Heading2"/>
      </w:pPr>
      <w:r>
        <w:t>9.1  Conservative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3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Consulting revenue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$35K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$50K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$60K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SaaS revenue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$15K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$40K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$80K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License revenue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$50K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$125K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Data product revenue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$25K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$75K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Total revenue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$50K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$165K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$340K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Operating costs*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$25K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$80K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$150K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Net income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$25K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$85K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$190K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Gross margin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52%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56%</w:t>
            </w:r>
          </w:p>
        </w:tc>
      </w:tr>
    </w:tbl>
    <w:p/>
    <w:p>
      <w:pPr>
        <w:pStyle w:val="Heading2"/>
      </w:pPr>
      <w:r>
        <w:t>9.2  Aggressive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3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Consulting revenue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$60K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$80K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$100K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SaaS revenue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$30K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$80K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$160K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License revenue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$25K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$125K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$300K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Data product revenue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$15K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$60K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$150K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Total revenue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$130K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$345K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$710K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Operating costs*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$40K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$130K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$250K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rFonts w:ascii="Calibri" w:hAnsi="Calibri"/>
                <w:sz w:val="20"/>
              </w:rPr>
              <w:t>Net income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$90K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$215K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$460K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Calibri" w:hAnsi="Calibri"/>
                <w:sz w:val="20"/>
              </w:rPr>
              <w:t>Gross margin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69%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62%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65%</w:t>
            </w:r>
          </w:p>
        </w:tc>
      </w:tr>
    </w:tbl>
    <w:p/>
    <w:p>
      <w:r>
        <w:rPr>
          <w:i/>
          <w:color w:val="888888"/>
          <w:sz w:val="18"/>
        </w:rPr>
        <w:t>* Operating costs include: server hardware amortization, electricity, conference travel, publication fees, SOC 2 certification (Year 2), and contract BD hire (Year 2+). Does not include founder salary.</w:t>
      </w:r>
    </w:p>
    <w:p>
      <w:pPr>
        <w:pStyle w:val="Heading2"/>
      </w:pPr>
      <w:r>
        <w:t>9.3  Unit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fill="D6E4F0"/>
          </w:tcPr>
          <w:p>
            <w:r/>
            <w:r>
              <w:rPr>
                <w:rFonts w:ascii="Calibri" w:hAnsi="Calibri"/>
                <w:sz w:val="20"/>
              </w:rPr>
              <w:t>Cost per trial (compute)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$0.15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Electricity only; all APIs free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SaaS price per trial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$0.50–2.00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Blended across tiers</w:t>
            </w:r>
          </w:p>
        </w:tc>
      </w:tr>
      <w:tr>
        <w:tc>
          <w:tcPr>
            <w:tcW w:type="dxa" w:w="3168"/>
            <w:shd w:fill="D6E4F0"/>
          </w:tcPr>
          <w:p>
            <w:r/>
            <w:r>
              <w:rPr>
                <w:rFonts w:ascii="Calibri" w:hAnsi="Calibri"/>
                <w:sz w:val="20"/>
              </w:rPr>
              <w:t>SaaS gross margin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92–97%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Best unit economics of any model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License cost of goods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~$0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Customer provides hardware</w:t>
            </w:r>
          </w:p>
        </w:tc>
      </w:tr>
      <w:tr>
        <w:tc>
          <w:tcPr>
            <w:tcW w:type="dxa" w:w="3168"/>
            <w:shd w:fill="D6E4F0"/>
          </w:tcPr>
          <w:p>
            <w:r/>
            <w:r>
              <w:rPr>
                <w:rFonts w:ascii="Calibri" w:hAnsi="Calibri"/>
                <w:sz w:val="20"/>
              </w:rPr>
              <w:t>License gross margin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~100%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Highest margin model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Consulting gross margin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80–90%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Limited by labor for QA/customization</w:t>
            </w:r>
          </w:p>
        </w:tc>
      </w:tr>
      <w:tr>
        <w:tc>
          <w:tcPr>
            <w:tcW w:type="dxa" w:w="3168"/>
            <w:shd w:fill="D6E4F0"/>
          </w:tcPr>
          <w:p>
            <w:r/>
            <w:r>
              <w:rPr>
                <w:rFonts w:ascii="Calibri" w:hAnsi="Calibri"/>
                <w:sz w:val="20"/>
              </w:rPr>
              <w:t>Data product marginal cost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~$0.02/trial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Only new trials after initial corpus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Customer acquisition cost (CAC)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$500–2,000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Pilot program + direct outreach</w:t>
            </w:r>
          </w:p>
        </w:tc>
      </w:tr>
      <w:tr>
        <w:tc>
          <w:tcPr>
            <w:tcW w:type="dxa" w:w="3168"/>
            <w:shd w:fill="D6E4F0"/>
          </w:tcPr>
          <w:p>
            <w:r/>
            <w:r>
              <w:rPr>
                <w:rFonts w:ascii="Calibri" w:hAnsi="Calibri"/>
                <w:sz w:val="20"/>
              </w:rPr>
              <w:t>Lifetime value (LTV) — SaaS</w:t>
            </w:r>
          </w:p>
        </w:tc>
        <w:tc>
          <w:tcPr>
            <w:tcW w:type="dxa" w:w="1872"/>
            <w:shd w:fill="D6E4F0"/>
          </w:tcPr>
          <w:p>
            <w:r/>
            <w:r>
              <w:rPr>
                <w:rFonts w:ascii="Calibri" w:hAnsi="Calibri"/>
                <w:sz w:val="20"/>
              </w:rPr>
              <w:t>$5,000–15,000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sz w:val="20"/>
              </w:rPr>
              <w:t>Assuming 2–3 year retention</w:t>
            </w:r>
          </w:p>
        </w:tc>
      </w:tr>
      <w:tr>
        <w:tc>
          <w:tcPr>
            <w:tcW w:type="dxa" w:w="3168"/>
            <w:shd w:fill="FFFFFF"/>
          </w:tcPr>
          <w:p>
            <w:r/>
            <w:r>
              <w:rPr>
                <w:rFonts w:ascii="Calibri" w:hAnsi="Calibri"/>
                <w:sz w:val="20"/>
              </w:rPr>
              <w:t>LTV:CAC ratio</w:t>
            </w:r>
          </w:p>
        </w:tc>
        <w:tc>
          <w:tcPr>
            <w:tcW w:type="dxa" w:w="1872"/>
            <w:shd w:fill="FFFFFF"/>
          </w:tcPr>
          <w:p>
            <w:r/>
            <w:r>
              <w:rPr>
                <w:rFonts w:ascii="Calibri" w:hAnsi="Calibri"/>
                <w:sz w:val="20"/>
              </w:rPr>
              <w:t>5:1 to 15:1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Calibri" w:hAnsi="Calibri"/>
                <w:sz w:val="20"/>
              </w:rPr>
              <w:t>Healthy unit economics</w:t>
            </w:r>
          </w:p>
        </w:tc>
      </w:tr>
    </w:tbl>
    <w:p/>
    <w:p>
      <w:r>
        <w:br w:type="page"/>
      </w:r>
    </w:p>
    <w:p>
      <w:pPr>
        <w:pStyle w:val="Heading1"/>
      </w:pPr>
      <w:r>
        <w:t>10. Risk Analysis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296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7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AMP market too small</w:t>
              <w:br/>
              <w:t>to sustain growth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4752"/>
            <w:shd w:fill="D6E4F0"/>
          </w:tcPr>
          <w:p>
            <w:r/>
            <w:r>
              <w:rPr>
                <w:rFonts w:ascii="Calibri" w:hAnsi="Calibri"/>
                <w:sz w:val="20"/>
              </w:rPr>
              <w:t>Expand to adjacent peptide markets (GLP-1,</w:t>
              <w:br/>
              <w:t>oncology, neuropeptides). Pipeline is</w:t>
              <w:br/>
              <w:t>disease-agnostic by design.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 LLM tools become</w:t>
              <w:br/>
              <w:t>"good enough"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4752"/>
            <w:shd w:fill="FFFFFF"/>
          </w:tcPr>
          <w:p>
            <w:r/>
            <w:r>
              <w:rPr>
                <w:rFonts w:ascii="Calibri" w:hAnsi="Calibri"/>
                <w:sz w:val="20"/>
              </w:rPr>
              <w:t>Verification layer + evidence traceability +</w:t>
              <w:br/>
              <w:t>local inference are structural advantages</w:t>
              <w:br/>
              <w:t>that single-LLM tools cannot match.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Slow customer</w:t>
              <w:br/>
              <w:t>acquisition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4752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 pilots reduce friction. Academic</w:t>
              <w:br/>
              <w:t>publishing drives inbound. Consulting</w:t>
              <w:br/>
              <w:t>model generates revenue during ramp.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Hardware requirements</w:t>
              <w:br/>
              <w:t>deter customers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4752"/>
            <w:shd w:fill="FFFFFF"/>
          </w:tcPr>
          <w:p>
            <w:r/>
            <w:r>
              <w:rPr>
                <w:rFonts w:ascii="Calibri" w:hAnsi="Calibri"/>
                <w:sz w:val="20"/>
              </w:rPr>
              <w:t>Mac Mini sufficient for dev. Cloud GPU</w:t>
              <w:br/>
              <w:t>rentals (Lambda, RunPod) for customers</w:t>
              <w:br/>
              <w:t>without hardware.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API rate limits or</w:t>
              <w:br/>
              <w:t>access changes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4752"/>
            <w:shd w:fill="D6E4F0"/>
          </w:tcPr>
          <w:p>
            <w:r/>
            <w:r>
              <w:rPr>
                <w:rFonts w:ascii="Calibri" w:hAnsi="Calibri"/>
                <w:sz w:val="20"/>
              </w:rPr>
              <w:t>17+ diversified sources. System degrades</w:t>
              <w:br/>
              <w:t>gracefully (fewer citations, not failure).</w:t>
              <w:br/>
              <w:t>All sources are public government/academic.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Competitor replicates</w:t>
              <w:br/>
              <w:t>the approach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4752"/>
            <w:shd w:fill="FFFFFF"/>
          </w:tcPr>
          <w:p>
            <w:r/>
            <w:r>
              <w:rPr>
                <w:rFonts w:ascii="Calibri" w:hAnsi="Calibri"/>
                <w:sz w:val="20"/>
              </w:rPr>
              <w:t>EDAM learning, 34+ version iterations,</w:t>
              <w:br/>
              <w:t>and integrated 17-source pipeline create</w:t>
              <w:br/>
              <w:t>significant replication cost barrier.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Accuracy plateau</w:t>
              <w:br/>
              <w:t>before human parity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4752"/>
            <w:shd w:fill="D6E4F0"/>
          </w:tcPr>
          <w:p>
            <w:r/>
            <w:r>
              <w:rPr>
                <w:rFonts w:ascii="Calibri" w:hAnsi="Calibri"/>
                <w:sz w:val="20"/>
              </w:rPr>
              <w:t>Already above human on 2 fields. EDAM</w:t>
              <w:br/>
              <w:t>and model upgrades provide continuous</w:t>
              <w:br/>
              <w:t>improvement path.</w:t>
            </w:r>
          </w:p>
        </w:tc>
      </w:tr>
    </w:tbl>
    <w:p/>
    <w:p>
      <w:r>
        <w:br w:type="page"/>
      </w:r>
    </w:p>
    <w:p>
      <w:pPr>
        <w:pStyle w:val="Heading1"/>
      </w:pPr>
      <w:r>
        <w:t>11.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Revenue Model</w:t>
            </w:r>
          </w:p>
        </w:tc>
      </w:tr>
      <w:tr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Month 1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Launch pilot program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3–5 free pilots with AMP research groups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Consulting (C)</w:t>
            </w:r>
          </w:p>
        </w:tc>
      </w:tr>
      <w:tr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Month 2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Publish preprint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PAPER.md on bioRxiv/medRxiv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Month 3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First paid engagement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Systematic review annotation contract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Consulting (C)</w:t>
            </w:r>
          </w:p>
        </w:tc>
      </w:tr>
      <w:tr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Month 4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SaaS beta launch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Hosted platform with per-trial pricing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SaaS (A)</w:t>
            </w:r>
          </w:p>
        </w:tc>
      </w:tr>
      <w:tr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Month 5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Begin corpus annotation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Start annotating 5,000–10,000 AMP trials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Data Product (D)</w:t>
            </w:r>
          </w:p>
        </w:tc>
      </w:tr>
      <w:tr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Month 6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First SaaS customers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10+ paying SaaS accounts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SaaS (A)</w:t>
            </w:r>
          </w:p>
        </w:tc>
      </w:tr>
      <w:tr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Month 8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Data product launch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AMP Trial Database available for subscription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Data Product (D)</w:t>
            </w:r>
          </w:p>
        </w:tc>
      </w:tr>
      <w:tr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Month 9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Docker packaging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On-premise deployment package ready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License (B)</w:t>
            </w:r>
          </w:p>
        </w:tc>
      </w:tr>
      <w:tr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Month 10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First license deal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Enterprise on-premise contract signed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License (B)</w:t>
            </w:r>
          </w:p>
        </w:tc>
      </w:tr>
      <w:tr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Month 12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Journal publication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Peer-reviewed paper accepted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440"/>
            <w:shd w:fill="D6E4F0"/>
          </w:tcPr>
          <w:p>
            <w:r/>
            <w:r>
              <w:rPr>
                <w:rFonts w:ascii="Calibri" w:hAnsi="Calibri"/>
                <w:sz w:val="20"/>
              </w:rPr>
              <w:t>Month 14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Disease area expansion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GLP-1 or oncology peptide pipeline launched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All models</w:t>
            </w:r>
          </w:p>
        </w:tc>
      </w:tr>
      <w:tr>
        <w:tc>
          <w:tcPr>
            <w:tcW w:type="dxa" w:w="1440"/>
            <w:shd w:fill="FFFFFF"/>
          </w:tcPr>
          <w:p>
            <w:r/>
            <w:r>
              <w:rPr>
                <w:rFonts w:ascii="Calibri" w:hAnsi="Calibri"/>
                <w:sz w:val="20"/>
              </w:rPr>
              <w:t>Month 18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Open-core evaluation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Decision on open-source strategy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Open-Core (E)</w:t>
            </w:r>
          </w:p>
        </w:tc>
      </w:tr>
    </w:tbl>
    <w:p/>
    <w:p>
      <w:r>
        <w:br w:type="page"/>
      </w:r>
    </w:p>
    <w:p>
      <w:pPr>
        <w:pStyle w:val="Heading1"/>
      </w:pPr>
      <w:r>
        <w:t>12. Appendix: Technical Architecture</w:t>
      </w:r>
    </w:p>
    <w:p>
      <w:pPr>
        <w:pStyle w:val="Heading2"/>
      </w:pPr>
      <w:r>
        <w:t>12.1  Pipeline Overview</w:t>
      </w:r>
    </w:p>
    <w:p>
      <w:r>
        <w:t>Phase 1 — Research</w:t>
        <w:br/>
        <w:t xml:space="preserve">  └ Step 1: Clinical Protocol Agent extracts intervention names from registry</w:t>
        <w:br/>
        <w:t xml:space="preserve">  └ Step 2: 11 parallel agents query databases using extracted names:</w:t>
        <w:br/>
        <w:t xml:space="preserve">      ├ Literature (PubMed, PMC, BioC, OpenAlex, CrossRef, Semantic Scholar)</w:t>
        <w:br/>
        <w:t xml:space="preserve">      ├ Peptide Identity (UniProt, DRAMP, APD)</w:t>
        <w:br/>
        <w:t xml:space="preserve">      ├ Bioactivity (DBAASP, ChEMBL)</w:t>
        <w:br/>
        <w:t xml:space="preserve">      ├ Structure (RCSB PDB, PDBe, EBI Proteins)</w:t>
        <w:br/>
        <w:t xml:space="preserve">      ├ Pharmacology (IUPHAR)</w:t>
        <w:br/>
        <w:t xml:space="preserve">      ├ Trial Registries (WHO ICTRP)</w:t>
        <w:br/>
        <w:t xml:space="preserve">      └ Web Context (DuckDuckGo)</w:t>
      </w:r>
    </w:p>
    <w:p>
      <w:r>
        <w:t>Phase 2 — Annotation</w:t>
        <w:br/>
        <w:t xml:space="preserve">  ├ Classification Agent (AMP / Other)</w:t>
        <w:br/>
        <w:t xml:space="preserve">  ├ Delivery Mode Agent (4 categories)</w:t>
        <w:br/>
        <w:t xml:space="preserve">  ├ Outcome Agent (two-pass investigation)</w:t>
        <w:br/>
        <w:t xml:space="preserve">  ├ Reason for Failure Agent</w:t>
        <w:br/>
        <w:t xml:space="preserve">  └ Peptide Agent (with sequence extraction)</w:t>
      </w:r>
    </w:p>
    <w:p>
      <w:r>
        <w:t>Phase 3 — Verification</w:t>
        <w:br/>
        <w:t xml:space="preserve">  ├ Verifier 1: Conservative (gemma2:9b)</w:t>
        <w:br/>
        <w:t xml:space="preserve">  ├ Verifier 2: Evidence-strict (qwen2.5:7b)</w:t>
        <w:br/>
        <w:t xml:space="preserve">  ├ Verifier 3: Adversarial (llama3.1:8b)</w:t>
        <w:br/>
        <w:t xml:space="preserve">  ├ Consensus check (unanimous = accept)</w:t>
        <w:br/>
        <w:t xml:space="preserve">  └ Reconciliation Agent (qwen2.5:14b, weighted voting)</w:t>
      </w:r>
    </w:p>
    <w:p>
      <w:pPr>
        <w:pStyle w:val="Heading2"/>
      </w:pPr>
      <w:r>
        <w:t>12.2  Data Sources &amp;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00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ClinicalTrials.gov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0.95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Trial protocol, status, interventions</w:t>
            </w:r>
          </w:p>
        </w:tc>
        <w:tc>
          <w:tcPr>
            <w:tcW w:type="dxa" w:w="1008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UniProt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0.95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Protein sequences, function</w:t>
            </w:r>
          </w:p>
        </w:tc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PubMed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0.90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Abstracts, MeSH terms</w:t>
            </w:r>
          </w:p>
        </w:tc>
        <w:tc>
          <w:tcPr>
            <w:tcW w:type="dxa" w:w="1008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OpenFDA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0.85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Drug labels, approval status</w:t>
            </w:r>
          </w:p>
        </w:tc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DBAASP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0.85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Antimicrobial activity, MIC data</w:t>
            </w:r>
          </w:p>
        </w:tc>
        <w:tc>
          <w:tcPr>
            <w:tcW w:type="dxa" w:w="1008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ChEMBL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0.85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Bioactivity assays, clinical phase</w:t>
            </w:r>
          </w:p>
        </w:tc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PMC / BioC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0.80–0.85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Full-text articles, entity extraction</w:t>
            </w:r>
          </w:p>
        </w:tc>
        <w:tc>
          <w:tcPr>
            <w:tcW w:type="dxa" w:w="1008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DRAMP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0.80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AMP annotations, structural class</w:t>
            </w:r>
          </w:p>
        </w:tc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RCSB PDB / PDBe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0.80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3D structure metadata</w:t>
            </w:r>
          </w:p>
        </w:tc>
        <w:tc>
          <w:tcPr>
            <w:tcW w:type="dxa" w:w="1008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EBI Proteins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0.80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Sequence, functional annotation</w:t>
            </w:r>
          </w:p>
        </w:tc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OpenAlex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250M+ academic works</w:t>
            </w:r>
          </w:p>
        </w:tc>
        <w:tc>
          <w:tcPr>
            <w:tcW w:type="dxa" w:w="1008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 (polite pool)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Semantic Scholar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TLDR summaries, related papers</w:t>
            </w:r>
          </w:p>
        </w:tc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rFonts w:ascii="Calibri" w:hAnsi="Calibri"/>
                <w:sz w:val="20"/>
              </w:rPr>
              <w:t>CrossRef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3600"/>
            <w:shd w:fill="D6E4F0"/>
          </w:tcPr>
          <w:p>
            <w:r/>
            <w:r>
              <w:rPr>
                <w:rFonts w:ascii="Calibri" w:hAnsi="Calibri"/>
                <w:sz w:val="20"/>
              </w:rPr>
              <w:t>Non-PubMed articles</w:t>
            </w:r>
          </w:p>
        </w:tc>
        <w:tc>
          <w:tcPr>
            <w:tcW w:type="dxa" w:w="1008"/>
            <w:shd w:fill="D6E4F0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Calibri" w:hAnsi="Calibri"/>
                <w:sz w:val="20"/>
              </w:rPr>
              <w:t>DuckDuckGo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Calibri" w:hAnsi="Calibri"/>
                <w:sz w:val="20"/>
              </w:rPr>
              <w:t>General web context</w:t>
            </w:r>
          </w:p>
        </w:tc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</w:tbl>
    <w:p/>
    <w:p>
      <w:pPr>
        <w:pStyle w:val="Heading2"/>
      </w:pPr>
      <w:r>
        <w:t>12.3  Hardware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Profile</w:t>
            </w:r>
          </w:p>
        </w:tc>
        <w:tc>
          <w:tcPr>
            <w:tcW w:type="dxa" w:w="100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RAM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Primary Model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Verifiers</w:t>
            </w:r>
          </w:p>
        </w:tc>
        <w:tc>
          <w:tcPr>
            <w:tcW w:type="dxa" w:w="1296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Per-Trial Time</w:t>
            </w:r>
          </w:p>
        </w:tc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Monthly Electricity</w:t>
            </w:r>
          </w:p>
        </w:tc>
      </w:tr>
      <w:tr>
        <w:tc>
          <w:tcPr>
            <w:tcW w:type="dxa" w:w="1584"/>
            <w:shd w:fill="D6E4F0"/>
          </w:tcPr>
          <w:p>
            <w:r/>
            <w:r>
              <w:rPr>
                <w:rFonts w:ascii="Calibri" w:hAnsi="Calibri"/>
                <w:sz w:val="20"/>
              </w:rPr>
              <w:t>Mac Mini (dev)</w:t>
            </w:r>
          </w:p>
        </w:tc>
        <w:tc>
          <w:tcPr>
            <w:tcW w:type="dxa" w:w="1008"/>
            <w:shd w:fill="D6E4F0"/>
          </w:tcPr>
          <w:p>
            <w:r/>
            <w:r>
              <w:rPr>
                <w:rFonts w:ascii="Calibri" w:hAnsi="Calibri"/>
                <w:sz w:val="20"/>
              </w:rPr>
              <w:t>16 GB</w:t>
            </w:r>
          </w:p>
        </w:tc>
        <w:tc>
          <w:tcPr>
            <w:tcW w:type="dxa" w:w="1728"/>
            <w:shd w:fill="D6E4F0"/>
          </w:tcPr>
          <w:p>
            <w:r/>
            <w:r>
              <w:rPr>
                <w:rFonts w:ascii="Calibri" w:hAnsi="Calibri"/>
                <w:sz w:val="20"/>
              </w:rPr>
              <w:t>llama3.1:8b</w:t>
            </w:r>
          </w:p>
        </w:tc>
        <w:tc>
          <w:tcPr>
            <w:tcW w:type="dxa" w:w="2592"/>
            <w:shd w:fill="D6E4F0"/>
          </w:tcPr>
          <w:p>
            <w:r/>
            <w:r>
              <w:rPr>
                <w:rFonts w:ascii="Calibri" w:hAnsi="Calibri"/>
                <w:sz w:val="20"/>
              </w:rPr>
              <w:t>gemma2:9b, qwen2.5:7b, llama3.1:8b</w:t>
            </w:r>
          </w:p>
        </w:tc>
        <w:tc>
          <w:tcPr>
            <w:tcW w:type="dxa" w:w="1296"/>
            <w:shd w:fill="D6E4F0"/>
          </w:tcPr>
          <w:p>
            <w:r/>
            <w:r>
              <w:rPr>
                <w:rFonts w:ascii="Calibri" w:hAnsi="Calibri"/>
                <w:sz w:val="20"/>
              </w:rPr>
              <w:t>3–5 min</w:t>
            </w:r>
          </w:p>
        </w:tc>
        <w:tc>
          <w:tcPr>
            <w:tcW w:type="dxa" w:w="1152"/>
            <w:shd w:fill="D6E4F0"/>
          </w:tcPr>
          <w:p>
            <w:r/>
            <w:r>
              <w:rPr>
                <w:rFonts w:ascii="Calibri" w:hAnsi="Calibri"/>
                <w:sz w:val="20"/>
              </w:rPr>
              <w:t>~$15</w:t>
            </w:r>
          </w:p>
        </w:tc>
      </w:tr>
      <w:tr>
        <w:tc>
          <w:tcPr>
            <w:tcW w:type="dxa" w:w="1584"/>
            <w:shd w:fill="FFFFFF"/>
          </w:tcPr>
          <w:p>
            <w:r/>
            <w:r>
              <w:rPr>
                <w:rFonts w:ascii="Calibri" w:hAnsi="Calibri"/>
                <w:sz w:val="20"/>
              </w:rPr>
              <w:t>Server (prod)</w:t>
            </w:r>
          </w:p>
        </w:tc>
        <w:tc>
          <w:tcPr>
            <w:tcW w:type="dxa" w:w="1008"/>
            <w:shd w:fill="FFFFFF"/>
          </w:tcPr>
          <w:p>
            <w:r/>
            <w:r>
              <w:rPr>
                <w:rFonts w:ascii="Calibri" w:hAnsi="Calibri"/>
                <w:sz w:val="20"/>
              </w:rPr>
              <w:t>48+ GB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Calibri" w:hAnsi="Calibri"/>
                <w:sz w:val="20"/>
              </w:rPr>
              <w:t>Kimi K2 Thinking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rFonts w:ascii="Calibri" w:hAnsi="Calibri"/>
                <w:sz w:val="20"/>
              </w:rPr>
              <w:t>Larger verifier models</w:t>
            </w:r>
          </w:p>
        </w:tc>
        <w:tc>
          <w:tcPr>
            <w:tcW w:type="dxa" w:w="1296"/>
            <w:shd w:fill="FFFFFF"/>
          </w:tcPr>
          <w:p>
            <w:r/>
            <w:r>
              <w:rPr>
                <w:rFonts w:ascii="Calibri" w:hAnsi="Calibri"/>
                <w:sz w:val="20"/>
              </w:rPr>
              <w:t>2–4 min</w:t>
            </w:r>
          </w:p>
        </w:tc>
        <w:tc>
          <w:tcPr>
            <w:tcW w:type="dxa" w:w="1152"/>
            <w:shd w:fill="FFFFFF"/>
          </w:tcPr>
          <w:p>
            <w:r/>
            <w:r>
              <w:rPr>
                <w:rFonts w:ascii="Calibri" w:hAnsi="Calibri"/>
                <w:sz w:val="20"/>
              </w:rPr>
              <w:t>~$40–80</w:t>
            </w:r>
          </w:p>
        </w:tc>
      </w:tr>
    </w:tbl>
    <w:p/>
    <w:p/>
    <w:p/>
    <w:p>
      <w:pPr>
        <w:jc w:val="center"/>
      </w:pPr>
      <w:r>
        <w:rPr>
          <w:rFonts w:ascii="Calibri" w:hAnsi="Calibri"/>
          <w:color w:val="999999"/>
          <w:sz w:val="18"/>
        </w:rPr>
        <w:t>— END OF DOCUMENT —</w:t>
        <w:br/>
        <w:br/>
        <w:t>This document is confidential and proprietary to Amphoraxe Inc.</w:t>
        <w:br/>
        <w:t>Distribution without written consent is prohibited.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