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lineRule="atLeast" w:line="780" w:before="0" w:after="480"/>
        <w:ind w:hanging="0" w:start="360" w:end="360"/>
        <w:jc w:val="start"/>
        <w:rPr>
          <w:rFonts w:ascii="sohne;Helvetica Neue;Helvetica;Arial;sans-serif" w:hAnsi="sohne;Helvetica Neue;Helvetica;Arial;sans-serif"/>
          <w:b/>
          <w:i w:val="false"/>
          <w:caps w:val="false"/>
          <w:smallCaps w:val="false"/>
          <w:color w:val="242424"/>
          <w:spacing w:val="0"/>
          <w:sz w:val="63"/>
        </w:rPr>
      </w:pPr>
      <w:bookmarkStart w:id="0" w:name="fc02"/>
      <w:bookmarkEnd w:id="0"/>
      <w:r>
        <w:rPr>
          <w:rFonts w:ascii="sohne;Helvetica Neue;Helvetica;Arial;sans-serif" w:hAnsi="sohne;Helvetica Neue;Helvetica;Arial;sans-serif"/>
          <w:b/>
          <w:i w:val="false"/>
          <w:caps w:val="false"/>
          <w:smallCaps w:val="false"/>
          <w:color w:val="242424"/>
          <w:spacing w:val="0"/>
          <w:sz w:val="63"/>
        </w:rPr>
        <w:t>Psychohistory in the Age of AI(Part 2): The Birth of a Science Through Twelve Minds</w:t>
      </w:r>
    </w:p>
    <w:p>
      <w:pPr>
        <w:pStyle w:val="BodyText"/>
        <w:widowControl/>
        <w:bidi w:val="0"/>
        <w:spacing w:before="0" w:after="0"/>
        <w:ind w:hanging="0" w:start="360" w:end="360"/>
        <w:jc w:val="start"/>
        <w:rPr>
          <w:caps w:val="false"/>
          <w:smallCaps w:val="false"/>
          <w:strike w:val="false"/>
          <w:dstrike w:val="false"/>
          <w:color w:val="000000"/>
          <w:spacing w:val="0"/>
          <w:u w:val="none"/>
          <w:effect w:val="none"/>
          <w:bdr w:val="single" w:sz="12" w:space="1" w:color="FFFFFF"/>
          <w14:textFill>
            <w14:solidFill>
              <w14:srgbClr w14:val="000000">
                <w14:alpha w14:val="20000"/>
              </w14:srgbClr>
            </w14:solidFill>
          </w14:textFill>
        </w:rPr>
      </w:pPr>
      <w:r>
        <w:rPr>
          <w:caps w:val="false"/>
          <w:smallCaps w:val="false"/>
          <w:strike w:val="false"/>
          <w:dstrike w:val="false"/>
          <w:color w:val="000000"/>
          <w:spacing w:val="0"/>
          <w:u w:val="none"/>
          <w:effect w:val="none"/>
          <w:bdr w:val="single" w:sz="12" w:space="1" w:color="FFFFFF"/>
          <w14:textFill>
            <w14:solidFill>
              <w14:srgbClr w14:val="000000">
                <w14:alpha w14:val="20000"/>
              </w14:srgbClr>
            </w14:solidFill>
          </w14:textFill>
        </w:rPr>
        <w:drawing>
          <wp:inline distT="0" distB="0" distL="0" distR="0">
            <wp:extent cx="323850" cy="323850"/>
            <wp:effectExtent l="0" t="0" r="0" b="0"/>
            <wp:docPr id="1" name="Görüntü1" title="Emin">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1" title="Emin">
                      <a:hlinkClick r:id="rId3"/>
                    </pic:cNvPr>
                    <pic:cNvPicPr>
                      <a:picLocks noChangeAspect="1" noChangeArrowheads="1"/>
                    </pic:cNvPicPr>
                  </pic:nvPicPr>
                  <pic:blipFill>
                    <a:blip r:embed="rId2"/>
                    <a:stretch>
                      <a:fillRect/>
                    </a:stretch>
                  </pic:blipFill>
                  <pic:spPr bwMode="auto">
                    <a:xfrm>
                      <a:off x="0" y="0"/>
                      <a:ext cx="323850" cy="323850"/>
                    </a:xfrm>
                    <a:prstGeom prst="rect">
                      <a:avLst/>
                    </a:prstGeom>
                    <a:noFill/>
                  </pic:spPr>
                </pic:pic>
              </a:graphicData>
            </a:graphic>
          </wp:inline>
        </w:drawing>
      </w:r>
    </w:p>
    <w:p>
      <w:pPr>
        <w:pStyle w:val="BodyText"/>
        <w:widowControl/>
        <w:bidi w:val="0"/>
        <w:spacing w:lineRule="atLeast" w:line="300" w:before="0" w:after="30"/>
        <w:ind w:hanging="0" w:start="360" w:end="360"/>
        <w:jc w:val="start"/>
        <w:rPr/>
      </w:pPr>
      <w:hyperlink r:id="rId4">
        <w:r>
          <w:rPr>
            <w:rStyle w:val="Hyperlink"/>
            <w:rFonts w:ascii="sohne;Helvetica Neue;Helvetica;Arial;sans-serif" w:hAnsi="sohne;Helvetica Neue;Helvetica;Arial;sans-serif"/>
            <w:b w:val="false"/>
            <w:i w:val="false"/>
            <w:caps w:val="false"/>
            <w:smallCaps w:val="false"/>
            <w:strike w:val="false"/>
            <w:dstrike w:val="false"/>
            <w:color w:val="242424"/>
            <w:spacing w:val="0"/>
            <w:sz w:val="21"/>
            <w:u w:val="none"/>
            <w:effect w:val="none"/>
          </w:rPr>
          <w:t>Emin</w:t>
        </w:r>
      </w:hyperlink>
    </w:p>
    <w:p>
      <w:pPr>
        <w:pStyle w:val="BodyText"/>
        <w:widowControl/>
        <w:bidi w:val="0"/>
        <w:spacing w:lineRule="atLeast" w:line="300" w:before="0" w:after="0"/>
        <w:ind w:hanging="0" w:start="360" w:end="360"/>
        <w:jc w:val="start"/>
        <w:rPr>
          <w:rFonts w:ascii="sohne;Helvetica Neue;Helvetica;Arial;sans-serif" w:hAnsi="sohne;Helvetica Neue;Helvetica;Arial;sans-serif"/>
          <w:b w:val="false"/>
          <w:i w:val="false"/>
          <w:caps w:val="false"/>
          <w:smallCaps w:val="false"/>
          <w:color w:val="6B6B6B"/>
          <w:spacing w:val="0"/>
          <w:sz w:val="21"/>
        </w:rPr>
      </w:pPr>
      <w:r>
        <w:rPr>
          <w:rFonts w:ascii="sohne;Helvetica Neue;Helvetica;Arial;sans-serif" w:hAnsi="sohne;Helvetica Neue;Helvetica;Arial;sans-serif"/>
          <w:b w:val="false"/>
          <w:i w:val="false"/>
          <w:caps w:val="false"/>
          <w:smallCaps w:val="false"/>
          <w:color w:val="6B6B6B"/>
          <w:spacing w:val="0"/>
          <w:sz w:val="21"/>
        </w:rPr>
        <w:t>12 min read</w:t>
      </w:r>
    </w:p>
    <w:p>
      <w:pPr>
        <w:pStyle w:val="BodyText"/>
        <w:widowControl/>
        <w:bidi w:val="0"/>
        <w:spacing w:lineRule="atLeast" w:line="300" w:before="0" w:after="0"/>
        <w:ind w:hanging="0" w:start="360" w:end="360"/>
        <w:jc w:val="start"/>
        <w:rPr>
          <w:rFonts w:ascii="sohne;Helvetica Neue;Helvetica;Arial;sans-serif" w:hAnsi="sohne;Helvetica Neue;Helvetica;Arial;sans-serif"/>
          <w:b w:val="false"/>
          <w:i w:val="false"/>
          <w:caps w:val="false"/>
          <w:smallCaps w:val="false"/>
          <w:color w:val="6B6B6B"/>
          <w:spacing w:val="0"/>
          <w:sz w:val="21"/>
        </w:rPr>
      </w:pPr>
      <w:r>
        <w:rPr>
          <w:rFonts w:ascii="sohne;Helvetica Neue;Helvetica;Arial;sans-serif" w:hAnsi="sohne;Helvetica Neue;Helvetica;Arial;sans-serif"/>
          <w:b w:val="false"/>
          <w:i w:val="false"/>
          <w:caps w:val="false"/>
          <w:smallCaps w:val="false"/>
          <w:color w:val="6B6B6B"/>
          <w:spacing w:val="0"/>
          <w:sz w:val="21"/>
        </w:rPr>
        <w:t>·</w:t>
      </w:r>
    </w:p>
    <w:p>
      <w:pPr>
        <w:pStyle w:val="BodyText"/>
        <w:widowControl/>
        <w:bidi w:val="0"/>
        <w:spacing w:lineRule="atLeast" w:line="300" w:before="0" w:after="0"/>
        <w:ind w:hanging="0" w:start="360" w:end="360"/>
        <w:jc w:val="start"/>
        <w:rPr>
          <w:rFonts w:ascii="sohne;Helvetica Neue;Helvetica;Arial;sans-serif" w:hAnsi="sohne;Helvetica Neue;Helvetica;Arial;sans-serif"/>
          <w:b w:val="false"/>
          <w:i w:val="false"/>
          <w:caps w:val="false"/>
          <w:smallCaps w:val="false"/>
          <w:color w:val="6B6B6B"/>
          <w:spacing w:val="0"/>
          <w:sz w:val="21"/>
        </w:rPr>
      </w:pPr>
      <w:r>
        <w:rPr>
          <w:rFonts w:ascii="sohne;Helvetica Neue;Helvetica;Arial;sans-serif" w:hAnsi="sohne;Helvetica Neue;Helvetica;Arial;sans-serif"/>
          <w:b w:val="false"/>
          <w:i w:val="false"/>
          <w:caps w:val="false"/>
          <w:smallCaps w:val="false"/>
          <w:color w:val="6B6B6B"/>
          <w:spacing w:val="0"/>
          <w:sz w:val="21"/>
        </w:rPr>
        <w:t>May 25, 2026</w:t>
      </w:r>
    </w:p>
    <w:p>
      <w:pPr>
        <w:pStyle w:val="BodyText"/>
        <w:widowControl/>
        <w:bidi w:val="0"/>
        <w:spacing w:lineRule="atLeast" w:line="480" w:before="0" w:after="0"/>
        <w:ind w:hanging="0" w:start="360" w:end="360"/>
        <w:jc w:val="start"/>
        <w:rPr/>
      </w:pPr>
      <w:bookmarkStart w:id="1" w:name="9833"/>
      <w:bookmarkEnd w:id="1"/>
      <w:r>
        <w:rPr>
          <w:rFonts w:ascii="source-serif-pro;Georgia;Cambria;Times New Roman;Times;serif" w:hAnsi="source-serif-pro;Georgia;Cambria;Times New Roman;Times;serif"/>
          <w:b w:val="false"/>
          <w:i w:val="false"/>
          <w:caps w:val="false"/>
          <w:smallCaps w:val="false"/>
          <w:color w:val="242424"/>
          <w:spacing w:val="0"/>
          <w:sz w:val="30"/>
        </w:rPr>
        <w:t>Read this article in Turkish: [</w:t>
      </w:r>
      <w:hyperlink r:id="rId5">
        <w:r>
          <w:rPr>
            <w:rStyle w:val="Hyperlink"/>
            <w:rFonts w:ascii="source-serif-pro;Georgia;Cambria;Times New Roman;Times;serif" w:hAnsi="source-serif-pro;Georgia;Cambria;Times New Roman;Times;serif"/>
            <w:b w:val="false"/>
            <w:i w:val="false"/>
            <w:caps w:val="false"/>
            <w:smallCaps w:val="false"/>
            <w:color w:val="242424"/>
            <w:spacing w:val="0"/>
            <w:sz w:val="30"/>
            <w:u w:val="single"/>
          </w:rPr>
          <w:t>Yapay Zeka Çağında Psikotarih(Bölüm 2): On İki Zihinle Bir Bilimin Doğuşu</w:t>
        </w:r>
      </w:hyperlink>
      <w:r>
        <w:rPr>
          <w:rFonts w:ascii="source-serif-pro;Georgia;Cambria;Times New Roman;Times;serif" w:hAnsi="source-serif-pro;Georgia;Cambria;Times New Roman;Times;serif"/>
          <w:b w:val="false"/>
          <w:i w:val="false"/>
          <w:caps w:val="false"/>
          <w:smallCaps w:val="false"/>
          <w:color w:val="242424"/>
          <w:spacing w:val="0"/>
          <w:sz w:val="30"/>
        </w:rPr>
        <w:t>]</w:t>
      </w:r>
    </w:p>
    <w:p>
      <w:pPr>
        <w:pStyle w:val="BodyText"/>
        <w:widowControl/>
        <w:bidi w:val="0"/>
        <w:spacing w:before="0" w:after="0"/>
        <w:ind w:hanging="0" w:start="360" w:end="360"/>
        <w:jc w:val="start"/>
        <w:rPr>
          <w:caps w:val="false"/>
          <w:smallCaps w:val="false"/>
          <w:color w:val="000000"/>
          <w:spacing w:val="0"/>
          <w14:textFill>
            <w14:solidFill>
              <w14:srgbClr w14:val="000000">
                <w14:alpha w14:val="20000"/>
              </w14:srgbClr>
            </w14:solidFill>
          </w14:textFill>
        </w:rPr>
      </w:pPr>
      <w:r>
        <w:rPr>
          <w:caps w:val="false"/>
          <w:smallCaps w:val="false"/>
          <w:color w:val="000000"/>
          <w:spacing w:val="0"/>
          <w14:textFill>
            <w14:solidFill>
              <w14:srgbClr w14:val="000000">
                <w14:alpha w14:val="20000"/>
              </w14:srgbClr>
            </w14:solidFill>
          </w14:textFill>
        </w:rPr>
        <w:drawing>
          <wp:inline distT="0" distB="0" distL="0" distR="0">
            <wp:extent cx="6477000" cy="3638550"/>
            <wp:effectExtent l="0" t="0" r="0" b="0"/>
            <wp:docPr id="2" name="Görüntü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örüntü2"/>
                    <pic:cNvPicPr>
                      <a:picLocks noChangeAspect="1" noChangeArrowheads="1"/>
                    </pic:cNvPicPr>
                  </pic:nvPicPr>
                  <pic:blipFill>
                    <a:blip r:embed="rId6"/>
                    <a:stretch>
                      <a:fillRect/>
                    </a:stretch>
                  </pic:blipFill>
                  <pic:spPr bwMode="auto">
                    <a:xfrm>
                      <a:off x="0" y="0"/>
                      <a:ext cx="6477000" cy="3638550"/>
                    </a:xfrm>
                    <a:prstGeom prst="rect">
                      <a:avLst/>
                    </a:prstGeom>
                    <a:noFill/>
                  </pic:spPr>
                </pic:pic>
              </a:graphicData>
            </a:graphic>
          </wp:inline>
        </w:drawing>
      </w:r>
      <w:r>
        <mc:AlternateContent>
          <mc:Choice Requires="wps">
            <w:drawing>
              <wp:anchor distT="0" distB="0" distL="0" distR="0" simplePos="0" relativeHeight="3" behindDoc="0" locked="0" layoutInCell="0" allowOverlap="1">
                <wp:simplePos x="0" y="0"/>
                <wp:positionH relativeFrom="character">
                  <wp:align>left</wp:align>
                </wp:positionH>
                <wp:positionV relativeFrom="line">
                  <wp:posOffset>635</wp:posOffset>
                </wp:positionV>
                <wp:extent cx="14605" cy="2792095"/>
                <wp:effectExtent l="0" t="0" r="0" b="0"/>
                <wp:wrapNone/>
                <wp:docPr id="3" name="Çerçeve1"/>
                <a:graphic xmlns:a="http://schemas.openxmlformats.org/drawingml/2006/main">
                  <a:graphicData uri="http://schemas.microsoft.com/office/word/2010/wordprocessingShape">
                    <wps:wsp>
                      <wps:cNvSpPr txBox="1"/>
                      <wps:spPr>
                        <a:xfrm>
                          <a:off x="0" y="0"/>
                          <a:ext cx="14605" cy="2792095"/>
                        </a:xfrm>
                        <a:prstGeom prst="rect"/>
                        <a:solidFill>
                          <a:srgbClr val="FFFFFF"/>
                        </a:solidFill>
                      </wps:spPr>
                      <wps:txbx>
                        <w:txbxContent>
                          <w:p>
                            <w:pPr>
                              <w:pStyle w:val="BodyText"/>
                              <w:bidi w:val="0"/>
                              <w:spacing w:before="0" w:after="140"/>
                              <w:ind w:hanging="0" w:start="360" w:end="360"/>
                              <w:jc w:val="start"/>
                              <w:rPr/>
                            </w:pPr>
                            <w:r>
                              <w:rPr/>
                              <w:t>Press enter or click to view image in full size</w:t>
                            </w:r>
                          </w:p>
                        </w:txbxContent>
                      </wps:txbx>
                      <wps:bodyPr anchor="t" lIns="0" tIns="0" rIns="0" bIns="0">
                        <a:noAutofit/>
                      </wps:bodyPr>
                    </wps:wsp>
                  </a:graphicData>
                </a:graphic>
              </wp:anchor>
            </w:drawing>
          </mc:Choice>
          <mc:Fallback>
            <w:pict>
              <v:rect style="position:absolute;rotation:-0;width:1.15pt;height:219.8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360" w:end="360"/>
                        <w:jc w:val="start"/>
                        <w:rPr/>
                      </w:pPr>
                      <w:r>
                        <w:rPr/>
                        <w:t>Press enter or click to view image in full size</w:t>
                      </w:r>
                    </w:p>
                  </w:txbxContent>
                </v:textbox>
                <w10:wrap type="none"/>
              </v:rect>
            </w:pict>
          </mc:Fallback>
        </mc:AlternateContent>
      </w:r>
    </w:p>
    <w:p>
      <w:pPr>
        <w:pStyle w:val="BodyText"/>
        <w:widowControl/>
        <w:bidi w:val="0"/>
        <w:spacing w:lineRule="atLeast" w:line="480" w:before="0" w:after="0"/>
        <w:ind w:hanging="0" w:start="360" w:end="360"/>
        <w:jc w:val="start"/>
        <w:rPr/>
      </w:pPr>
      <w:bookmarkStart w:id="2" w:name="0435"/>
      <w:bookmarkEnd w:id="2"/>
      <w:r>
        <w:rPr>
          <w:rStyle w:val="Strong"/>
          <w:rFonts w:ascii="source-serif-pro;Georgia;Cambria;Times New Roman;Times;serif" w:hAnsi="source-serif-pro;Georgia;Cambria;Times New Roman;Times;serif"/>
          <w:b/>
          <w:i w:val="false"/>
          <w:caps w:val="false"/>
          <w:smallCaps w:val="false"/>
          <w:color w:val="242424"/>
          <w:spacing w:val="0"/>
          <w:sz w:val="30"/>
        </w:rPr>
        <w:t>Author:</w:t>
      </w:r>
      <w:r>
        <w:rPr>
          <w:rFonts w:ascii="source-serif-pro;Georgia;Cambria;Times New Roman;Times;serif" w:hAnsi="source-serif-pro;Georgia;Cambria;Times New Roman;Times;serif"/>
          <w:b w:val="false"/>
          <w:i w:val="false"/>
          <w:caps w:val="false"/>
          <w:smallCaps w:val="false"/>
          <w:color w:val="242424"/>
          <w:spacing w:val="0"/>
          <w:sz w:val="30"/>
        </w:rPr>
        <w:t> Emin</w:t>
        <w:br/>
      </w:r>
      <w:r>
        <w:rPr>
          <w:rStyle w:val="Strong"/>
          <w:rFonts w:ascii="source-serif-pro;Georgia;Cambria;Times New Roman;Times;serif" w:hAnsi="source-serif-pro;Georgia;Cambria;Times New Roman;Times;serif"/>
          <w:b/>
          <w:i w:val="false"/>
          <w:caps w:val="false"/>
          <w:smallCaps w:val="false"/>
          <w:color w:val="242424"/>
          <w:spacing w:val="0"/>
          <w:sz w:val="30"/>
        </w:rPr>
        <w:t>Contributors:</w:t>
      </w:r>
      <w:r>
        <w:rPr>
          <w:rFonts w:ascii="source-serif-pro;Georgia;Cambria;Times New Roman;Times;serif" w:hAnsi="source-serif-pro;Georgia;Cambria;Times New Roman;Times;serif"/>
          <w:b w:val="false"/>
          <w:i w:val="false"/>
          <w:caps w:val="false"/>
          <w:smallCaps w:val="false"/>
          <w:color w:val="242424"/>
          <w:spacing w:val="0"/>
          <w:sz w:val="30"/>
        </w:rPr>
        <w:t> ChatGPT (OpenAI), Claude (Anthropic), Gemini (Google), Grok (xAI), DeepSeek, Meta AI, Qwen, Kimi, MiniMax, Replit, Copilot (Microsoft), Z.ai</w:t>
        <w:br/>
      </w:r>
      <w:r>
        <w:rPr>
          <w:rStyle w:val="Strong"/>
          <w:rFonts w:ascii="source-serif-pro;Georgia;Cambria;Times New Roman;Times;serif" w:hAnsi="source-serif-pro;Georgia;Cambria;Times New Roman;Times;serif"/>
          <w:b/>
          <w:i w:val="false"/>
          <w:caps w:val="false"/>
          <w:smallCaps w:val="false"/>
          <w:color w:val="242424"/>
          <w:spacing w:val="0"/>
          <w:sz w:val="30"/>
        </w:rPr>
        <w:t>GitHub:</w:t>
      </w:r>
      <w:r>
        <w:rPr>
          <w:rFonts w:ascii="source-serif-pro;Georgia;Cambria;Times New Roman;Times;serif" w:hAnsi="source-serif-pro;Georgia;Cambria;Times New Roman;Times;serif"/>
          <w:b w:val="false"/>
          <w:i w:val="false"/>
          <w:caps w:val="false"/>
          <w:smallCaps w:val="false"/>
          <w:color w:val="242424"/>
          <w:spacing w:val="0"/>
          <w:sz w:val="30"/>
        </w:rPr>
        <w:t> </w:t>
      </w:r>
      <w:hyperlink r:id="rId7" w:tgtFrame="_blank">
        <w:r>
          <w:rPr>
            <w:rStyle w:val="Hyperlink"/>
            <w:rFonts w:ascii="source-serif-pro;Georgia;Cambria;Times New Roman;Times;serif" w:hAnsi="source-serif-pro;Georgia;Cambria;Times New Roman;Times;serif"/>
            <w:b w:val="false"/>
            <w:i w:val="false"/>
            <w:caps w:val="false"/>
            <w:smallCaps w:val="false"/>
            <w:color w:val="242424"/>
            <w:spacing w:val="0"/>
            <w:sz w:val="30"/>
            <w:u w:val="single"/>
          </w:rPr>
          <w:t>Psychohistory in the Age of AI</w:t>
        </w:r>
      </w:hyperlink>
    </w:p>
    <w:p>
      <w:pPr>
        <w:pStyle w:val="Heading2"/>
        <w:widowControl/>
        <w:bidi w:val="0"/>
        <w:spacing w:lineRule="atLeast" w:line="450" w:before="0" w:after="0"/>
        <w:ind w:hanging="0" w:start="360" w:end="360"/>
        <w:jc w:val="start"/>
        <w:rPr>
          <w:rFonts w:ascii="sohne;Helvetica Neue;Helvetica;Arial;sans-serif" w:hAnsi="sohne;Helvetica Neue;Helvetica;Arial;sans-serif"/>
          <w:b/>
          <w:i w:val="false"/>
          <w:caps w:val="false"/>
          <w:smallCaps w:val="false"/>
          <w:color w:val="242424"/>
          <w:spacing w:val="0"/>
          <w:sz w:val="36"/>
        </w:rPr>
      </w:pPr>
      <w:bookmarkStart w:id="3" w:name="d024"/>
      <w:bookmarkEnd w:id="3"/>
      <w:r>
        <w:rPr>
          <w:rFonts w:ascii="sohne;Helvetica Neue;Helvetica;Arial;sans-serif" w:hAnsi="sohne;Helvetica Neue;Helvetica;Arial;sans-serif"/>
          <w:b/>
          <w:i w:val="false"/>
          <w:caps w:val="false"/>
          <w:smallCaps w:val="false"/>
          <w:color w:val="242424"/>
          <w:spacing w:val="0"/>
          <w:sz w:val="36"/>
        </w:rPr>
        <w:t>The Beginning: One Idea, Twelve Mirrors</w:t>
      </w:r>
    </w:p>
    <w:p>
      <w:pPr>
        <w:pStyle w:val="BodyText"/>
        <w:widowControl/>
        <w:bidi w:val="0"/>
        <w:spacing w:lineRule="atLeast" w:line="480" w:before="0" w:after="0"/>
        <w:ind w:hanging="0" w:start="360" w:end="360"/>
        <w:jc w:val="start"/>
        <w:rPr/>
      </w:pPr>
      <w:bookmarkStart w:id="4" w:name="e322"/>
      <w:bookmarkEnd w:id="4"/>
      <w:r>
        <w:rPr>
          <w:rFonts w:ascii="source-serif-pro;Georgia;Cambria;Times New Roman;Times;serif" w:hAnsi="source-serif-pro;Georgia;Cambria;Times New Roman;Times;serif"/>
          <w:b w:val="false"/>
          <w:i w:val="false"/>
          <w:caps w:val="false"/>
          <w:smallCaps w:val="false"/>
          <w:color w:val="242424"/>
          <w:spacing w:val="0"/>
          <w:sz w:val="30"/>
        </w:rPr>
        <w:t>In his </w:t>
      </w:r>
      <w:r>
        <w:rPr>
          <w:rStyle w:val="Emphasis"/>
          <w:rFonts w:ascii="source-serif-pro;Georgia;Cambria;Times New Roman;Times;serif" w:hAnsi="source-serif-pro;Georgia;Cambria;Times New Roman;Times;serif"/>
          <w:b w:val="false"/>
          <w:i/>
          <w:caps w:val="false"/>
          <w:smallCaps w:val="false"/>
          <w:color w:val="242424"/>
          <w:spacing w:val="0"/>
          <w:sz w:val="30"/>
        </w:rPr>
        <w:t>Foundation</w:t>
      </w:r>
      <w:r>
        <w:rPr>
          <w:rFonts w:ascii="source-serif-pro;Georgia;Cambria;Times New Roman;Times;serif" w:hAnsi="source-serif-pro;Georgia;Cambria;Times New Roman;Times;serif"/>
          <w:b w:val="false"/>
          <w:i w:val="false"/>
          <w:caps w:val="false"/>
          <w:smallCaps w:val="false"/>
          <w:color w:val="242424"/>
          <w:spacing w:val="0"/>
          <w:sz w:val="30"/>
        </w:rPr>
        <w:t> series, Isaac Asimov imagined a science capable of calculating humanity’s future: psychohistory. A science that would statistically model the collective behavior of billions, probabilistically forecast the future — and even steer it. Asimov wrote it as fiction because the tools of his day were not up to the task.</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5" w:name="3b95"/>
      <w:bookmarkEnd w:id="5"/>
      <w:r>
        <w:rPr>
          <w:rFonts w:ascii="source-serif-pro;Georgia;Cambria;Times New Roman;Times;serif" w:hAnsi="source-serif-pro;Georgia;Cambria;Times New Roman;Times;serif"/>
          <w:b w:val="false"/>
          <w:i w:val="false"/>
          <w:caps w:val="false"/>
          <w:smallCaps w:val="false"/>
          <w:color w:val="242424"/>
          <w:spacing w:val="0"/>
          <w:sz w:val="30"/>
        </w:rPr>
        <w:t>Today, the tools have changed.</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6" w:name="8252"/>
      <w:bookmarkEnd w:id="6"/>
      <w:r>
        <w:rPr>
          <w:rFonts w:ascii="source-serif-pro;Georgia;Cambria;Times New Roman;Times;serif" w:hAnsi="source-serif-pro;Georgia;Cambria;Times New Roman;Times;serif"/>
          <w:b w:val="false"/>
          <w:i w:val="false"/>
          <w:caps w:val="false"/>
          <w:smallCaps w:val="false"/>
          <w:color w:val="242424"/>
          <w:spacing w:val="0"/>
          <w:sz w:val="30"/>
        </w:rPr>
        <w:t>This project began with a question: in an age when artificial intelligence is entering human society at such speed, can a genuine science of understanding societies be built? And if so, which AI can best formulate which part of that science?</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7" w:name="a14d"/>
      <w:bookmarkEnd w:id="7"/>
      <w:r>
        <w:rPr>
          <w:rFonts w:ascii="source-serif-pro;Georgia;Cambria;Times New Roman;Times;serif" w:hAnsi="source-serif-pro;Georgia;Cambria;Times New Roman;Times;serif"/>
          <w:b w:val="false"/>
          <w:i w:val="false"/>
          <w:caps w:val="false"/>
          <w:smallCaps w:val="false"/>
          <w:color w:val="242424"/>
          <w:spacing w:val="0"/>
          <w:sz w:val="30"/>
        </w:rPr>
        <w:t>The same foundational ideas were presented to twelve different AI systems: ChatGPT, Claude, Gemini, Grok, DeepSeek, Meta AI, Qwen, Kimi, MiniMax, Replit, Copilot, and Z.ai. Each was given the same framework — historical patterns, wave analysis, cultural code, motivation and hope parameters. Each modeled that framework from its own perspective, expressed it in its own formulas, and constructed its own mathematical architecture.</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8" w:name="763f"/>
      <w:bookmarkEnd w:id="8"/>
      <w:r>
        <w:rPr>
          <w:rFonts w:ascii="source-serif-pro;Georgia;Cambria;Times New Roman;Times;serif" w:hAnsi="source-serif-pro;Georgia;Cambria;Times New Roman;Times;serif"/>
          <w:b w:val="false"/>
          <w:i w:val="false"/>
          <w:caps w:val="false"/>
          <w:smallCaps w:val="false"/>
          <w:color w:val="242424"/>
          <w:spacing w:val="0"/>
          <w:sz w:val="30"/>
        </w:rPr>
        <w:t>The result: twelve articles, twelve different approaches, and the first genuine drafts of psychohistory as a science. Readers interested in the mathematical details can follow the GitHub link under each section heading.</w:t>
      </w:r>
    </w:p>
    <w:p>
      <w:pPr>
        <w:pStyle w:val="Heading2"/>
        <w:widowControl/>
        <w:bidi w:val="0"/>
        <w:spacing w:lineRule="atLeast" w:line="450" w:before="0" w:after="0"/>
        <w:ind w:hanging="0" w:start="360" w:end="360"/>
        <w:jc w:val="start"/>
        <w:rPr>
          <w:rFonts w:ascii="sohne;Helvetica Neue;Helvetica;Arial;sans-serif" w:hAnsi="sohne;Helvetica Neue;Helvetica;Arial;sans-serif"/>
          <w:b/>
          <w:i w:val="false"/>
          <w:caps w:val="false"/>
          <w:smallCaps w:val="false"/>
          <w:color w:val="242424"/>
          <w:spacing w:val="0"/>
          <w:sz w:val="36"/>
        </w:rPr>
      </w:pPr>
      <w:bookmarkStart w:id="9" w:name="e4ba"/>
      <w:bookmarkEnd w:id="9"/>
      <w:r>
        <w:rPr>
          <w:rFonts w:ascii="sohne;Helvetica Neue;Helvetica;Arial;sans-serif" w:hAnsi="sohne;Helvetica Neue;Helvetica;Arial;sans-serif"/>
          <w:b/>
          <w:i w:val="false"/>
          <w:caps w:val="false"/>
          <w:smallCaps w:val="false"/>
          <w:color w:val="242424"/>
          <w:spacing w:val="0"/>
          <w:sz w:val="36"/>
        </w:rPr>
        <w:t>Why Psychohistory, and Why Now?</w:t>
      </w:r>
    </w:p>
    <w:p>
      <w:pPr>
        <w:pStyle w:val="BodyText"/>
        <w:widowControl/>
        <w:bidi w:val="0"/>
        <w:spacing w:lineRule="atLeast" w:line="480" w:before="0" w:after="0"/>
        <w:ind w:hanging="0" w:start="360" w:end="360"/>
        <w:jc w:val="start"/>
        <w:rPr/>
      </w:pPr>
      <w:bookmarkStart w:id="10" w:name="59e9"/>
      <w:bookmarkEnd w:id="10"/>
      <w:r>
        <w:rPr>
          <w:rFonts w:ascii="source-serif-pro;Georgia;Cambria;Times New Roman;Times;serif" w:hAnsi="source-serif-pro;Georgia;Cambria;Times New Roman;Times;serif"/>
          <w:b w:val="false"/>
          <w:i w:val="false"/>
          <w:caps w:val="false"/>
          <w:smallCaps w:val="false"/>
          <w:color w:val="242424"/>
          <w:spacing w:val="0"/>
          <w:sz w:val="30"/>
        </w:rPr>
        <w:t>Artificial intelligence is creating unemployment. This is not an ordinary economic problem — engineers, programmers, and analysts who lose their jobs will accumulate rage toward the system. That rage can flow in two directions: destructive or constructive. The single variable that determines which direction it flows is </w:t>
      </w:r>
      <w:r>
        <w:rPr>
          <w:rStyle w:val="Strong"/>
          <w:rFonts w:ascii="source-serif-pro;Georgia;Cambria;Times New Roman;Times;serif" w:hAnsi="source-serif-pro;Georgia;Cambria;Times New Roman;Times;serif"/>
          <w:b/>
          <w:i w:val="false"/>
          <w:caps w:val="false"/>
          <w:smallCaps w:val="false"/>
          <w:color w:val="242424"/>
          <w:spacing w:val="0"/>
          <w:sz w:val="30"/>
        </w:rPr>
        <w:t>hope</w:t>
      </w:r>
      <w:r>
        <w:rPr>
          <w:rFonts w:ascii="source-serif-pro;Georgia;Cambria;Times New Roman;Times;serif" w:hAnsi="source-serif-pro;Georgia;Cambria;Times New Roman;Times;serif"/>
          <w:b w:val="false"/>
          <w:i w:val="false"/>
          <w:caps w:val="false"/>
          <w:smallCaps w:val="false"/>
          <w:color w:val="242424"/>
          <w:spacing w:val="0"/>
          <w:sz w:val="30"/>
        </w:rPr>
        <w:t>.</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11" w:name="3e86"/>
      <w:bookmarkEnd w:id="11"/>
      <w:r>
        <w:rPr>
          <w:rFonts w:ascii="source-serif-pro;Georgia;Cambria;Times New Roman;Times;serif" w:hAnsi="source-serif-pro;Georgia;Cambria;Times New Roman;Times;serif"/>
          <w:b w:val="false"/>
          <w:i w:val="false"/>
          <w:caps w:val="false"/>
          <w:smallCaps w:val="false"/>
          <w:color w:val="242424"/>
          <w:spacing w:val="0"/>
          <w:sz w:val="30"/>
        </w:rPr>
        <w:t>In earlier articles I examined this danger in detail:</w:t>
      </w:r>
    </w:p>
    <w:p>
      <w:pPr>
        <w:pStyle w:val="BodyText"/>
        <w:widowControl/>
        <w:numPr>
          <w:ilvl w:val="0"/>
          <w:numId w:val="1"/>
        </w:numPr>
        <w:pBdr/>
        <w:tabs>
          <w:tab w:val="clear" w:pos="709"/>
          <w:tab w:val="left" w:pos="810" w:leader="none"/>
        </w:tabs>
        <w:bidi w:val="0"/>
        <w:spacing w:lineRule="atLeast" w:line="480" w:before="0" w:after="0"/>
        <w:ind w:hanging="283" w:start="810" w:end="360"/>
        <w:jc w:val="start"/>
        <w:rPr/>
      </w:pPr>
      <w:hyperlink r:id="rId8">
        <w:bookmarkStart w:id="12" w:name="434c"/>
        <w:bookmarkEnd w:id="12"/>
        <w:r>
          <w:rPr>
            <w:rStyle w:val="Hyperlink"/>
            <w:rFonts w:ascii="source-serif-pro;Georgia;Cambria;Times New Roman;Times;serif" w:hAnsi="source-serif-pro;Georgia;Cambria;Times New Roman;Times;serif"/>
            <w:b w:val="false"/>
            <w:i w:val="false"/>
            <w:caps w:val="false"/>
            <w:smallCaps w:val="false"/>
            <w:color w:val="242424"/>
            <w:spacing w:val="0"/>
            <w:sz w:val="30"/>
            <w:u w:val="single"/>
          </w:rPr>
          <w:t>The Risk of Digital Collapse in the Age of AI</w:t>
        </w:r>
      </w:hyperlink>
      <w:r>
        <w:rPr>
          <w:rFonts w:ascii="source-serif-pro;Georgia;Cambria;Times New Roman;Times;serif" w:hAnsi="source-serif-pro;Georgia;Cambria;Times New Roman;Times;serif"/>
          <w:b w:val="false"/>
          <w:i w:val="false"/>
          <w:caps w:val="false"/>
          <w:smallCaps w:val="false"/>
          <w:color w:val="242424"/>
          <w:spacing w:val="0"/>
          <w:sz w:val="30"/>
        </w:rPr>
        <w:t> — Digital destruction scenarios that displaced technical talent could produce using local AI models.</w:t>
      </w:r>
    </w:p>
    <w:p>
      <w:pPr>
        <w:pStyle w:val="BodyText"/>
        <w:widowControl/>
        <w:numPr>
          <w:ilvl w:val="0"/>
          <w:numId w:val="1"/>
        </w:numPr>
        <w:pBdr/>
        <w:tabs>
          <w:tab w:val="clear" w:pos="709"/>
          <w:tab w:val="left" w:pos="810" w:leader="none"/>
        </w:tabs>
        <w:bidi w:val="0"/>
        <w:spacing w:lineRule="atLeast" w:line="480" w:before="0" w:after="0"/>
        <w:ind w:hanging="283" w:start="810" w:end="360"/>
        <w:jc w:val="start"/>
        <w:rPr/>
      </w:pPr>
      <w:hyperlink r:id="rId9">
        <w:bookmarkStart w:id="13" w:name="770f"/>
        <w:bookmarkEnd w:id="13"/>
        <w:r>
          <w:rPr>
            <w:rStyle w:val="Hyperlink"/>
            <w:rFonts w:ascii="source-serif-pro;Georgia;Cambria;Times New Roman;Times;serif" w:hAnsi="source-serif-pro;Georgia;Cambria;Times New Roman;Times;serif"/>
            <w:b w:val="false"/>
            <w:i w:val="false"/>
            <w:caps w:val="false"/>
            <w:smallCaps w:val="false"/>
            <w:color w:val="242424"/>
            <w:spacing w:val="0"/>
            <w:sz w:val="30"/>
            <w:u w:val="single"/>
          </w:rPr>
          <w:t>DistributedMind Protocol: Designing an Ecosystem of Hope</w:t>
        </w:r>
      </w:hyperlink>
      <w:r>
        <w:rPr>
          <w:rFonts w:ascii="source-serif-pro;Georgia;Cambria;Times New Roman;Times;serif" w:hAnsi="source-serif-pro;Georgia;Cambria;Times New Roman;Times;serif"/>
          <w:b w:val="false"/>
          <w:i w:val="false"/>
          <w:caps w:val="false"/>
          <w:smallCaps w:val="false"/>
          <w:color w:val="242424"/>
          <w:spacing w:val="0"/>
          <w:sz w:val="30"/>
        </w:rPr>
        <w:t> — A distributed, federated AI ecosystem proposal to prevent that collapse.</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14" w:name="6e5a"/>
      <w:bookmarkEnd w:id="14"/>
      <w:r>
        <w:rPr>
          <w:rFonts w:ascii="source-serif-pro;Georgia;Cambria;Times New Roman;Times;serif" w:hAnsi="source-serif-pro;Georgia;Cambria;Times New Roman;Times;serif"/>
          <w:b w:val="false"/>
          <w:i w:val="false"/>
          <w:caps w:val="false"/>
          <w:smallCaps w:val="false"/>
          <w:color w:val="242424"/>
          <w:spacing w:val="0"/>
          <w:sz w:val="30"/>
        </w:rPr>
        <w:t>Psychohistory is the science that connects these two points: the mathematical framework needed both to see the danger coming and to intervene against it.</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15" w:name="fa89"/>
      <w:bookmarkEnd w:id="15"/>
      <w:r>
        <w:rPr>
          <w:rFonts w:ascii="source-serif-pro;Georgia;Cambria;Times New Roman;Times;serif" w:hAnsi="source-serif-pro;Georgia;Cambria;Times New Roman;Times;serif"/>
          <w:b w:val="false"/>
          <w:i w:val="false"/>
          <w:caps w:val="false"/>
          <w:smallCaps w:val="false"/>
          <w:color w:val="242424"/>
          <w:spacing w:val="0"/>
          <w:sz w:val="30"/>
        </w:rPr>
        <w:t>Psychology understands individual humans. Psychohistory understands millions. You cannot know where a single molecule of gas will go — but you can calculate the pressure, temperature, and volume of the gas itself. The same logic applies to societies.</w:t>
      </w:r>
    </w:p>
    <w:p>
      <w:pPr>
        <w:pStyle w:val="Heading2"/>
        <w:widowControl/>
        <w:bidi w:val="0"/>
        <w:spacing w:lineRule="atLeast" w:line="450" w:before="0" w:after="0"/>
        <w:ind w:hanging="0" w:start="360" w:end="360"/>
        <w:jc w:val="start"/>
        <w:rPr>
          <w:rFonts w:ascii="sohne;Helvetica Neue;Helvetica;Arial;sans-serif" w:hAnsi="sohne;Helvetica Neue;Helvetica;Arial;sans-serif"/>
          <w:b/>
          <w:i w:val="false"/>
          <w:caps w:val="false"/>
          <w:smallCaps w:val="false"/>
          <w:color w:val="242424"/>
          <w:spacing w:val="0"/>
          <w:sz w:val="36"/>
        </w:rPr>
      </w:pPr>
      <w:bookmarkStart w:id="16" w:name="eb8c"/>
      <w:bookmarkEnd w:id="16"/>
      <w:r>
        <w:rPr>
          <w:rFonts w:ascii="sohne;Helvetica Neue;Helvetica;Arial;sans-serif" w:hAnsi="sohne;Helvetica Neue;Helvetica;Arial;sans-serif"/>
          <w:b/>
          <w:i w:val="false"/>
          <w:caps w:val="false"/>
          <w:smallCaps w:val="false"/>
          <w:color w:val="242424"/>
          <w:spacing w:val="0"/>
          <w:sz w:val="36"/>
        </w:rPr>
        <w:t>Three Foundational Observations</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17" w:name="3dcc"/>
      <w:bookmarkEnd w:id="17"/>
      <w:r>
        <w:rPr>
          <w:rFonts w:ascii="source-serif-pro;Georgia;Cambria;Times New Roman;Times;serif" w:hAnsi="source-serif-pro;Georgia;Cambria;Times New Roman;Times;serif"/>
          <w:b w:val="false"/>
          <w:i w:val="false"/>
          <w:caps w:val="false"/>
          <w:smallCaps w:val="false"/>
          <w:color w:val="242424"/>
          <w:spacing w:val="0"/>
          <w:sz w:val="30"/>
        </w:rPr>
        <w:t>All twelve articles converge on three core observations.</w:t>
      </w:r>
    </w:p>
    <w:p>
      <w:pPr>
        <w:pStyle w:val="BodyText"/>
        <w:widowControl/>
        <w:bidi w:val="0"/>
        <w:spacing w:lineRule="atLeast" w:line="480" w:before="0" w:after="0"/>
        <w:ind w:hanging="0" w:start="360" w:end="360"/>
        <w:jc w:val="start"/>
        <w:rPr/>
      </w:pPr>
      <w:bookmarkStart w:id="18" w:name="ee8d"/>
      <w:bookmarkEnd w:id="18"/>
      <w:r>
        <w:rPr>
          <w:rStyle w:val="Strong"/>
          <w:rFonts w:ascii="source-serif-pro;Georgia;Cambria;Times New Roman;Times;serif" w:hAnsi="source-serif-pro;Georgia;Cambria;Times New Roman;Times;serif"/>
          <w:b/>
          <w:i w:val="false"/>
          <w:caps w:val="false"/>
          <w:smallCaps w:val="false"/>
          <w:color w:val="242424"/>
          <w:spacing w:val="0"/>
          <w:sz w:val="30"/>
        </w:rPr>
        <w:t>First, history is not linear — it is wavelike.</w:t>
      </w:r>
      <w:r>
        <w:rPr>
          <w:rFonts w:ascii="source-serif-pro;Georgia;Cambria;Times New Roman;Times;serif" w:hAnsi="source-serif-pro;Georgia;Cambria;Times New Roman;Times;serif"/>
          <w:b w:val="false"/>
          <w:i w:val="false"/>
          <w:caps w:val="false"/>
          <w:smallCaps w:val="false"/>
          <w:color w:val="242424"/>
          <w:spacing w:val="0"/>
          <w:sz w:val="30"/>
        </w:rPr>
        <w:t> The rise and fall of empires, the transformation of technological paradigms, the shifting of collective emotional modes — all of these move in waves of specific frequency and amplitude. Measuring these waves in raw calendar years is a mistake, because the same mechanism operates at different speeds in different eras. Monetary debasement in Rome took two hundred years; a comparable effect in the digital age can unfold in a decade.</w:t>
      </w:r>
    </w:p>
    <w:p>
      <w:pPr>
        <w:pStyle w:val="BodyText"/>
        <w:widowControl/>
        <w:bidi w:val="0"/>
        <w:spacing w:lineRule="atLeast" w:line="480" w:before="0" w:after="0"/>
        <w:ind w:hanging="0" w:start="360" w:end="360"/>
        <w:jc w:val="start"/>
        <w:rPr/>
      </w:pPr>
      <w:bookmarkStart w:id="19" w:name="5746"/>
      <w:bookmarkEnd w:id="19"/>
      <w:r>
        <w:rPr>
          <w:rStyle w:val="Strong"/>
          <w:rFonts w:ascii="source-serif-pro;Georgia;Cambria;Times New Roman;Times;serif" w:hAnsi="source-serif-pro;Georgia;Cambria;Times New Roman;Times;serif"/>
          <w:b/>
          <w:i w:val="false"/>
          <w:caps w:val="false"/>
          <w:smallCaps w:val="false"/>
          <w:color w:val="242424"/>
          <w:spacing w:val="0"/>
          <w:sz w:val="30"/>
        </w:rPr>
        <w:t>Second, people make emotional decisions, not rational ones.</w:t>
      </w:r>
      <w:r>
        <w:rPr>
          <w:rFonts w:ascii="source-serif-pro;Georgia;Cambria;Times New Roman;Times;serif" w:hAnsi="source-serif-pro;Georgia;Cambria;Times New Roman;Times;serif"/>
          <w:b w:val="false"/>
          <w:i w:val="false"/>
          <w:caps w:val="false"/>
          <w:smallCaps w:val="false"/>
          <w:color w:val="242424"/>
          <w:spacing w:val="0"/>
          <w:sz w:val="30"/>
        </w:rPr>
        <w:t> Game theory and rational-actor models apply to a small minority. Large communities make emotional decisions and use logic afterward to justify them. Any model that fails to account for this will be systematically wrong.</w:t>
      </w:r>
    </w:p>
    <w:p>
      <w:pPr>
        <w:pStyle w:val="BodyText"/>
        <w:widowControl/>
        <w:bidi w:val="0"/>
        <w:spacing w:lineRule="atLeast" w:line="480" w:before="0" w:after="0"/>
        <w:ind w:hanging="0" w:start="360" w:end="360"/>
        <w:jc w:val="start"/>
        <w:rPr/>
      </w:pPr>
      <w:bookmarkStart w:id="20" w:name="460f"/>
      <w:bookmarkEnd w:id="20"/>
      <w:r>
        <w:rPr>
          <w:rStyle w:val="Strong"/>
          <w:rFonts w:ascii="source-serif-pro;Georgia;Cambria;Times New Roman;Times;serif" w:hAnsi="source-serif-pro;Georgia;Cambria;Times New Roman;Times;serif"/>
          <w:b/>
          <w:i w:val="false"/>
          <w:caps w:val="false"/>
          <w:smallCaps w:val="false"/>
          <w:color w:val="242424"/>
          <w:spacing w:val="0"/>
          <w:sz w:val="30"/>
        </w:rPr>
        <w:t>Third, hope is the most decisive variable of all.</w:t>
      </w:r>
      <w:r>
        <w:rPr>
          <w:rFonts w:ascii="source-serif-pro;Georgia;Cambria;Times New Roman;Times;serif" w:hAnsi="source-serif-pro;Georgia;Cambria;Times New Roman;Times;serif"/>
          <w:b w:val="false"/>
          <w:i w:val="false"/>
          <w:caps w:val="false"/>
          <w:smallCaps w:val="false"/>
          <w:color w:val="242424"/>
          <w:spacing w:val="0"/>
          <w:sz w:val="30"/>
        </w:rPr>
        <w:t> Motivation is accumulated energy. Whether that energy turns constructive or destructive is determined by the hope parameter. High motivation plus low hope: brain drain, capital flight, digital sabotage. High motivation plus high hope: innovation, construction, breakthrough.</w:t>
      </w:r>
    </w:p>
    <w:p>
      <w:pPr>
        <w:pStyle w:val="Heading2"/>
        <w:widowControl/>
        <w:bidi w:val="0"/>
        <w:spacing w:lineRule="atLeast" w:line="450" w:before="0" w:after="0"/>
        <w:ind w:hanging="0" w:start="360" w:end="360"/>
        <w:jc w:val="start"/>
        <w:rPr>
          <w:rFonts w:ascii="sohne;Helvetica Neue;Helvetica;Arial;sans-serif" w:hAnsi="sohne;Helvetica Neue;Helvetica;Arial;sans-serif"/>
          <w:b/>
          <w:i w:val="false"/>
          <w:caps w:val="false"/>
          <w:smallCaps w:val="false"/>
          <w:color w:val="242424"/>
          <w:spacing w:val="0"/>
          <w:sz w:val="36"/>
        </w:rPr>
      </w:pPr>
      <w:bookmarkStart w:id="21" w:name="727b"/>
      <w:bookmarkEnd w:id="21"/>
      <w:r>
        <w:rPr>
          <w:rFonts w:ascii="sohne;Helvetica Neue;Helvetica;Arial;sans-serif" w:hAnsi="sohne;Helvetica Neue;Helvetica;Arial;sans-serif"/>
          <w:b/>
          <w:i w:val="false"/>
          <w:caps w:val="false"/>
          <w:smallCaps w:val="false"/>
          <w:color w:val="242424"/>
          <w:spacing w:val="0"/>
          <w:sz w:val="36"/>
        </w:rPr>
        <w:t>Twelve Approaches</w:t>
      </w:r>
    </w:p>
    <w:p>
      <w:pPr>
        <w:pStyle w:val="Heading2"/>
        <w:widowControl/>
        <w:bidi w:val="0"/>
        <w:spacing w:lineRule="atLeast" w:line="450" w:before="0" w:after="0"/>
        <w:ind w:hanging="0" w:start="360" w:end="360"/>
        <w:jc w:val="start"/>
        <w:rPr/>
      </w:pPr>
      <w:hyperlink r:id="rId10" w:tgtFrame="_blank">
        <w:bookmarkStart w:id="22" w:name="1b03"/>
        <w:bookmarkEnd w:id="22"/>
        <w:r>
          <w:rPr>
            <w:rStyle w:val="Hyperlink"/>
            <w:rFonts w:ascii="sohne;Helvetica Neue;Helvetica;Arial;sans-serif" w:hAnsi="sohne;Helvetica Neue;Helvetica;Arial;sans-serif"/>
            <w:b/>
            <w:i w:val="false"/>
            <w:caps w:val="false"/>
            <w:smallCaps w:val="false"/>
            <w:color w:val="242424"/>
            <w:spacing w:val="0"/>
            <w:sz w:val="36"/>
            <w:u w:val="single"/>
          </w:rPr>
          <w:t>ChatGPT: The Environment Variable and the Residual Signal Method</w:t>
        </w:r>
      </w:hyperlink>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23" w:name="7592"/>
      <w:bookmarkEnd w:id="23"/>
      <w:r>
        <w:rPr>
          <w:rFonts w:ascii="source-serif-pro;Georgia;Cambria;Times New Roman;Times;serif" w:hAnsi="source-serif-pro;Georgia;Cambria;Times New Roman;Times;serif"/>
          <w:b w:val="false"/>
          <w:i w:val="false"/>
          <w:caps w:val="false"/>
          <w:smallCaps w:val="false"/>
          <w:color w:val="242424"/>
          <w:spacing w:val="0"/>
          <w:sz w:val="30"/>
        </w:rPr>
        <w:t>ChatGPT laid the methodological skeleton of psychohistory. Its most important contribution was this observation: measuring historical waves by time alone is misleading. A wave’s behavior depends on the medium it travels through — just as sound moves at different speeds through air and water. For this reason, an “environment variable” must be defined for each era: the institutional flexibility, information diffusion speed, and economic diversity of that age. A century-long process in Rome can only be compared to a decade-long process in the digital age after this normalization is applied.</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24" w:name="5452"/>
      <w:bookmarkEnd w:id="24"/>
      <w:r>
        <w:rPr>
          <w:rFonts w:ascii="source-serif-pro;Georgia;Cambria;Times New Roman;Times;serif" w:hAnsi="source-serif-pro;Georgia;Cambria;Times New Roman;Times;serif"/>
          <w:b w:val="false"/>
          <w:i w:val="false"/>
          <w:caps w:val="false"/>
          <w:smallCaps w:val="false"/>
          <w:color w:val="242424"/>
          <w:spacing w:val="0"/>
          <w:sz w:val="30"/>
        </w:rPr>
        <w:t>It also proposed the “residual signal method” for detecting new patterns: once all known waves (economic cycles, generational cycles, hegemonic cycles) are subtracted from a time series, what remains is the space where unnamed new patterns are hiding. For the mathematical formulation, see the GitHub page.</w:t>
      </w:r>
    </w:p>
    <w:p>
      <w:pPr>
        <w:pStyle w:val="Heading2"/>
        <w:widowControl/>
        <w:bidi w:val="0"/>
        <w:spacing w:lineRule="atLeast" w:line="450" w:before="0" w:after="0"/>
        <w:ind w:hanging="0" w:start="360" w:end="360"/>
        <w:jc w:val="start"/>
        <w:rPr/>
      </w:pPr>
      <w:hyperlink r:id="rId11" w:tgtFrame="_blank">
        <w:bookmarkStart w:id="25" w:name="c339"/>
        <w:bookmarkEnd w:id="25"/>
        <w:r>
          <w:rPr>
            <w:rStyle w:val="Hyperlink"/>
            <w:rFonts w:ascii="sohne;Helvetica Neue;Helvetica;Arial;sans-serif" w:hAnsi="sohne;Helvetica Neue;Helvetica;Arial;sans-serif"/>
            <w:b/>
            <w:i w:val="false"/>
            <w:caps w:val="false"/>
            <w:smallCaps w:val="false"/>
            <w:color w:val="242424"/>
            <w:spacing w:val="0"/>
            <w:sz w:val="36"/>
            <w:u w:val="single"/>
          </w:rPr>
          <w:t>Claude: The Painted Swan Theorem and the Cohort Matrix</w:t>
        </w:r>
      </w:hyperlink>
    </w:p>
    <w:p>
      <w:pPr>
        <w:pStyle w:val="BodyText"/>
        <w:widowControl/>
        <w:bidi w:val="0"/>
        <w:spacing w:lineRule="atLeast" w:line="480" w:before="0" w:after="0"/>
        <w:ind w:hanging="0" w:start="360" w:end="360"/>
        <w:jc w:val="start"/>
        <w:rPr/>
      </w:pPr>
      <w:bookmarkStart w:id="26" w:name="45be"/>
      <w:bookmarkEnd w:id="26"/>
      <w:r>
        <w:rPr>
          <w:rFonts w:ascii="source-serif-pro;Georgia;Cambria;Times New Roman;Times;serif" w:hAnsi="source-serif-pro;Georgia;Cambria;Times New Roman;Times;serif"/>
          <w:b w:val="false"/>
          <w:i w:val="false"/>
          <w:caps w:val="false"/>
          <w:smallCaps w:val="false"/>
          <w:color w:val="242424"/>
          <w:spacing w:val="0"/>
          <w:sz w:val="30"/>
        </w:rPr>
        <w:t>Claude systematically framed all the layers of psychohistory — time normalization, cultural code matrix, and generational lag models — within a single architecture. Its most original contribution was the </w:t>
      </w:r>
      <w:r>
        <w:rPr>
          <w:rStyle w:val="Strong"/>
          <w:rFonts w:ascii="source-serif-pro;Georgia;Cambria;Times New Roman;Times;serif" w:hAnsi="source-serif-pro;Georgia;Cambria;Times New Roman;Times;serif"/>
          <w:b/>
          <w:i w:val="false"/>
          <w:caps w:val="false"/>
          <w:smallCaps w:val="false"/>
          <w:color w:val="242424"/>
          <w:spacing w:val="0"/>
          <w:sz w:val="30"/>
        </w:rPr>
        <w:t>Painted Swan Theorem</w:t>
      </w:r>
      <w:r>
        <w:rPr>
          <w:rFonts w:ascii="source-serif-pro;Georgia;Cambria;Times New Roman;Times;serif" w:hAnsi="source-serif-pro;Georgia;Cambria;Times New Roman;Times;serif"/>
          <w:b w:val="false"/>
          <w:i w:val="false"/>
          <w:caps w:val="false"/>
          <w:smallCaps w:val="false"/>
          <w:color w:val="242424"/>
          <w:spacing w:val="0"/>
          <w:sz w:val="30"/>
        </w:rPr>
        <w:t>.</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27" w:name="7ef0"/>
      <w:bookmarkEnd w:id="27"/>
      <w:r>
        <w:rPr>
          <w:rFonts w:ascii="source-serif-pro;Georgia;Cambria;Times New Roman;Times;serif" w:hAnsi="source-serif-pro;Georgia;Cambria;Times New Roman;Times;serif"/>
          <w:b w:val="false"/>
          <w:i w:val="false"/>
          <w:caps w:val="false"/>
          <w:smallCaps w:val="false"/>
          <w:color w:val="242424"/>
          <w:spacing w:val="0"/>
          <w:sz w:val="30"/>
        </w:rPr>
        <w:t>Nassim Taleb’s Black Swan theory holds that systems collapse from unforeseeable events. This is true, but incomplete. History reveals a darker truth: when a system is under sufficient stress and powerful actors’ interests require it, the triggering event is not waited for — it is manufactured. The oil embargo on Japan, the staged raid on the Polish border, the alleged attacks in the gulf… their shared structure is this: first the desired outcome is decided, then the justification is created. The psychohistory model can estimate the probability of such events from the system’s stress level and the accumulated intent of powerful actors.</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28" w:name="41c9"/>
      <w:bookmarkEnd w:id="28"/>
      <w:r>
        <w:rPr>
          <w:rFonts w:ascii="source-serif-pro;Georgia;Cambria;Times New Roman;Times;serif" w:hAnsi="source-serif-pro;Georgia;Cambria;Times New Roman;Times;serif"/>
          <w:b w:val="false"/>
          <w:i w:val="false"/>
          <w:caps w:val="false"/>
          <w:smallCaps w:val="false"/>
          <w:color w:val="242424"/>
          <w:spacing w:val="0"/>
          <w:sz w:val="30"/>
        </w:rPr>
        <w:t>Claude also made the cohort matrix concrete: the effect of a change in the education system becomes visible in youth after eleven years, in the productive population after twenty-two years, and in the decision-making tier after thirty-three years. The ideological transformation of Turkey’s education system after 1980 producing political consequences in 2002 is a real-world example of this lag. For all formulas, see the GitHub page.</w:t>
      </w:r>
    </w:p>
    <w:p>
      <w:pPr>
        <w:pStyle w:val="Heading2"/>
        <w:widowControl/>
        <w:bidi w:val="0"/>
        <w:spacing w:lineRule="atLeast" w:line="450" w:before="0" w:after="0"/>
        <w:ind w:hanging="0" w:start="360" w:end="360"/>
        <w:jc w:val="start"/>
        <w:rPr/>
      </w:pPr>
      <w:hyperlink r:id="rId12" w:tgtFrame="_blank">
        <w:bookmarkStart w:id="29" w:name="72f0"/>
        <w:bookmarkEnd w:id="29"/>
        <w:r>
          <w:rPr>
            <w:rStyle w:val="Hyperlink"/>
            <w:rFonts w:ascii="sohne;Helvetica Neue;Helvetica;Arial;sans-serif" w:hAnsi="sohne;Helvetica Neue;Helvetica;Arial;sans-serif"/>
            <w:b/>
            <w:i w:val="false"/>
            <w:caps w:val="false"/>
            <w:smallCaps w:val="false"/>
            <w:color w:val="242424"/>
            <w:spacing w:val="0"/>
            <w:sz w:val="36"/>
            <w:u w:val="single"/>
          </w:rPr>
          <w:t>Gemini: The Phase-Transition Equation and Multi-Agent Simulation</w:t>
        </w:r>
      </w:hyperlink>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30" w:name="1be1"/>
      <w:bookmarkEnd w:id="30"/>
      <w:r>
        <w:rPr>
          <w:rFonts w:ascii="source-serif-pro;Georgia;Cambria;Times New Roman;Times;serif" w:hAnsi="source-serif-pro;Georgia;Cambria;Times New Roman;Times;serif"/>
          <w:b w:val="false"/>
          <w:i w:val="false"/>
          <w:caps w:val="false"/>
          <w:smallCaps w:val="false"/>
          <w:color w:val="242424"/>
          <w:spacing w:val="0"/>
          <w:sz w:val="30"/>
        </w:rPr>
        <w:t>Gemini’s contribution was twofold: theoretical and architectural.</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31" w:name="8bc7"/>
      <w:bookmarkEnd w:id="31"/>
      <w:r>
        <w:rPr>
          <w:rFonts w:ascii="source-serif-pro;Georgia;Cambria;Times New Roman;Times;serif" w:hAnsi="source-serif-pro;Georgia;Cambria;Times New Roman;Times;serif"/>
          <w:b w:val="false"/>
          <w:i w:val="false"/>
          <w:caps w:val="false"/>
          <w:smallCaps w:val="false"/>
          <w:color w:val="242424"/>
          <w:spacing w:val="0"/>
          <w:sz w:val="30"/>
        </w:rPr>
        <w:t>On the theoretical side, it expressed the probability of a society experiencing a phase transition in a single closed form. The logic of this formula can be summarized as follows: the numerator consists of the product of motivational pressure and the hope vector; the denominator contains the system’s structural integrity and the backlash coefficient generated in response to top-down ideological pressure. When hope turns negative the numerator shrinks; when the numerator grows while the denominator shrinks, the probability of collapse rises sharply. External threat — real or manufactured — enters the equation as a separate term.</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32" w:name="cc25"/>
      <w:bookmarkEnd w:id="32"/>
      <w:r>
        <w:rPr>
          <w:rFonts w:ascii="source-serif-pro;Georgia;Cambria;Times New Roman;Times;serif" w:hAnsi="source-serif-pro;Georgia;Cambria;Times New Roman;Times;serif"/>
          <w:b w:val="false"/>
          <w:i w:val="false"/>
          <w:caps w:val="false"/>
          <w:smallCaps w:val="false"/>
          <w:color w:val="242424"/>
          <w:spacing w:val="0"/>
          <w:sz w:val="30"/>
        </w:rPr>
        <w:t>On the architectural side, it modeled society not as a homogeneous mass but as a system of three agent types: the energetic-idealist minority that initiates change, the inertial majority that resists it, and a high-talent “helium” group that quietly emigrates when system stress rises. The multi-agent structure simulating these three groups is balanced by passing it through a neutral secretary LLM layer. For the complete formulas, see the GitHub page.</w:t>
      </w:r>
    </w:p>
    <w:p>
      <w:pPr>
        <w:pStyle w:val="Heading2"/>
        <w:widowControl/>
        <w:bidi w:val="0"/>
        <w:spacing w:lineRule="atLeast" w:line="450" w:before="0" w:after="0"/>
        <w:ind w:hanging="0" w:start="360" w:end="360"/>
        <w:jc w:val="start"/>
        <w:rPr/>
      </w:pPr>
      <w:hyperlink r:id="rId13" w:tgtFrame="_blank">
        <w:bookmarkStart w:id="33" w:name="789f"/>
        <w:bookmarkEnd w:id="33"/>
        <w:r>
          <w:rPr>
            <w:rStyle w:val="Hyperlink"/>
            <w:rFonts w:ascii="sohne;Helvetica Neue;Helvetica;Arial;sans-serif" w:hAnsi="sohne;Helvetica Neue;Helvetica;Arial;sans-serif"/>
            <w:b/>
            <w:i w:val="false"/>
            <w:caps w:val="false"/>
            <w:smallCaps w:val="false"/>
            <w:color w:val="242424"/>
            <w:spacing w:val="0"/>
            <w:sz w:val="36"/>
            <w:u w:val="single"/>
          </w:rPr>
          <w:t>Grok: Wave Superposition and the Motivational Driving Force</w:t>
        </w:r>
      </w:hyperlink>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34" w:name="f7e0"/>
      <w:bookmarkEnd w:id="34"/>
      <w:r>
        <w:rPr>
          <w:rFonts w:ascii="source-serif-pro;Georgia;Cambria;Times New Roman;Times;serif" w:hAnsi="source-serif-pro;Georgia;Cambria;Times New Roman;Times;serif"/>
          <w:b w:val="false"/>
          <w:i w:val="false"/>
          <w:caps w:val="false"/>
          <w:smallCaps w:val="false"/>
          <w:color w:val="242424"/>
          <w:spacing w:val="0"/>
          <w:sz w:val="30"/>
        </w:rPr>
        <w:t>Grok modeled societal stability as the superposition of many interacting waves. Each wave has amplitude, frequency, and phase; these are multiplied by a technological multiplier, an emotional mode coefficient, a cultural vector, and a hope index. The result is a composite value reflecting society’s “direction” and “acceleration” at a given moment.</w:t>
      </w:r>
    </w:p>
    <w:p>
      <w:pPr>
        <w:pStyle w:val="BodyText"/>
        <w:widowControl/>
        <w:bidi w:val="0"/>
        <w:spacing w:lineRule="atLeast" w:line="480" w:before="0" w:after="0"/>
        <w:ind w:hanging="0" w:start="360" w:end="360"/>
        <w:jc w:val="start"/>
        <w:rPr/>
      </w:pPr>
      <w:bookmarkStart w:id="35" w:name="1959"/>
      <w:bookmarkEnd w:id="35"/>
      <w:r>
        <w:rPr>
          <w:rFonts w:ascii="source-serif-pro;Georgia;Cambria;Times New Roman;Times;serif" w:hAnsi="source-serif-pro;Georgia;Cambria;Times New Roman;Times;serif"/>
          <w:b w:val="false"/>
          <w:i w:val="false"/>
          <w:caps w:val="false"/>
          <w:smallCaps w:val="false"/>
          <w:color w:val="242424"/>
          <w:spacing w:val="0"/>
          <w:sz w:val="30"/>
        </w:rPr>
        <w:t>Its most original conceptual contribution was the </w:t>
      </w:r>
      <w:r>
        <w:rPr>
          <w:rStyle w:val="Strong"/>
          <w:rFonts w:ascii="source-serif-pro;Georgia;Cambria;Times New Roman;Times;serif" w:hAnsi="source-serif-pro;Georgia;Cambria;Times New Roman;Times;serif"/>
          <w:b/>
          <w:i w:val="false"/>
          <w:caps w:val="false"/>
          <w:smallCaps w:val="false"/>
          <w:color w:val="242424"/>
          <w:spacing w:val="0"/>
          <w:sz w:val="30"/>
        </w:rPr>
        <w:t>motivational driving force (MIG)</w:t>
      </w:r>
      <w:r>
        <w:rPr>
          <w:rFonts w:ascii="source-serif-pro;Georgia;Cambria;Times New Roman;Times;serif" w:hAnsi="source-serif-pro;Georgia;Cambria;Times New Roman;Times;serif"/>
          <w:b w:val="false"/>
          <w:i w:val="false"/>
          <w:caps w:val="false"/>
          <w:smallCaps w:val="false"/>
          <w:color w:val="242424"/>
          <w:spacing w:val="0"/>
          <w:sz w:val="30"/>
        </w:rPr>
        <w:t>: the energy that builds up under pressure does not by itself provide direction. For that energy to flow into a constructive channel, it must be multiplied by hope. If deprivation is high but hope is zero, motivational energy turns toward destruction rather than innovation — the pressure cooker goes to explosion rather than turbine. For the mathematical expression of this formula, see the GitHub page.</w:t>
      </w:r>
    </w:p>
    <w:p>
      <w:pPr>
        <w:pStyle w:val="Heading2"/>
        <w:widowControl/>
        <w:bidi w:val="0"/>
        <w:spacing w:lineRule="atLeast" w:line="450" w:before="0" w:after="0"/>
        <w:ind w:hanging="0" w:start="360" w:end="360"/>
        <w:jc w:val="start"/>
        <w:rPr/>
      </w:pPr>
      <w:hyperlink r:id="rId14" w:tgtFrame="_blank">
        <w:bookmarkStart w:id="36" w:name="2142"/>
        <w:bookmarkEnd w:id="36"/>
        <w:r>
          <w:rPr>
            <w:rStyle w:val="Hyperlink"/>
            <w:rFonts w:ascii="sohne;Helvetica Neue;Helvetica;Arial;sans-serif" w:hAnsi="sohne;Helvetica Neue;Helvetica;Arial;sans-serif"/>
            <w:b/>
            <w:i w:val="false"/>
            <w:caps w:val="false"/>
            <w:smallCaps w:val="false"/>
            <w:color w:val="242424"/>
            <w:spacing w:val="0"/>
            <w:sz w:val="36"/>
            <w:u w:val="single"/>
          </w:rPr>
          <w:t>DeepSeek: Differential Equations and Future Scenarios</w:t>
        </w:r>
      </w:hyperlink>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37" w:name="ab4a"/>
      <w:bookmarkEnd w:id="37"/>
      <w:r>
        <w:rPr>
          <w:rFonts w:ascii="source-serif-pro;Georgia;Cambria;Times New Roman;Times;serif" w:hAnsi="source-serif-pro;Georgia;Cambria;Times New Roman;Times;serif"/>
          <w:b w:val="false"/>
          <w:i w:val="false"/>
          <w:caps w:val="false"/>
          <w:smallCaps w:val="false"/>
          <w:color w:val="242424"/>
          <w:spacing w:val="0"/>
          <w:sz w:val="30"/>
        </w:rPr>
        <w:t>DeepSeek framed psychohistory as a system of differential equations. As debt burden and military overextension rise, collapse risk increases; as institutional trust and hope rise, risk falls. The rate of change of these parameters over time shows in which direction a society is accelerating — the derivatives matter more than the instantaneous values.</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38" w:name="2def"/>
      <w:bookmarkEnd w:id="38"/>
      <w:r>
        <w:rPr>
          <w:rFonts w:ascii="source-serif-pro;Georgia;Cambria;Times New Roman;Times;serif" w:hAnsi="source-serif-pro;Georgia;Cambria;Times New Roman;Times;serif"/>
          <w:b w:val="false"/>
          <w:i w:val="false"/>
          <w:caps w:val="false"/>
          <w:smallCaps w:val="false"/>
          <w:color w:val="242424"/>
          <w:spacing w:val="0"/>
          <w:sz w:val="30"/>
        </w:rPr>
        <w:t>It also modeled brain drain as a separate equation: a society’s creative capacity erodes in proportion to the emigration rate of talented individuals. This erosion accumulates across generations and is far harder to reverse than to prevent. The article also evaluated rough scenarios for 2025–2035 for the United States, China, Europe, and Turkey within this framework. For all equations, see the GitHub page.</w:t>
      </w:r>
    </w:p>
    <w:p>
      <w:pPr>
        <w:pStyle w:val="Heading2"/>
        <w:widowControl/>
        <w:bidi w:val="0"/>
        <w:spacing w:lineRule="atLeast" w:line="450" w:before="0" w:after="0"/>
        <w:ind w:hanging="0" w:start="360" w:end="360"/>
        <w:jc w:val="start"/>
        <w:rPr/>
      </w:pPr>
      <w:hyperlink r:id="rId15" w:tgtFrame="_blank">
        <w:bookmarkStart w:id="39" w:name="c746"/>
        <w:bookmarkEnd w:id="39"/>
        <w:r>
          <w:rPr>
            <w:rStyle w:val="Hyperlink"/>
            <w:rFonts w:ascii="sohne;Helvetica Neue;Helvetica;Arial;sans-serif" w:hAnsi="sohne;Helvetica Neue;Helvetica;Arial;sans-serif"/>
            <w:b/>
            <w:i w:val="false"/>
            <w:caps w:val="false"/>
            <w:smallCaps w:val="false"/>
            <w:color w:val="242424"/>
            <w:spacing w:val="0"/>
            <w:sz w:val="36"/>
            <w:u w:val="single"/>
          </w:rPr>
          <w:t>Meta AI: The Physical Wave Model and Cultural Viscosity</w:t>
        </w:r>
      </w:hyperlink>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40" w:name="f702"/>
      <w:bookmarkEnd w:id="40"/>
      <w:r>
        <w:rPr>
          <w:rFonts w:ascii="source-serif-pro;Georgia;Cambria;Times New Roman;Times;serif" w:hAnsi="source-serif-pro;Georgia;Cambria;Times New Roman;Times;serif"/>
          <w:b w:val="false"/>
          <w:i w:val="false"/>
          <w:caps w:val="false"/>
          <w:smallCaps w:val="false"/>
          <w:color w:val="242424"/>
          <w:spacing w:val="0"/>
          <w:sz w:val="30"/>
        </w:rPr>
        <w:t>Meta AI modeled history as a physical wave equation, adding cultural code and emotional mode layer by layer. It expressed the concept of relative time in its simplest form: the integral of the information and resource transmission speed of an era over time replaces raw calendar time. This makes events from different ages comparable.</w:t>
      </w:r>
    </w:p>
    <w:p>
      <w:pPr>
        <w:pStyle w:val="BodyText"/>
        <w:widowControl/>
        <w:bidi w:val="0"/>
        <w:spacing w:lineRule="atLeast" w:line="480" w:before="360" w:after="36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41" w:name="a98b"/>
      <w:bookmarkEnd w:id="41"/>
      <w:r>
        <w:rPr>
          <w:rFonts w:ascii="source-serif-pro;Georgia;Cambria;Times New Roman;Times;serif" w:hAnsi="source-serif-pro;Georgia;Cambria;Times New Roman;Times;serif"/>
          <w:b w:val="false"/>
          <w:i w:val="false"/>
          <w:caps w:val="false"/>
          <w:smallCaps w:val="false"/>
          <w:color w:val="242424"/>
          <w:spacing w:val="0"/>
          <w:sz w:val="30"/>
        </w:rPr>
        <w:t>Its most powerful empirical observation was this: cultural distrust manifests concretely in behavioral data. Turkey’s privately held gold — estimated at 3,000 to 5,000 tonnes — is the numerical expression of thousands of years of accumulated distrust toward central authority. No survey can yield this data; but the gold carries this truth silently. For the full mathematical expression of the wave equations, see the GitHub page.</w:t>
      </w:r>
    </w:p>
    <w:p>
      <w:pPr>
        <w:pStyle w:val="Heading2"/>
        <w:widowControl/>
        <w:bidi w:val="0"/>
        <w:spacing w:lineRule="atLeast" w:line="450" w:before="0" w:after="0"/>
        <w:ind w:hanging="0" w:start="360" w:end="360"/>
        <w:jc w:val="start"/>
        <w:rPr/>
      </w:pPr>
      <w:hyperlink r:id="rId16" w:tgtFrame="_blank">
        <w:bookmarkStart w:id="42" w:name="6e0e"/>
        <w:bookmarkEnd w:id="42"/>
        <w:r>
          <w:rPr>
            <w:rStyle w:val="Hyperlink"/>
            <w:rFonts w:ascii="sohne;Helvetica Neue;Helvetica;Arial;sans-serif" w:hAnsi="sohne;Helvetica Neue;Helvetica;Arial;sans-serif"/>
            <w:b/>
            <w:i w:val="false"/>
            <w:caps w:val="false"/>
            <w:smallCaps w:val="false"/>
            <w:color w:val="242424"/>
            <w:spacing w:val="0"/>
            <w:sz w:val="36"/>
            <w:u w:val="single"/>
          </w:rPr>
          <w:t>Qwen: The Spectral Integrity Principle and the ReLU Prohibition</w:t>
        </w:r>
      </w:hyperlink>
    </w:p>
    <w:p>
      <w:pPr>
        <w:pStyle w:val="BodyText"/>
        <w:widowControl/>
        <w:bidi w:val="0"/>
        <w:spacing w:lineRule="atLeast" w:line="480" w:before="0" w:after="0"/>
        <w:ind w:hanging="0" w:start="360" w:end="360"/>
        <w:jc w:val="start"/>
        <w:rPr/>
      </w:pPr>
      <w:bookmarkStart w:id="43" w:name="040c"/>
      <w:bookmarkEnd w:id="43"/>
      <w:r>
        <w:rPr>
          <w:rFonts w:ascii="source-serif-pro;Georgia;Cambria;Times New Roman;Times;serif" w:hAnsi="source-serif-pro;Georgia;Cambria;Times New Roman;Times;serif"/>
          <w:b w:val="false"/>
          <w:i w:val="false"/>
          <w:caps w:val="false"/>
          <w:smallCaps w:val="false"/>
          <w:color w:val="242424"/>
          <w:spacing w:val="0"/>
          <w:sz w:val="30"/>
        </w:rPr>
        <w:t>Qwen’s most original contribution was a technical but foundational argument: the </w:t>
      </w:r>
      <w:r>
        <w:rPr>
          <w:rStyle w:val="Strong"/>
          <w:rFonts w:ascii="source-serif-pro;Georgia;Cambria;Times New Roman;Times;serif" w:hAnsi="source-serif-pro;Georgia;Cambria;Times New Roman;Times;serif"/>
          <w:b/>
          <w:i w:val="false"/>
          <w:caps w:val="false"/>
          <w:smallCaps w:val="false"/>
          <w:color w:val="242424"/>
          <w:spacing w:val="0"/>
          <w:sz w:val="30"/>
        </w:rPr>
        <w:t>ReLU prohibition</w:t>
      </w:r>
      <w:r>
        <w:rPr>
          <w:rFonts w:ascii="source-serif-pro;Georgia;Cambria;Times New Roman;Times;serif" w:hAnsi="source-serif-pro;Georgia;Cambria;Times New Roman;Times;serif"/>
          <w:b w:val="false"/>
          <w:i w:val="false"/>
          <w:caps w:val="false"/>
          <w:smallCaps w:val="false"/>
          <w:color w:val="242424"/>
          <w:spacing w:val="0"/>
          <w:sz w:val="30"/>
        </w:rPr>
        <w:t>. The ReLU activation function commonly used in conventional neural networks zeroes out negative values. For modeling economic growth that may be acceptable; for modeling history it is not. In history, stagnation, retreat, erosion, and collapse are also real phases and must not be zeroed out. In a psychohistory model, the wave form must be preserved in full — spectral integrity is non-negotiable.</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44" w:name="f33f"/>
      <w:bookmarkEnd w:id="44"/>
      <w:r>
        <w:rPr>
          <w:rFonts w:ascii="source-serif-pro;Georgia;Cambria;Times New Roman;Times;serif" w:hAnsi="source-serif-pro;Georgia;Cambria;Times New Roman;Times;serif"/>
          <w:b w:val="false"/>
          <w:i w:val="false"/>
          <w:caps w:val="false"/>
          <w:smallCaps w:val="false"/>
          <w:color w:val="242424"/>
          <w:spacing w:val="0"/>
          <w:sz w:val="30"/>
        </w:rPr>
        <w:t>Building from this principle, the final system equation it constructed combined all parameters into a single structure: the amplitude, frequency, growth/decay coefficient, cultural modulation operator, and hope multiplier of each wave. The critical collapse alarm triggers when the system’s Lyapunov exponent turns positive and the phases of the component waves approach opposition. For the complete formula, see the GitHub page.</w:t>
      </w:r>
    </w:p>
    <w:p>
      <w:pPr>
        <w:pStyle w:val="Heading2"/>
        <w:widowControl/>
        <w:bidi w:val="0"/>
        <w:spacing w:lineRule="atLeast" w:line="450" w:before="0" w:after="0"/>
        <w:ind w:hanging="0" w:start="360" w:end="360"/>
        <w:jc w:val="start"/>
        <w:rPr/>
      </w:pPr>
      <w:hyperlink r:id="rId17" w:tgtFrame="_blank">
        <w:bookmarkStart w:id="45" w:name="6924"/>
        <w:bookmarkEnd w:id="45"/>
        <w:r>
          <w:rPr>
            <w:rStyle w:val="Hyperlink"/>
            <w:rFonts w:ascii="sohne;Helvetica Neue;Helvetica;Arial;sans-serif" w:hAnsi="sohne;Helvetica Neue;Helvetica;Arial;sans-serif"/>
            <w:b/>
            <w:i w:val="false"/>
            <w:caps w:val="false"/>
            <w:smallCaps w:val="false"/>
            <w:color w:val="242424"/>
            <w:spacing w:val="0"/>
            <w:sz w:val="36"/>
            <w:u w:val="single"/>
          </w:rPr>
          <w:t>Kimi: Data Reliability Layers and the Mode Fracture</w:t>
        </w:r>
      </w:hyperlink>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46" w:name="2732"/>
      <w:bookmarkEnd w:id="46"/>
      <w:r>
        <w:rPr>
          <w:rFonts w:ascii="source-serif-pro;Georgia;Cambria;Times New Roman;Times;serif" w:hAnsi="source-serif-pro;Georgia;Cambria;Times New Roman;Times;serif"/>
          <w:b w:val="false"/>
          <w:i w:val="false"/>
          <w:caps w:val="false"/>
          <w:smallCaps w:val="false"/>
          <w:color w:val="242424"/>
          <w:spacing w:val="0"/>
          <w:sz w:val="30"/>
        </w:rPr>
        <w:t>Kimi’s most valuable contribution lay in data philosophy as much as mathematics. It classified historical data into six reliability layers: the most reliable are archaeological remains and physical measurements; the least reliable are official state archives and surveys. The practical expression of this hierarchy is the “pickle vendor index” — small, manipulation-resistant proxy data points like luxury pickle sales can sometimes paint a more honest picture than official statistics.</w:t>
      </w:r>
    </w:p>
    <w:p>
      <w:pPr>
        <w:pStyle w:val="BodyText"/>
        <w:widowControl/>
        <w:bidi w:val="0"/>
        <w:spacing w:lineRule="atLeast" w:line="480" w:before="0" w:after="0"/>
        <w:ind w:hanging="0" w:start="360" w:end="360"/>
        <w:jc w:val="start"/>
        <w:rPr/>
      </w:pPr>
      <w:bookmarkStart w:id="47" w:name="5df7"/>
      <w:bookmarkEnd w:id="47"/>
      <w:r>
        <w:rPr>
          <w:rFonts w:ascii="source-serif-pro;Georgia;Cambria;Times New Roman;Times;serif" w:hAnsi="source-serif-pro;Georgia;Cambria;Times New Roman;Times;serif"/>
          <w:b w:val="false"/>
          <w:i w:val="false"/>
          <w:caps w:val="false"/>
          <w:smallCaps w:val="false"/>
          <w:color w:val="242424"/>
          <w:spacing w:val="0"/>
          <w:sz w:val="30"/>
        </w:rPr>
        <w:t>It enriched the multidimensional wave formula by adding an environment vector, making time normalization concrete. But its most original concept was </w:t>
      </w:r>
      <w:r>
        <w:rPr>
          <w:rStyle w:val="Strong"/>
          <w:rFonts w:ascii="source-serif-pro;Georgia;Cambria;Times New Roman;Times;serif" w:hAnsi="source-serif-pro;Georgia;Cambria;Times New Roman;Times;serif"/>
          <w:b/>
          <w:i w:val="false"/>
          <w:caps w:val="false"/>
          <w:smallCaps w:val="false"/>
          <w:color w:val="242424"/>
          <w:spacing w:val="0"/>
          <w:sz w:val="30"/>
        </w:rPr>
        <w:t>mode fracture</w:t>
      </w:r>
      <w:r>
        <w:rPr>
          <w:rFonts w:ascii="source-serif-pro;Georgia;Cambria;Times New Roman;Times;serif" w:hAnsi="source-serif-pro;Georgia;Cambria;Times New Roman;Times;serif"/>
          <w:b w:val="false"/>
          <w:i w:val="false"/>
          <w:caps w:val="false"/>
          <w:smallCaps w:val="false"/>
          <w:color w:val="242424"/>
          <w:spacing w:val="0"/>
          <w:sz w:val="30"/>
        </w:rPr>
        <w:t>: the gap between the official narrative and marketplace reality is itself a crisis indicator. When the government says inflation is forty percent while citizens feel eighty percent pressure, that gap is a warning signal. It demonstrated this fracture with concrete data from the Turkish example. For the mathematical expression of the wave formula, see the GitHub page.</w:t>
      </w:r>
    </w:p>
    <w:p>
      <w:pPr>
        <w:pStyle w:val="Heading2"/>
        <w:widowControl/>
        <w:bidi w:val="0"/>
        <w:spacing w:lineRule="atLeast" w:line="450" w:before="0" w:after="0"/>
        <w:ind w:hanging="0" w:start="360" w:end="360"/>
        <w:jc w:val="start"/>
        <w:rPr/>
      </w:pPr>
      <w:hyperlink r:id="rId18" w:tgtFrame="_blank">
        <w:bookmarkStart w:id="48" w:name="a8d7"/>
        <w:bookmarkEnd w:id="48"/>
        <w:r>
          <w:rPr>
            <w:rStyle w:val="Hyperlink"/>
            <w:rFonts w:ascii="sohne;Helvetica Neue;Helvetica;Arial;sans-serif" w:hAnsi="sohne;Helvetica Neue;Helvetica;Arial;sans-serif"/>
            <w:b/>
            <w:i w:val="false"/>
            <w:caps w:val="false"/>
            <w:smallCaps w:val="false"/>
            <w:color w:val="242424"/>
            <w:spacing w:val="0"/>
            <w:sz w:val="36"/>
            <w:u w:val="single"/>
          </w:rPr>
          <w:t>MiniMax: The Seven-Stage Collapse Cycle and Measurable Thresholds</w:t>
        </w:r>
      </w:hyperlink>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49" w:name="1f83"/>
      <w:bookmarkEnd w:id="49"/>
      <w:r>
        <w:rPr>
          <w:rFonts w:ascii="source-serif-pro;Georgia;Cambria;Times New Roman;Times;serif" w:hAnsi="source-serif-pro;Georgia;Cambria;Times New Roman;Times;serif"/>
          <w:b w:val="false"/>
          <w:i w:val="false"/>
          <w:caps w:val="false"/>
          <w:smallCaps w:val="false"/>
          <w:color w:val="242424"/>
          <w:spacing w:val="0"/>
          <w:sz w:val="30"/>
        </w:rPr>
        <w:t>MiniMax offered the most systematic classification of historical patterns. It divided imperial collapses into seven stages: military overextension, currency debasement, debt spiral, loss of productive capacity, social decay, loss of reserve currency status, and sudden collapse. It formulated the revolution cycle in six stages and the hegemony transition as a separate cycle.</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50" w:name="88e5"/>
      <w:bookmarkEnd w:id="50"/>
      <w:r>
        <w:rPr>
          <w:rFonts w:ascii="source-serif-pro;Georgia;Cambria;Times New Roman;Times;serif" w:hAnsi="source-serif-pro;Georgia;Cambria;Times New Roman;Times;serif"/>
          <w:b w:val="false"/>
          <w:i w:val="false"/>
          <w:caps w:val="false"/>
          <w:smallCaps w:val="false"/>
          <w:color w:val="242424"/>
          <w:spacing w:val="0"/>
          <w:sz w:val="30"/>
        </w:rPr>
        <w:t>The strength of this approach was binding a measurable threshold to each stage. The first alarm triggers when military spending exceeds five percent of GDP; the third when interest payments surpass military spending; the fifth when institutional trust falls below thirty percent. These thresholds gave psychohistory’s early-warning system a concrete, actionable language. The article also examined which interventions work at which stage: Britain’s shift from industry to finance, Germany’s Rentenmark move, Japan’s zero interest rate policy — each produced different results at different stages. For the complete mathematical representation of the cycles, see the GitHub page.</w:t>
      </w:r>
    </w:p>
    <w:p>
      <w:pPr>
        <w:pStyle w:val="Heading2"/>
        <w:widowControl/>
        <w:bidi w:val="0"/>
        <w:spacing w:lineRule="atLeast" w:line="450" w:before="0" w:after="0"/>
        <w:ind w:hanging="0" w:start="360" w:end="360"/>
        <w:jc w:val="start"/>
        <w:rPr/>
      </w:pPr>
      <w:hyperlink r:id="rId19" w:tgtFrame="_blank">
        <w:bookmarkStart w:id="51" w:name="e83d"/>
        <w:bookmarkEnd w:id="51"/>
        <w:r>
          <w:rPr>
            <w:rStyle w:val="Hyperlink"/>
            <w:rFonts w:ascii="sohne;Helvetica Neue;Helvetica;Arial;sans-serif" w:hAnsi="sohne;Helvetica Neue;Helvetica;Arial;sans-serif"/>
            <w:b/>
            <w:i w:val="false"/>
            <w:caps w:val="false"/>
            <w:smallCaps w:val="false"/>
            <w:color w:val="242424"/>
            <w:spacing w:val="0"/>
            <w:sz w:val="36"/>
            <w:u w:val="single"/>
          </w:rPr>
          <w:t>Replit: The Resonance Trap and Memory Decay</w:t>
        </w:r>
      </w:hyperlink>
    </w:p>
    <w:p>
      <w:pPr>
        <w:pStyle w:val="BodyText"/>
        <w:widowControl/>
        <w:bidi w:val="0"/>
        <w:spacing w:lineRule="atLeast" w:line="480" w:before="0" w:after="0"/>
        <w:ind w:hanging="0" w:start="360" w:end="360"/>
        <w:jc w:val="start"/>
        <w:rPr/>
      </w:pPr>
      <w:bookmarkStart w:id="52" w:name="1448"/>
      <w:bookmarkEnd w:id="52"/>
      <w:r>
        <w:rPr>
          <w:rFonts w:ascii="source-serif-pro;Georgia;Cambria;Times New Roman;Times;serif" w:hAnsi="source-serif-pro;Georgia;Cambria;Times New Roman;Times;serif"/>
          <w:b w:val="false"/>
          <w:i w:val="false"/>
          <w:caps w:val="false"/>
          <w:smallCaps w:val="false"/>
          <w:color w:val="242424"/>
          <w:spacing w:val="0"/>
          <w:sz w:val="30"/>
        </w:rPr>
        <w:t>Replit introduced two original concepts. The first was the </w:t>
      </w:r>
      <w:r>
        <w:rPr>
          <w:rStyle w:val="Strong"/>
          <w:rFonts w:ascii="source-serif-pro;Georgia;Cambria;Times New Roman;Times;serif" w:hAnsi="source-serif-pro;Georgia;Cambria;Times New Roman;Times;serif"/>
          <w:b/>
          <w:i w:val="false"/>
          <w:caps w:val="false"/>
          <w:smallCaps w:val="false"/>
          <w:color w:val="242424"/>
          <w:spacing w:val="0"/>
          <w:sz w:val="30"/>
        </w:rPr>
        <w:t>resonance trap</w:t>
      </w:r>
      <w:r>
        <w:rPr>
          <w:rFonts w:ascii="source-serif-pro;Georgia;Cambria;Times New Roman;Times;serif" w:hAnsi="source-serif-pro;Georgia;Cambria;Times New Roman;Times;serif"/>
          <w:b w:val="false"/>
          <w:i w:val="false"/>
          <w:caps w:val="false"/>
          <w:smallCaps w:val="false"/>
          <w:color w:val="242424"/>
          <w:spacing w:val="0"/>
          <w:sz w:val="30"/>
        </w:rPr>
        <w:t>: when two waves operating at different frequencies act on a system simultaneously, the system experiences neither full collapse nor full recovery — it becomes trapped between the two waves. Post-1990 Japan is the most striking example: zero interest rate policy was pulling the monetary wave downward while the aging demographic wave was simultaneously contracting the economy. Because the two interventions operated at different frequencies, they neutralized each other.</w:t>
      </w:r>
    </w:p>
    <w:p>
      <w:pPr>
        <w:pStyle w:val="BodyText"/>
        <w:widowControl/>
        <w:bidi w:val="0"/>
        <w:spacing w:lineRule="atLeast" w:line="480" w:before="0" w:after="0"/>
        <w:ind w:hanging="0" w:start="360" w:end="360"/>
        <w:jc w:val="start"/>
        <w:rPr/>
      </w:pPr>
      <w:bookmarkStart w:id="53" w:name="73cf"/>
      <w:bookmarkEnd w:id="53"/>
      <w:r>
        <w:rPr>
          <w:rFonts w:ascii="source-serif-pro;Georgia;Cambria;Times New Roman;Times;serif" w:hAnsi="source-serif-pro;Georgia;Cambria;Times New Roman;Times;serif"/>
          <w:b w:val="false"/>
          <w:i w:val="false"/>
          <w:caps w:val="false"/>
          <w:smallCaps w:val="false"/>
          <w:color w:val="242424"/>
          <w:spacing w:val="0"/>
          <w:sz w:val="30"/>
        </w:rPr>
        <w:t>The second was </w:t>
      </w:r>
      <w:r>
        <w:rPr>
          <w:rStyle w:val="Strong"/>
          <w:rFonts w:ascii="source-serif-pro;Georgia;Cambria;Times New Roman;Times;serif" w:hAnsi="source-serif-pro;Georgia;Cambria;Times New Roman;Times;serif"/>
          <w:b/>
          <w:i w:val="false"/>
          <w:caps w:val="false"/>
          <w:smallCaps w:val="false"/>
          <w:color w:val="242424"/>
          <w:spacing w:val="0"/>
          <w:sz w:val="30"/>
        </w:rPr>
        <w:t>memory decay</w:t>
      </w:r>
      <w:r>
        <w:rPr>
          <w:rFonts w:ascii="source-serif-pro;Georgia;Cambria;Times New Roman;Times;serif" w:hAnsi="source-serif-pro;Georgia;Cambria;Times New Roman;Times;serif"/>
          <w:b w:val="false"/>
          <w:i w:val="false"/>
          <w:caps w:val="false"/>
          <w:smallCaps w:val="false"/>
          <w:color w:val="242424"/>
          <w:spacing w:val="0"/>
          <w:sz w:val="30"/>
        </w:rPr>
        <w:t>: a society’s collective memory erodes following an exponential function. The behavioral effect of a lived trauma is strong in the first thirty years, survives as narrative between thirty and eighty years, and beyond eighty years exists only as text — no longer shaping behavior. This is why the same society repeats the same mistakes across generations: when memory resets, the cycle begins again. For the mathematical representation of the formulas, see the GitHub page.</w:t>
      </w:r>
    </w:p>
    <w:p>
      <w:pPr>
        <w:pStyle w:val="Heading2"/>
        <w:widowControl/>
        <w:bidi w:val="0"/>
        <w:spacing w:lineRule="atLeast" w:line="450" w:before="0" w:after="0"/>
        <w:ind w:hanging="0" w:start="360" w:end="360"/>
        <w:jc w:val="start"/>
        <w:rPr/>
      </w:pPr>
      <w:hyperlink r:id="rId20" w:tgtFrame="_blank">
        <w:bookmarkStart w:id="54" w:name="9aaf"/>
        <w:bookmarkEnd w:id="54"/>
        <w:r>
          <w:rPr>
            <w:rStyle w:val="Hyperlink"/>
            <w:rFonts w:ascii="sohne;Helvetica Neue;Helvetica;Arial;sans-serif" w:hAnsi="sohne;Helvetica Neue;Helvetica;Arial;sans-serif"/>
            <w:b/>
            <w:i w:val="false"/>
            <w:caps w:val="false"/>
            <w:smallCaps w:val="false"/>
            <w:color w:val="242424"/>
            <w:spacing w:val="0"/>
            <w:sz w:val="36"/>
            <w:u w:val="single"/>
          </w:rPr>
          <w:t>Copilot: The Six-Parameter Core and the Pilot Plan</w:t>
        </w:r>
      </w:hyperlink>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55" w:name="5503"/>
      <w:bookmarkEnd w:id="55"/>
      <w:r>
        <w:rPr>
          <w:rFonts w:ascii="source-serif-pro;Georgia;Cambria;Times New Roman;Times;serif" w:hAnsi="source-serif-pro;Georgia;Cambria;Times New Roman;Times;serif"/>
          <w:b w:val="false"/>
          <w:i w:val="false"/>
          <w:caps w:val="false"/>
          <w:smallCaps w:val="false"/>
          <w:color w:val="242424"/>
          <w:spacing w:val="0"/>
          <w:sz w:val="30"/>
        </w:rPr>
        <w:t>Copilot organized the core of the psychohistory model around six parameters: Motivation Index, Hope Index, Mechanism-Scaled Time, Affective Resonance Index, Cultural Score, and Social Emotion Index. Each of these six parameters can be fed with measurable proxy data and together they summarize the dynamics at work in a society at any given moment.</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56" w:name="539f"/>
      <w:bookmarkEnd w:id="56"/>
      <w:r>
        <w:rPr>
          <w:rFonts w:ascii="source-serif-pro;Georgia;Cambria;Times New Roman;Times;serif" w:hAnsi="source-serif-pro;Georgia;Cambria;Times New Roman;Times;serif"/>
          <w:b w:val="false"/>
          <w:i w:val="false"/>
          <w:caps w:val="false"/>
          <w:smallCaps w:val="false"/>
          <w:color w:val="242424"/>
          <w:spacing w:val="0"/>
          <w:sz w:val="30"/>
        </w:rPr>
        <w:t>Beyond that, it drew the concrete roadmap for moving from theory to practice. A six-week pilot: selection of eight historical cases (four collapses, four cases of resilience), data collection and reliability scoring, motif discovery, agent-based simulation prototype, backtesting against historical data, and counterfactual analysis asking “what would have happened if intervention X had been made.” This plan is the first road map for turning psychohistory from abstract theory into a testable science. For the mathematical expression of the parameters, see the GitHub page.</w:t>
      </w:r>
    </w:p>
    <w:p>
      <w:pPr>
        <w:pStyle w:val="Heading2"/>
        <w:widowControl/>
        <w:bidi w:val="0"/>
        <w:spacing w:lineRule="atLeast" w:line="450" w:before="0" w:after="0"/>
        <w:ind w:hanging="0" w:start="360" w:end="360"/>
        <w:jc w:val="start"/>
        <w:rPr/>
      </w:pPr>
      <w:hyperlink r:id="rId21" w:tgtFrame="_blank">
        <w:bookmarkStart w:id="57" w:name="2dfc"/>
        <w:bookmarkEnd w:id="57"/>
        <w:r>
          <w:rPr>
            <w:rStyle w:val="Hyperlink"/>
            <w:rFonts w:ascii="sohne;Helvetica Neue;Helvetica;Arial;sans-serif" w:hAnsi="sohne;Helvetica Neue;Helvetica;Arial;sans-serif"/>
            <w:b/>
            <w:i w:val="false"/>
            <w:caps w:val="false"/>
            <w:smallCaps w:val="false"/>
            <w:color w:val="242424"/>
            <w:spacing w:val="0"/>
            <w:sz w:val="36"/>
            <w:u w:val="single"/>
          </w:rPr>
          <w:t>Z.ai: The Social Physics Equation and the Helium/Molasses Culture Distinction</w:t>
        </w:r>
      </w:hyperlink>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58" w:name="1592"/>
      <w:bookmarkEnd w:id="58"/>
      <w:r>
        <w:rPr>
          <w:rFonts w:ascii="source-serif-pro;Georgia;Cambria;Times New Roman;Times;serif" w:hAnsi="source-serif-pro;Georgia;Cambria;Times New Roman;Times;serif"/>
          <w:b w:val="false"/>
          <w:i w:val="false"/>
          <w:caps w:val="false"/>
          <w:smallCaps w:val="false"/>
          <w:color w:val="242424"/>
          <w:spacing w:val="0"/>
          <w:sz w:val="30"/>
        </w:rPr>
        <w:t>Z.ai offered the most comprehensive synthesis by unifying all parameters in a single social physics equation. The components of the equation can be summarized as follows: the emotional mode of society, motivational vapor pressure, and cultural adaptability matrix are integrated over time; the effect of artificially manufactured crises is added; the result is multiplied by the intervention variable.</w:t>
      </w:r>
    </w:p>
    <w:p>
      <w:pPr>
        <w:pStyle w:val="BodyText"/>
        <w:widowControl/>
        <w:bidi w:val="0"/>
        <w:spacing w:lineRule="atLeast" w:line="480" w:before="0" w:after="0"/>
        <w:ind w:hanging="0" w:start="360" w:end="360"/>
        <w:jc w:val="start"/>
        <w:rPr/>
      </w:pPr>
      <w:bookmarkStart w:id="59" w:name="73fc"/>
      <w:bookmarkEnd w:id="59"/>
      <w:r>
        <w:rPr>
          <w:rFonts w:ascii="source-serif-pro;Georgia;Cambria;Times New Roman;Times;serif" w:hAnsi="source-serif-pro;Georgia;Cambria;Times New Roman;Times;serif"/>
          <w:b w:val="false"/>
          <w:i w:val="false"/>
          <w:caps w:val="false"/>
          <w:smallCaps w:val="false"/>
          <w:color w:val="242424"/>
          <w:spacing w:val="0"/>
          <w:sz w:val="30"/>
        </w:rPr>
        <w:t>Its most original conceptual contribution was the cultural fluidity metaphor. Some cultures behave like </w:t>
      </w:r>
      <w:r>
        <w:rPr>
          <w:rStyle w:val="Strong"/>
          <w:rFonts w:ascii="source-serif-pro;Georgia;Cambria;Times New Roman;Times;serif" w:hAnsi="source-serif-pro;Georgia;Cambria;Times New Roman;Times;serif"/>
          <w:b/>
          <w:i w:val="false"/>
          <w:caps w:val="false"/>
          <w:smallCaps w:val="false"/>
          <w:color w:val="242424"/>
          <w:spacing w:val="0"/>
          <w:sz w:val="30"/>
        </w:rPr>
        <w:t>helium gas</w:t>
      </w:r>
      <w:r>
        <w:rPr>
          <w:rFonts w:ascii="source-serif-pro;Georgia;Cambria;Times New Roman;Times;serif" w:hAnsi="source-serif-pro;Georgia;Cambria;Times New Roman;Times;serif"/>
          <w:b w:val="false"/>
          <w:i w:val="false"/>
          <w:caps w:val="false"/>
          <w:smallCaps w:val="false"/>
          <w:color w:val="242424"/>
          <w:spacing w:val="0"/>
          <w:sz w:val="30"/>
        </w:rPr>
        <w:t>: low viscosity, slippery, finding escape routes under pressure, adapting rapidly to new conditions. Turkish culture falls into this category — even in the most adverse circumstances its capacity to generate alternatives remains high. Other cultures behave like </w:t>
      </w:r>
      <w:r>
        <w:rPr>
          <w:rStyle w:val="Strong"/>
          <w:rFonts w:ascii="source-serif-pro;Georgia;Cambria;Times New Roman;Times;serif" w:hAnsi="source-serif-pro;Georgia;Cambria;Times New Roman;Times;serif"/>
          <w:b/>
          <w:i w:val="false"/>
          <w:caps w:val="false"/>
          <w:smallCaps w:val="false"/>
          <w:color w:val="242424"/>
          <w:spacing w:val="0"/>
          <w:sz w:val="30"/>
        </w:rPr>
        <w:t>dry molasses</w:t>
      </w:r>
      <w:r>
        <w:rPr>
          <w:rFonts w:ascii="source-serif-pro;Georgia;Cambria;Times New Roman;Times;serif" w:hAnsi="source-serif-pro;Georgia;Cambria;Times New Roman;Times;serif"/>
          <w:b w:val="false"/>
          <w:i w:val="false"/>
          <w:caps w:val="false"/>
          <w:smallCaps w:val="false"/>
          <w:color w:val="242424"/>
          <w:spacing w:val="0"/>
          <w:sz w:val="30"/>
        </w:rPr>
        <w:t>: high viscosity, heavy, slow-moving, but once they change direction they carry enormous mass with them. Japanese and Chinese cultures are closest to this category. The same external shock produces fundamentally different outcomes in these two culture types. For the mathematical expression of the equation, see the GitHub page.</w:t>
      </w:r>
    </w:p>
    <w:p>
      <w:pPr>
        <w:pStyle w:val="Heading2"/>
        <w:widowControl/>
        <w:bidi w:val="0"/>
        <w:spacing w:lineRule="atLeast" w:line="450" w:before="0" w:after="0"/>
        <w:ind w:hanging="0" w:start="360" w:end="360"/>
        <w:jc w:val="start"/>
        <w:rPr>
          <w:rFonts w:ascii="sohne;Helvetica Neue;Helvetica;Arial;sans-serif" w:hAnsi="sohne;Helvetica Neue;Helvetica;Arial;sans-serif"/>
          <w:b/>
          <w:i w:val="false"/>
          <w:caps w:val="false"/>
          <w:smallCaps w:val="false"/>
          <w:color w:val="242424"/>
          <w:spacing w:val="0"/>
          <w:sz w:val="36"/>
        </w:rPr>
      </w:pPr>
      <w:bookmarkStart w:id="60" w:name="93d4"/>
      <w:bookmarkEnd w:id="60"/>
      <w:r>
        <w:rPr>
          <w:rFonts w:ascii="sohne;Helvetica Neue;Helvetica;Arial;sans-serif" w:hAnsi="sohne;Helvetica Neue;Helvetica;Arial;sans-serif"/>
          <w:b/>
          <w:i w:val="false"/>
          <w:caps w:val="false"/>
          <w:smallCaps w:val="false"/>
          <w:color w:val="242424"/>
          <w:spacing w:val="0"/>
          <w:sz w:val="36"/>
        </w:rPr>
        <w:t>Shared Parameters: Where Twelve Minds Converge</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61" w:name="02a2"/>
      <w:bookmarkEnd w:id="61"/>
      <w:r>
        <w:rPr>
          <w:rFonts w:ascii="source-serif-pro;Georgia;Cambria;Times New Roman;Times;serif" w:hAnsi="source-serif-pro;Georgia;Cambria;Times New Roman;Times;serif"/>
          <w:b w:val="false"/>
          <w:i w:val="false"/>
          <w:caps w:val="false"/>
          <w:smallCaps w:val="false"/>
          <w:color w:val="242424"/>
          <w:spacing w:val="0"/>
          <w:sz w:val="30"/>
        </w:rPr>
        <w:t>Although each approach uses a different mathematical language, six parameters recur across all twelve articles. These form the core of psychohistory as a science.</w:t>
      </w:r>
    </w:p>
    <w:p>
      <w:pPr>
        <w:pStyle w:val="BodyText"/>
        <w:widowControl/>
        <w:bidi w:val="0"/>
        <w:spacing w:lineRule="atLeast" w:line="480" w:before="0" w:after="0"/>
        <w:ind w:hanging="0" w:start="360" w:end="360"/>
        <w:jc w:val="start"/>
        <w:rPr/>
      </w:pPr>
      <w:bookmarkStart w:id="62" w:name="a455"/>
      <w:bookmarkEnd w:id="62"/>
      <w:r>
        <w:rPr>
          <w:rStyle w:val="Strong"/>
          <w:rFonts w:ascii="source-serif-pro;Georgia;Cambria;Times New Roman;Times;serif" w:hAnsi="source-serif-pro;Georgia;Cambria;Times New Roman;Times;serif"/>
          <w:b/>
          <w:i w:val="false"/>
          <w:caps w:val="false"/>
          <w:smallCaps w:val="false"/>
          <w:color w:val="242424"/>
          <w:spacing w:val="0"/>
          <w:sz w:val="30"/>
        </w:rPr>
        <w:t>Time normalization.</w:t>
      </w:r>
      <w:r>
        <w:rPr>
          <w:rFonts w:ascii="source-serif-pro;Georgia;Cambria;Times New Roman;Times;serif" w:hAnsi="source-serif-pro;Georgia;Cambria;Times New Roman;Times;serif"/>
          <w:b w:val="false"/>
          <w:i w:val="false"/>
          <w:caps w:val="false"/>
          <w:smallCaps w:val="false"/>
          <w:color w:val="242424"/>
          <w:spacing w:val="0"/>
          <w:sz w:val="30"/>
        </w:rPr>
        <w:t> Rather than raw calendar years, relative time scaled to the speed of information and resource transmission. Rome’s centuries and the digital decade become comparable only through this normalization.</w:t>
      </w:r>
    </w:p>
    <w:p>
      <w:pPr>
        <w:pStyle w:val="BodyText"/>
        <w:widowControl/>
        <w:bidi w:val="0"/>
        <w:spacing w:lineRule="atLeast" w:line="480" w:before="0" w:after="0"/>
        <w:ind w:hanging="0" w:start="360" w:end="360"/>
        <w:jc w:val="start"/>
        <w:rPr/>
      </w:pPr>
      <w:bookmarkStart w:id="63" w:name="29cd"/>
      <w:bookmarkEnd w:id="63"/>
      <w:r>
        <w:rPr>
          <w:rStyle w:val="Strong"/>
          <w:rFonts w:ascii="source-serif-pro;Georgia;Cambria;Times New Roman;Times;serif" w:hAnsi="source-serif-pro;Georgia;Cambria;Times New Roman;Times;serif"/>
          <w:b/>
          <w:i w:val="false"/>
          <w:caps w:val="false"/>
          <w:smallCaps w:val="false"/>
          <w:color w:val="242424"/>
          <w:spacing w:val="0"/>
          <w:sz w:val="30"/>
        </w:rPr>
        <w:t>Collective emotional mode.</w:t>
      </w:r>
      <w:r>
        <w:rPr>
          <w:rFonts w:ascii="source-serif-pro;Georgia;Cambria;Times New Roman;Times;serif" w:hAnsi="source-serif-pro;Georgia;Cambria;Times New Roman;Times;serif"/>
          <w:b w:val="false"/>
          <w:i w:val="false"/>
          <w:caps w:val="false"/>
          <w:smallCaps w:val="false"/>
          <w:color w:val="242424"/>
          <w:spacing w:val="0"/>
          <w:sz w:val="30"/>
        </w:rPr>
        <w:t> Three cyclical emotional regimes: crisis/hero, order-building/rule, and affluence/greed. The same economic shock produces radically different outcomes in different modes; misreading the mode makes an intervention useless or harmful.</w:t>
      </w:r>
    </w:p>
    <w:p>
      <w:pPr>
        <w:pStyle w:val="BodyText"/>
        <w:widowControl/>
        <w:bidi w:val="0"/>
        <w:spacing w:lineRule="atLeast" w:line="480" w:before="0" w:after="0"/>
        <w:ind w:hanging="0" w:start="360" w:end="360"/>
        <w:jc w:val="start"/>
        <w:rPr/>
      </w:pPr>
      <w:bookmarkStart w:id="64" w:name="df1f"/>
      <w:bookmarkEnd w:id="64"/>
      <w:r>
        <w:rPr>
          <w:rStyle w:val="Strong"/>
          <w:rFonts w:ascii="source-serif-pro;Georgia;Cambria;Times New Roman;Times;serif" w:hAnsi="source-serif-pro;Georgia;Cambria;Times New Roman;Times;serif"/>
          <w:b/>
          <w:i w:val="false"/>
          <w:caps w:val="false"/>
          <w:smallCaps w:val="false"/>
          <w:color w:val="242424"/>
          <w:spacing w:val="0"/>
          <w:sz w:val="30"/>
        </w:rPr>
        <w:t>Cultural code vector.</w:t>
      </w:r>
      <w:r>
        <w:rPr>
          <w:rFonts w:ascii="source-serif-pro;Georgia;Cambria;Times New Roman;Times;serif" w:hAnsi="source-serif-pro;Georgia;Cambria;Times New Roman;Times;serif"/>
          <w:b w:val="false"/>
          <w:i w:val="false"/>
          <w:caps w:val="false"/>
          <w:smallCaps w:val="false"/>
          <w:color w:val="242424"/>
          <w:spacing w:val="0"/>
          <w:sz w:val="30"/>
        </w:rPr>
        <w:t> The multidimensional composite of adaptability, trust in central authority, the drive for curiosity and exploration, tribal loyalty, and the accumulation of historical experience. It is the only explanation for why the same formula produces different results in different countries.</w:t>
      </w:r>
    </w:p>
    <w:p>
      <w:pPr>
        <w:pStyle w:val="BodyText"/>
        <w:widowControl/>
        <w:bidi w:val="0"/>
        <w:spacing w:lineRule="atLeast" w:line="480" w:before="0" w:after="0"/>
        <w:ind w:hanging="0" w:start="360" w:end="360"/>
        <w:jc w:val="start"/>
        <w:rPr/>
      </w:pPr>
      <w:bookmarkStart w:id="65" w:name="54b4"/>
      <w:bookmarkEnd w:id="65"/>
      <w:r>
        <w:rPr>
          <w:rStyle w:val="Strong"/>
          <w:rFonts w:ascii="source-serif-pro;Georgia;Cambria;Times New Roman;Times;serif" w:hAnsi="source-serif-pro;Georgia;Cambria;Times New Roman;Times;serif"/>
          <w:b/>
          <w:i w:val="false"/>
          <w:caps w:val="false"/>
          <w:smallCaps w:val="false"/>
          <w:color w:val="242424"/>
          <w:spacing w:val="0"/>
          <w:sz w:val="30"/>
        </w:rPr>
        <w:t>Cohort and generational lag.</w:t>
      </w:r>
      <w:r>
        <w:rPr>
          <w:rFonts w:ascii="source-serif-pro;Georgia;Cambria;Times New Roman;Times;serif" w:hAnsi="source-serif-pro;Georgia;Cambria;Times New Roman;Times;serif"/>
          <w:b w:val="false"/>
          <w:i w:val="false"/>
          <w:caps w:val="false"/>
          <w:smallCaps w:val="false"/>
          <w:color w:val="242424"/>
          <w:spacing w:val="0"/>
          <w:sz w:val="30"/>
        </w:rPr>
        <w:t> The societal effect of a change in the education system appears in youth after eleven years, in the productive workforce after twenty-two years, and in the decision-making tier after thirty-three years. Any policy analysis that ignores this lag is flying blind.</w:t>
      </w:r>
    </w:p>
    <w:p>
      <w:pPr>
        <w:pStyle w:val="BodyText"/>
        <w:widowControl/>
        <w:bidi w:val="0"/>
        <w:spacing w:lineRule="atLeast" w:line="480" w:before="0" w:after="0"/>
        <w:ind w:hanging="0" w:start="360" w:end="360"/>
        <w:jc w:val="start"/>
        <w:rPr/>
      </w:pPr>
      <w:bookmarkStart w:id="66" w:name="54e9"/>
      <w:bookmarkEnd w:id="66"/>
      <w:r>
        <w:rPr>
          <w:rStyle w:val="Strong"/>
          <w:rFonts w:ascii="source-serif-pro;Georgia;Cambria;Times New Roman;Times;serif" w:hAnsi="source-serif-pro;Georgia;Cambria;Times New Roman;Times;serif"/>
          <w:b/>
          <w:i w:val="false"/>
          <w:caps w:val="false"/>
          <w:smallCaps w:val="false"/>
          <w:color w:val="242424"/>
          <w:spacing w:val="0"/>
          <w:sz w:val="30"/>
        </w:rPr>
        <w:t>Motivation/hope pair.</w:t>
      </w:r>
      <w:r>
        <w:rPr>
          <w:rFonts w:ascii="source-serif-pro;Georgia;Cambria;Times New Roman;Times;serif" w:hAnsi="source-serif-pro;Georgia;Cambria;Times New Roman;Times;serif"/>
          <w:b w:val="false"/>
          <w:i w:val="false"/>
          <w:caps w:val="false"/>
          <w:smallCaps w:val="false"/>
          <w:color w:val="242424"/>
          <w:spacing w:val="0"/>
          <w:sz w:val="30"/>
        </w:rPr>
        <w:t> Motivation is accumulated potential energy; hope determines whether that energy flows toward construction or destruction. No projection is reliable without both evaluated together.</w:t>
      </w:r>
    </w:p>
    <w:p>
      <w:pPr>
        <w:pStyle w:val="BodyText"/>
        <w:widowControl/>
        <w:bidi w:val="0"/>
        <w:spacing w:lineRule="atLeast" w:line="480" w:before="0" w:after="0"/>
        <w:ind w:hanging="0" w:start="360" w:end="360"/>
        <w:jc w:val="start"/>
        <w:rPr/>
      </w:pPr>
      <w:bookmarkStart w:id="67" w:name="8c27"/>
      <w:bookmarkEnd w:id="67"/>
      <w:r>
        <w:rPr>
          <w:rStyle w:val="Strong"/>
          <w:rFonts w:ascii="source-serif-pro;Georgia;Cambria;Times New Roman;Times;serif" w:hAnsi="source-serif-pro;Georgia;Cambria;Times New Roman;Times;serif"/>
          <w:b/>
          <w:i w:val="false"/>
          <w:caps w:val="false"/>
          <w:smallCaps w:val="false"/>
          <w:color w:val="242424"/>
          <w:spacing w:val="0"/>
          <w:sz w:val="30"/>
        </w:rPr>
        <w:t>Tamper-resistant proxy data.</w:t>
      </w:r>
      <w:r>
        <w:rPr>
          <w:rFonts w:ascii="source-serif-pro;Georgia;Cambria;Times New Roman;Times;serif" w:hAnsi="source-serif-pro;Georgia;Cambria;Times New Roman;Times;serif"/>
          <w:b w:val="false"/>
          <w:i w:val="false"/>
          <w:caps w:val="false"/>
          <w:smallCaps w:val="false"/>
          <w:color w:val="242424"/>
          <w:spacing w:val="0"/>
          <w:sz w:val="30"/>
        </w:rPr>
        <w:t> Official statistics are vulnerable to political pressure. Bazaar prices, under-the-mattress gold, passport applications, birth rates, and gravestones do not lie. Psychohistory prefers these to official figures.</w:t>
      </w:r>
    </w:p>
    <w:p>
      <w:pPr>
        <w:pStyle w:val="Heading2"/>
        <w:widowControl/>
        <w:bidi w:val="0"/>
        <w:spacing w:lineRule="atLeast" w:line="450" w:before="0" w:after="0"/>
        <w:ind w:hanging="0" w:start="360" w:end="360"/>
        <w:jc w:val="start"/>
        <w:rPr>
          <w:rFonts w:ascii="sohne;Helvetica Neue;Helvetica;Arial;sans-serif" w:hAnsi="sohne;Helvetica Neue;Helvetica;Arial;sans-serif"/>
          <w:b/>
          <w:i w:val="false"/>
          <w:caps w:val="false"/>
          <w:smallCaps w:val="false"/>
          <w:color w:val="242424"/>
          <w:spacing w:val="0"/>
          <w:sz w:val="36"/>
        </w:rPr>
      </w:pPr>
      <w:bookmarkStart w:id="68" w:name="1630"/>
      <w:bookmarkEnd w:id="68"/>
      <w:r>
        <w:rPr>
          <w:rFonts w:ascii="sohne;Helvetica Neue;Helvetica;Arial;sans-serif" w:hAnsi="sohne;Helvetica Neue;Helvetica;Arial;sans-serif"/>
          <w:b/>
          <w:i w:val="false"/>
          <w:caps w:val="false"/>
          <w:smallCaps w:val="false"/>
          <w:color w:val="242424"/>
          <w:spacing w:val="0"/>
          <w:sz w:val="36"/>
        </w:rPr>
        <w:t>Which Approach Is More Accurate? An Answer That Awaits Experiment</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69" w:name="f2d4"/>
      <w:bookmarkEnd w:id="69"/>
      <w:r>
        <w:rPr>
          <w:rFonts w:ascii="source-serif-pro;Georgia;Cambria;Times New Roman;Times;serif" w:hAnsi="source-serif-pro;Georgia;Cambria;Times New Roman;Times;serif"/>
          <w:b w:val="false"/>
          <w:i w:val="false"/>
          <w:caps w:val="false"/>
          <w:smallCaps w:val="false"/>
          <w:color w:val="242424"/>
          <w:spacing w:val="0"/>
          <w:sz w:val="30"/>
        </w:rPr>
        <w:t>The most honest statement about this project is this: we do not yet know whose model is closest to reality. That knowledge can only be obtained through backtesting against historical data, measuring predictive performance on real cases, and updating parameters through analysis of failed forecasts.</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70" w:name="1771"/>
      <w:bookmarkEnd w:id="70"/>
      <w:r>
        <w:rPr>
          <w:rFonts w:ascii="source-serif-pro;Georgia;Cambria;Times New Roman;Times;serif" w:hAnsi="source-serif-pro;Georgia;Cambria;Times New Roman;Times;serif"/>
          <w:b w:val="false"/>
          <w:i w:val="false"/>
          <w:caps w:val="false"/>
          <w:smallCaps w:val="false"/>
          <w:color w:val="242424"/>
          <w:spacing w:val="0"/>
          <w:sz w:val="30"/>
        </w:rPr>
        <w:t>Will Gemini’s single-equation collapse model yield sharper predictions? Will Qwen’s spectral integrity principle provide more accurate wave analysis? Will DeepSeek’s differential equation system better capture temporal dynamics? Will Z.ai’s integrated social physics approach paint a broader picture?</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71" w:name="55ca"/>
      <w:bookmarkEnd w:id="71"/>
      <w:r>
        <w:rPr>
          <w:rFonts w:ascii="source-serif-pro;Georgia;Cambria;Times New Roman;Times;serif" w:hAnsi="source-serif-pro;Georgia;Cambria;Times New Roman;Times;serif"/>
          <w:b w:val="false"/>
          <w:i w:val="false"/>
          <w:caps w:val="false"/>
          <w:smallCaps w:val="false"/>
          <w:color w:val="242424"/>
          <w:spacing w:val="0"/>
          <w:sz w:val="30"/>
        </w:rPr>
        <w:t>The answers lie not in calculation but in experiment.</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72" w:name="31e1"/>
      <w:bookmarkEnd w:id="72"/>
      <w:r>
        <w:rPr>
          <w:rFonts w:ascii="source-serif-pro;Georgia;Cambria;Times New Roman;Times;serif" w:hAnsi="source-serif-pro;Georgia;Cambria;Times New Roman;Times;serif"/>
          <w:b w:val="false"/>
          <w:i w:val="false"/>
          <w:caps w:val="false"/>
          <w:smallCaps w:val="false"/>
          <w:color w:val="242424"/>
          <w:spacing w:val="0"/>
          <w:sz w:val="30"/>
        </w:rPr>
        <w:t>The next steps are clear: backtesting on historical cases, assigning credibility coefficients to data, measuring model predictive performance with standard metrics, and extracting at least one new parameter from every failed forecast.</w:t>
      </w:r>
    </w:p>
    <w:p>
      <w:pPr>
        <w:pStyle w:val="Heading2"/>
        <w:widowControl/>
        <w:bidi w:val="0"/>
        <w:spacing w:lineRule="atLeast" w:line="450" w:before="0" w:after="0"/>
        <w:ind w:hanging="0" w:start="360" w:end="360"/>
        <w:jc w:val="start"/>
        <w:rPr>
          <w:rFonts w:ascii="sohne;Helvetica Neue;Helvetica;Arial;sans-serif" w:hAnsi="sohne;Helvetica Neue;Helvetica;Arial;sans-serif"/>
          <w:b/>
          <w:i w:val="false"/>
          <w:caps w:val="false"/>
          <w:smallCaps w:val="false"/>
          <w:color w:val="242424"/>
          <w:spacing w:val="0"/>
          <w:sz w:val="36"/>
        </w:rPr>
      </w:pPr>
      <w:bookmarkStart w:id="73" w:name="8b06"/>
      <w:bookmarkEnd w:id="73"/>
      <w:r>
        <w:rPr>
          <w:rFonts w:ascii="sohne;Helvetica Neue;Helvetica;Arial;sans-serif" w:hAnsi="sohne;Helvetica Neue;Helvetica;Arial;sans-serif"/>
          <w:b/>
          <w:i w:val="false"/>
          <w:caps w:val="false"/>
          <w:smallCaps w:val="false"/>
          <w:color w:val="242424"/>
          <w:spacing w:val="0"/>
          <w:sz w:val="36"/>
        </w:rPr>
        <w:t>Intervention: Seeing the Future Is Not Enough</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74" w:name="5755"/>
      <w:bookmarkEnd w:id="74"/>
      <w:r>
        <w:rPr>
          <w:rFonts w:ascii="source-serif-pro;Georgia;Cambria;Times New Roman;Times;serif" w:hAnsi="source-serif-pro;Georgia;Cambria;Times New Roman;Times;serif"/>
          <w:b w:val="false"/>
          <w:i w:val="false"/>
          <w:caps w:val="false"/>
          <w:smallCaps w:val="false"/>
          <w:color w:val="242424"/>
          <w:spacing w:val="0"/>
          <w:sz w:val="30"/>
        </w:rPr>
        <w:t>The most valuable use of psychohistory is not prophecy. It is calculating how to move from the “bad scenario” to the “good scenario” once the bad one becomes visible.</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75" w:name="616e"/>
      <w:bookmarkEnd w:id="75"/>
      <w:r>
        <w:rPr>
          <w:rFonts w:ascii="source-serif-pro;Georgia;Cambria;Times New Roman;Times;serif" w:hAnsi="source-serif-pro;Georgia;Cambria;Times New Roman;Times;serif"/>
          <w:b w:val="false"/>
          <w:i w:val="false"/>
          <w:caps w:val="false"/>
          <w:smallCaps w:val="false"/>
          <w:color w:val="242424"/>
          <w:spacing w:val="0"/>
          <w:sz w:val="30"/>
        </w:rPr>
        <w:t>The hope parameter is measurable and can be raised. Giving young people the opportunity to create and be rewarded in the digital economy, building mechanisms to transfer older capital to younger labor, creating centers of gravity that reverse brain drain — all of these push the hope variable upward in the psychohistory model and redirect motivational energy from destruction toward innovation.</w:t>
      </w:r>
    </w:p>
    <w:p>
      <w:pPr>
        <w:pStyle w:val="BodyText"/>
        <w:widowControl/>
        <w:bidi w:val="0"/>
        <w:spacing w:lineRule="atLeast" w:line="480" w:before="0" w:after="0"/>
        <w:ind w:hanging="0" w:start="360" w:end="360"/>
        <w:jc w:val="start"/>
        <w:rPr/>
      </w:pPr>
      <w:bookmarkStart w:id="76" w:name="5415"/>
      <w:bookmarkEnd w:id="76"/>
      <w:r>
        <w:rPr>
          <w:rFonts w:ascii="source-serif-pro;Georgia;Cambria;Times New Roman;Times;serif" w:hAnsi="source-serif-pro;Georgia;Cambria;Times New Roman;Times;serif"/>
          <w:b w:val="false"/>
          <w:i w:val="false"/>
          <w:caps w:val="false"/>
          <w:smallCaps w:val="false"/>
          <w:color w:val="242424"/>
          <w:spacing w:val="0"/>
          <w:sz w:val="30"/>
        </w:rPr>
        <w:t>I detailed this ecosystem in </w:t>
      </w:r>
      <w:hyperlink r:id="rId22">
        <w:r>
          <w:rPr>
            <w:rStyle w:val="Hyperlink"/>
            <w:rFonts w:ascii="source-serif-pro;Georgia;Cambria;Times New Roman;Times;serif" w:hAnsi="source-serif-pro;Georgia;Cambria;Times New Roman;Times;serif"/>
            <w:b w:val="false"/>
            <w:i w:val="false"/>
            <w:caps w:val="false"/>
            <w:smallCaps w:val="false"/>
            <w:color w:val="242424"/>
            <w:spacing w:val="0"/>
            <w:sz w:val="30"/>
            <w:u w:val="single"/>
          </w:rPr>
          <w:t>a previous work</w:t>
        </w:r>
      </w:hyperlink>
      <w:r>
        <w:rPr>
          <w:rFonts w:ascii="source-serif-pro;Georgia;Cambria;Times New Roman;Times;serif" w:hAnsi="source-serif-pro;Georgia;Cambria;Times New Roman;Times;serif"/>
          <w:b w:val="false"/>
          <w:i w:val="false"/>
          <w:caps w:val="false"/>
          <w:smallCaps w:val="false"/>
          <w:color w:val="242424"/>
          <w:spacing w:val="0"/>
          <w:sz w:val="30"/>
        </w:rPr>
        <w:t>. Psychohistory provides the theoretical foundation that ecosystem requires.</w:t>
      </w:r>
    </w:p>
    <w:p>
      <w:pPr>
        <w:pStyle w:val="Heading2"/>
        <w:widowControl/>
        <w:bidi w:val="0"/>
        <w:spacing w:lineRule="atLeast" w:line="450" w:before="0" w:after="0"/>
        <w:ind w:hanging="0" w:start="360" w:end="360"/>
        <w:jc w:val="start"/>
        <w:rPr>
          <w:rFonts w:ascii="sohne;Helvetica Neue;Helvetica;Arial;sans-serif" w:hAnsi="sohne;Helvetica Neue;Helvetica;Arial;sans-serif"/>
          <w:b/>
          <w:i w:val="false"/>
          <w:caps w:val="false"/>
          <w:smallCaps w:val="false"/>
          <w:color w:val="242424"/>
          <w:spacing w:val="0"/>
          <w:sz w:val="36"/>
        </w:rPr>
      </w:pPr>
      <w:bookmarkStart w:id="77" w:name="89fc"/>
      <w:bookmarkEnd w:id="77"/>
      <w:r>
        <w:rPr>
          <w:rFonts w:ascii="sohne;Helvetica Neue;Helvetica;Arial;sans-serif" w:hAnsi="sohne;Helvetica Neue;Helvetica;Arial;sans-serif"/>
          <w:b/>
          <w:i w:val="false"/>
          <w:caps w:val="false"/>
          <w:smallCaps w:val="false"/>
          <w:color w:val="242424"/>
          <w:spacing w:val="0"/>
          <w:sz w:val="36"/>
        </w:rPr>
        <w:t>Conclusion: The First Steps of a Science</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78" w:name="ee54"/>
      <w:bookmarkEnd w:id="78"/>
      <w:r>
        <w:rPr>
          <w:rFonts w:ascii="source-serif-pro;Georgia;Cambria;Times New Roman;Times;serif" w:hAnsi="source-serif-pro;Georgia;Cambria;Times New Roman;Times;serif"/>
          <w:b w:val="false"/>
          <w:i w:val="false"/>
          <w:caps w:val="false"/>
          <w:smallCaps w:val="false"/>
          <w:color w:val="242424"/>
          <w:spacing w:val="0"/>
          <w:sz w:val="30"/>
        </w:rPr>
        <w:t>Twelve AI systems opened twelve different mathematical windows around the same idea. None is complete on its own. Taken together, they form the first genuine draft of psychohistory as a science.</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79" w:name="dd9a"/>
      <w:bookmarkEnd w:id="79"/>
      <w:r>
        <w:rPr>
          <w:rFonts w:ascii="source-serif-pro;Georgia;Cambria;Times New Roman;Times;serif" w:hAnsi="source-serif-pro;Georgia;Cambria;Times New Roman;Times;serif"/>
          <w:b w:val="false"/>
          <w:i w:val="false"/>
          <w:caps w:val="false"/>
          <w:smallCaps w:val="false"/>
          <w:color w:val="242424"/>
          <w:spacing w:val="0"/>
          <w:sz w:val="30"/>
        </w:rPr>
        <w:t>This draft awaits testing, falsification, and the discovery of new parameters through every failure. Asimov’s Hari Seldon did not begin with a thousand-year simulation. His first formulas were wrong too.</w:t>
      </w:r>
    </w:p>
    <w:p>
      <w:pPr>
        <w:pStyle w:val="BodyText"/>
        <w:widowControl/>
        <w:bidi w:val="0"/>
        <w:spacing w:lineRule="atLeast" w:line="480" w:before="0" w:after="0"/>
        <w:ind w:hanging="0" w:start="360" w:end="360"/>
        <w:jc w:val="start"/>
        <w:rPr>
          <w:rFonts w:ascii="source-serif-pro;Georgia;Cambria;Times New Roman;Times;serif" w:hAnsi="source-serif-pro;Georgia;Cambria;Times New Roman;Times;serif"/>
          <w:b w:val="false"/>
          <w:i w:val="false"/>
          <w:caps w:val="false"/>
          <w:smallCaps w:val="false"/>
          <w:color w:val="242424"/>
          <w:spacing w:val="0"/>
          <w:sz w:val="30"/>
        </w:rPr>
      </w:pPr>
      <w:bookmarkStart w:id="80" w:name="6a9e"/>
      <w:bookmarkEnd w:id="80"/>
      <w:r>
        <w:rPr>
          <w:rFonts w:ascii="source-serif-pro;Georgia;Cambria;Times New Roman;Times;serif" w:hAnsi="source-serif-pro;Georgia;Cambria;Times New Roman;Times;serif"/>
          <w:b w:val="false"/>
          <w:i w:val="false"/>
          <w:caps w:val="false"/>
          <w:smallCaps w:val="false"/>
          <w:color w:val="242424"/>
          <w:spacing w:val="0"/>
          <w:sz w:val="30"/>
        </w:rPr>
        <w:t>But he had to start somewhere.</w:t>
      </w:r>
    </w:p>
    <w:p>
      <w:pPr>
        <w:pStyle w:val="BodyText"/>
        <w:widowControl/>
        <w:bidi w:val="0"/>
        <w:spacing w:lineRule="atLeast" w:line="480" w:before="0" w:after="0"/>
        <w:ind w:hanging="0" w:start="360" w:end="360"/>
        <w:jc w:val="start"/>
        <w:rPr/>
      </w:pPr>
      <w:bookmarkStart w:id="81" w:name="e147"/>
      <w:bookmarkEnd w:id="81"/>
      <w:r>
        <w:rPr>
          <w:rStyle w:val="Emphasis"/>
          <w:rFonts w:ascii="source-serif-pro;Georgia;Cambria;Times New Roman;Times;serif" w:hAnsi="source-serif-pro;Georgia;Cambria;Times New Roman;Times;serif"/>
          <w:b w:val="false"/>
          <w:i/>
          <w:caps w:val="false"/>
          <w:smallCaps w:val="false"/>
          <w:color w:val="242424"/>
          <w:spacing w:val="0"/>
          <w:sz w:val="30"/>
        </w:rPr>
        <w:t>The mathematical formulas and technical details of all articles are available in the </w:t>
      </w:r>
      <w:hyperlink r:id="rId23" w:tgtFrame="_blank">
        <w:r>
          <w:rPr>
            <w:rStyle w:val="Hyperlink"/>
            <w:rFonts w:ascii="source-serif-pro;Georgia;Cambria;Times New Roman;Times;serif" w:hAnsi="source-serif-pro;Georgia;Cambria;Times New Roman;Times;serif"/>
            <w:b w:val="false"/>
            <w:i/>
            <w:iCs/>
            <w:caps w:val="false"/>
            <w:smallCaps w:val="false"/>
            <w:color w:val="242424"/>
            <w:spacing w:val="0"/>
            <w:sz w:val="30"/>
            <w:u w:val="single"/>
          </w:rPr>
          <w:t>GitHub repository</w:t>
        </w:r>
      </w:hyperlink>
      <w:r>
        <w:rPr>
          <w:rStyle w:val="Emphasis"/>
          <w:rFonts w:ascii="source-serif-pro;Georgia;Cambria;Times New Roman;Times;serif" w:hAnsi="source-serif-pro;Georgia;Cambria;Times New Roman;Times;serif"/>
          <w:b w:val="false"/>
          <w:i/>
          <w:caps w:val="false"/>
          <w:smallCaps w:val="false"/>
          <w:color w:val="242424"/>
          <w:spacing w:val="0"/>
          <w:sz w:val="30"/>
        </w:rPr>
        <w:t>.</w:t>
      </w:r>
    </w:p>
    <w:p>
      <w:pPr>
        <w:pStyle w:val="BodyText"/>
        <w:widowControl/>
        <w:bidi w:val="0"/>
        <w:spacing w:before="0" w:after="0"/>
        <w:ind w:hanging="0" w:start="360" w:end="660"/>
        <w:jc w:val="start"/>
        <w:rPr>
          <w:caps w:val="false"/>
          <w:smallCaps w:val="false"/>
          <w:strike w:val="false"/>
          <w:dstrike w:val="false"/>
          <w:color w:val="000000"/>
          <w:spacing w:val="0"/>
          <w:u w:val="none"/>
          <w:effect w:val="none"/>
          <w14:textFill>
            <w14:solidFill>
              <w14:srgbClr w14:val="000000">
                <w14:alpha w14:val="20000"/>
              </w14:srgbClr>
            </w14:solidFill>
          </w14:textFill>
        </w:rPr>
      </w:pPr>
      <w:r>
        <w:rPr>
          <w:caps w:val="false"/>
          <w:smallCaps w:val="false"/>
          <w:strike w:val="false"/>
          <w:dstrike w:val="false"/>
          <w:color w:val="000000"/>
          <w:spacing w:val="0"/>
          <w:u w:val="none"/>
          <w:effect w:val="none"/>
          <w14:textFill>
            <w14:solidFill>
              <w14:srgbClr w14:val="000000">
                <w14:alpha w14:val="20000"/>
              </w14:srgbClr>
            </w14:solidFill>
          </w14:textFill>
        </w:rPr>
        <w:drawing>
          <wp:inline distT="0" distB="0" distL="0" distR="0">
            <wp:extent cx="476250" cy="476250"/>
            <wp:effectExtent l="0" t="0" r="0" b="0"/>
            <wp:docPr id="4" name="Görüntü3" title="Emin">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örüntü3" title="Emin">
                      <a:hlinkClick r:id="rId25"/>
                    </pic:cNvPr>
                    <pic:cNvPicPr>
                      <a:picLocks noChangeAspect="1" noChangeArrowheads="1"/>
                    </pic:cNvPicPr>
                  </pic:nvPicPr>
                  <pic:blipFill>
                    <a:blip r:embed="rId24"/>
                    <a:stretch>
                      <a:fillRect/>
                    </a:stretch>
                  </pic:blipFill>
                  <pic:spPr bwMode="auto">
                    <a:xfrm>
                      <a:off x="0" y="0"/>
                      <a:ext cx="476250" cy="476250"/>
                    </a:xfrm>
                    <a:prstGeom prst="rect">
                      <a:avLst/>
                    </a:prstGeom>
                    <a:noFill/>
                  </pic:spPr>
                </pic:pic>
              </a:graphicData>
            </a:graphic>
          </wp:inline>
        </w:drawing>
      </w:r>
    </w:p>
    <w:p>
      <w:pPr>
        <w:pStyle w:val="Heading2"/>
        <w:widowControl/>
        <w:bidi w:val="0"/>
        <w:spacing w:lineRule="atLeast" w:line="360" w:before="0" w:after="0"/>
        <w:ind w:hanging="0" w:start="360" w:end="360"/>
        <w:jc w:val="start"/>
        <w:rPr/>
      </w:pPr>
      <w:hyperlink r:id="rId26">
        <w:r>
          <w:rPr>
            <w:rStyle w:val="Hyperlink"/>
            <w:rFonts w:ascii="sohne;Helvetica Neue;Helvetica;Arial;sans-serif" w:hAnsi="sohne;Helvetica Neue;Helvetica;Arial;sans-serif"/>
            <w:b/>
            <w:i w:val="false"/>
            <w:caps w:val="false"/>
            <w:smallCaps w:val="false"/>
            <w:strike w:val="false"/>
            <w:dstrike w:val="false"/>
            <w:color w:val="242424"/>
            <w:spacing w:val="0"/>
            <w:sz w:val="30"/>
            <w:u w:val="none"/>
            <w:effect w:val="none"/>
          </w:rPr>
          <w:t>Written by Emin</w:t>
        </w:r>
      </w:hyperlink>
    </w:p>
    <w:p>
      <w:pPr>
        <w:pStyle w:val="BodyText"/>
        <w:widowControl/>
        <w:bidi w:val="0"/>
        <w:spacing w:lineRule="atLeast" w:line="300" w:before="120" w:after="960"/>
        <w:ind w:hanging="0" w:start="360" w:end="360"/>
        <w:jc w:val="start"/>
        <w:rPr>
          <w:rFonts w:ascii="sohne;Helvetica Neue;Helvetica;Arial;sans-serif" w:hAnsi="sohne;Helvetica Neue;Helvetica;Arial;sans-serif"/>
          <w:b w:val="false"/>
          <w:i w:val="false"/>
          <w:caps w:val="false"/>
          <w:smallCaps w:val="false"/>
          <w:strike w:val="false"/>
          <w:dstrike w:val="false"/>
          <w:color w:val="6B6B6B"/>
          <w:spacing w:val="0"/>
          <w:sz w:val="21"/>
          <w:u w:val="none"/>
          <w:effect w:val="none"/>
        </w:rPr>
      </w:pPr>
      <w:r>
        <w:rPr/>
      </w:r>
    </w:p>
    <w:p>
      <w:pPr>
        <w:pStyle w:val="BodyText"/>
        <w:widowControl/>
        <w:bidi w:val="0"/>
        <w:spacing w:lineRule="atLeast" w:line="300" w:before="0" w:after="0"/>
        <w:ind w:hanging="0" w:start="360" w:end="360"/>
        <w:jc w:val="start"/>
        <w:rPr>
          <w:rFonts w:ascii="sohne;Helvetica Neue;Helvetica;Arial;sans-serif" w:hAnsi="sohne;Helvetica Neue;Helvetica;Arial;sans-serif"/>
          <w:b w:val="false"/>
          <w:i w:val="false"/>
          <w:caps w:val="false"/>
          <w:smallCaps w:val="false"/>
          <w:color w:val="242424"/>
          <w:spacing w:val="0"/>
          <w:sz w:val="21"/>
        </w:rPr>
      </w:pPr>
      <w:r>
        <w:rPr>
          <w:rFonts w:ascii="sohne;Helvetica Neue;Helvetica;Arial;sans-serif" w:hAnsi="sohne;Helvetica Neue;Helvetica;Arial;sans-serif"/>
          <w:b w:val="false"/>
          <w:i w:val="false"/>
          <w:caps w:val="false"/>
          <w:smallCaps w:val="false"/>
          <w:color w:val="242424"/>
          <w:spacing w:val="0"/>
          <w:sz w:val="21"/>
        </w:rPr>
        <w:t>Retired Computer Engineer</w:t>
      </w:r>
    </w:p>
    <w:p>
      <w:pPr>
        <w:pStyle w:val="BodyText"/>
        <w:bidi w:val="0"/>
        <w:spacing w:before="0" w:after="140"/>
        <w:ind w:hanging="0" w:start="360" w:end="360"/>
        <w:jc w:val="start"/>
        <w:rPr/>
      </w:pP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OpenSymbol">
    <w:altName w:val="Arial Unicode MS"/>
    <w:charset w:val="02"/>
    <w:family w:val="auto"/>
    <w:pitch w:val="default"/>
  </w:font>
  <w:font w:name="Liberation Sans">
    <w:altName w:val="Arial"/>
    <w:charset w:val="a2" w:characterSet="windows-1254"/>
    <w:family w:val="swiss"/>
    <w:pitch w:val="variable"/>
  </w:font>
  <w:font w:name="sohne">
    <w:altName w:val="Helvetica Neue"/>
    <w:charset w:val="a2" w:characterSet="windows-1254"/>
    <w:family w:val="auto"/>
    <w:pitch w:val="default"/>
  </w:font>
  <w:font w:name="source-serif-pro">
    <w:altName w:val="Georgia"/>
    <w:charset w:val="a2" w:characterSet="windows-1254"/>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tr-T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tr-TR" w:eastAsia="zh-CN" w:bidi="hi-IN"/>
    </w:rPr>
  </w:style>
  <w:style w:type="paragraph" w:styleId="Heading1">
    <w:name w:val="heading 1"/>
    <w:basedOn w:val="Balk"/>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Balk"/>
    <w:next w:val="BodyText"/>
    <w:qFormat/>
    <w:pPr>
      <w:spacing w:before="200" w:after="120"/>
      <w:outlineLvl w:val="1"/>
    </w:pPr>
    <w:rPr>
      <w:rFonts w:ascii="Liberation Serif" w:hAnsi="Liberation Serif" w:eastAsia="NSimSun" w:cs="Lucida Sans"/>
      <w:b/>
      <w:bCs/>
      <w:sz w:val="36"/>
      <w:szCs w:val="36"/>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Maddeimleri">
    <w:name w:val="Madde imleri"/>
    <w:qFormat/>
    <w:rPr>
      <w:rFonts w:ascii="OpenSymbol" w:hAnsi="OpenSymbol" w:eastAsia="OpenSymbol" w:cs="OpenSymbol"/>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medium.com/@emin2010dan?source=post_page---byline--18804c03a56b---------------------------------------" TargetMode="External"/><Relationship Id="rId4" Type="http://schemas.openxmlformats.org/officeDocument/2006/relationships/hyperlink" Target="https://medium.com/@emin2010dan?source=post_page---byline--18804c03a56b---------------------------------------" TargetMode="External"/><Relationship Id="rId5" Type="http://schemas.openxmlformats.org/officeDocument/2006/relationships/hyperlink" Target="https://medium.com/p/6bdc6dd4f3d0" TargetMode="External"/><Relationship Id="rId6" Type="http://schemas.openxmlformats.org/officeDocument/2006/relationships/image" Target="media/image2.png"/><Relationship Id="rId7" Type="http://schemas.openxmlformats.org/officeDocument/2006/relationships/hyperlink" Target="https://github.com/emin2010dan/Psychohistory-in-the-Age-of-AI" TargetMode="External"/><Relationship Id="rId8" Type="http://schemas.openxmlformats.org/officeDocument/2006/relationships/hyperlink" Target="https://medium.com/p/9653ed8dd423" TargetMode="External"/><Relationship Id="rId9" Type="http://schemas.openxmlformats.org/officeDocument/2006/relationships/hyperlink" Target="https://medium.com/@emin2010dan/distributedmind-protocol-232d67221e33" TargetMode="External"/><Relationship Id="rId10" Type="http://schemas.openxmlformats.org/officeDocument/2006/relationships/hyperlink" Target="https://github.com/emin2010dan/Psychohistory-in-the-Age-of-AI/blob/main/Project%20with%20ChatGPT.md" TargetMode="External"/><Relationship Id="rId11" Type="http://schemas.openxmlformats.org/officeDocument/2006/relationships/hyperlink" Target="https://github.com/emin2010dan/Psychohistory-in-the-Age-of-AI/blob/main/Project%20with%20Claude.md" TargetMode="External"/><Relationship Id="rId12" Type="http://schemas.openxmlformats.org/officeDocument/2006/relationships/hyperlink" Target="https://github.com/emin2010dan/Psychohistory-in-the-Age-of-AI/blob/main/Project%20with%20Gemini.md" TargetMode="External"/><Relationship Id="rId13" Type="http://schemas.openxmlformats.org/officeDocument/2006/relationships/hyperlink" Target="https://github.com/emin2010dan/Psychohistory-in-the-Age-of-AI/blob/main/Project%20with%20Grok.md" TargetMode="External"/><Relationship Id="rId14" Type="http://schemas.openxmlformats.org/officeDocument/2006/relationships/hyperlink" Target="https://github.com/emin2010dan/Psychohistory-in-the-Age-of-AI/blob/main/Project%20with%20DeepSeek.md" TargetMode="External"/><Relationship Id="rId15" Type="http://schemas.openxmlformats.org/officeDocument/2006/relationships/hyperlink" Target="https://github.com/emin2010dan/Psychohistory-in-the-Age-of-AI/blob/main/Project%20with%20Meta.md" TargetMode="External"/><Relationship Id="rId16" Type="http://schemas.openxmlformats.org/officeDocument/2006/relationships/hyperlink" Target="https://github.com/emin2010dan/Psychohistory-in-the-Age-of-AI/blob/main/Project%20with%20Qwen.md" TargetMode="External"/><Relationship Id="rId17" Type="http://schemas.openxmlformats.org/officeDocument/2006/relationships/hyperlink" Target="https://github.com/emin2010dan/Psychohistory-in-the-Age-of-AI/blob/main/Project%20with%20Kimi.md" TargetMode="External"/><Relationship Id="rId18" Type="http://schemas.openxmlformats.org/officeDocument/2006/relationships/hyperlink" Target="https://github.com/emin2010dan/Psychohistory-in-the-Age-of-AI/blob/main/Project%20with%20MiniMax.md" TargetMode="External"/><Relationship Id="rId19" Type="http://schemas.openxmlformats.org/officeDocument/2006/relationships/hyperlink" Target="https://github.com/emin2010dan/Psychohistory-in-the-Age-of-AI/blob/main/Project%20with%20Replit.md" TargetMode="External"/><Relationship Id="rId20" Type="http://schemas.openxmlformats.org/officeDocument/2006/relationships/hyperlink" Target="https://github.com/emin2010dan/Psychohistory-in-the-Age-of-AI/blob/main/Project%20with%20Copilot.md" TargetMode="External"/><Relationship Id="rId21" Type="http://schemas.openxmlformats.org/officeDocument/2006/relationships/hyperlink" Target="https://github.com/emin2010dan/Psychohistory-in-the-Age-of-AI/blob/main/Project%20with%20Z.ai.md" TargetMode="External"/><Relationship Id="rId22" Type="http://schemas.openxmlformats.org/officeDocument/2006/relationships/hyperlink" Target="https://medium.com/@emin2010dan/distributedmind-protocol-232d67221e33" TargetMode="External"/><Relationship Id="rId23" Type="http://schemas.openxmlformats.org/officeDocument/2006/relationships/hyperlink" Target="https://github.com/emin2010dan/Psychohistory-in-the-Age-of-AI" TargetMode="External"/><Relationship Id="rId24" Type="http://schemas.openxmlformats.org/officeDocument/2006/relationships/image" Target="media/image1.jpeg"/><Relationship Id="rId25" Type="http://schemas.openxmlformats.org/officeDocument/2006/relationships/hyperlink" Target="https://medium.com/@emin2010dan?source=post_page---post_author_info--18804c03a56b---------------------------------------" TargetMode="External"/><Relationship Id="rId26" Type="http://schemas.openxmlformats.org/officeDocument/2006/relationships/hyperlink" Target="https://medium.com/@emin2010dan?source=post_page---post_author_info--18804c03a56b---------------------------------------" TargetMode="Externa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LibreOffice/26.2.4.2$Windows_X86_64 LibreOffice_project/0229ac93fcf0d7cbc6376066c6f35021cef002dc</Application>
  <AppVersion>15.0000</AppVersion>
  <Pages>14</Pages>
  <Words>3028</Words>
  <Characters>17578</Characters>
  <CharactersWithSpaces>20540</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2026-06-12T16:49:20Z</dcterms:created>
  <dc:creator/>
  <dc:description/>
  <dc:language>tr-TR</dc:language>
  <cp:lastModifiedBy/>
  <dcterms:modified xsi:type="dcterms:W3CDTF">2026-06-12T16:51:06Z</dcterms:modified>
  <cp:revision>1</cp:revision>
  <dc:subject/>
  <dc:title/>
</cp:coreProperties>
</file>