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after="120"/>
        <w:jc w:val="center"/>
      </w:pPr>
      <w:r>
        <w:rPr>
          <w:rFonts w:ascii="Times New Roman" w:hAnsi="Times New Roman"/>
          <w:b/>
          <w:i w:val="0"/>
          <w:sz w:val="26"/>
        </w:rPr>
        <w:t>T.C.</w:t>
      </w:r>
    </w:p>
    <w:p>
      <w:pPr>
        <w:spacing w:before="0" w:after="120"/>
        <w:jc w:val="center"/>
      </w:pPr>
      <w:r>
        <w:rPr>
          <w:rFonts w:ascii="Times New Roman" w:hAnsi="Times New Roman"/>
          <w:b/>
          <w:i w:val="0"/>
          <w:sz w:val="28"/>
        </w:rPr>
        <w:t>MARMARA ÜNİVERSİTESİ</w:t>
      </w:r>
    </w:p>
    <w:p>
      <w:pPr>
        <w:spacing w:before="0" w:after="120"/>
        <w:jc w:val="center"/>
      </w:pPr>
      <w:r>
        <w:rPr>
          <w:rFonts w:ascii="Times New Roman" w:hAnsi="Times New Roman"/>
          <w:b/>
          <w:i w:val="0"/>
          <w:sz w:val="26"/>
        </w:rPr>
        <w:t>TEKNOLOJİ FAKÜLTESİ</w:t>
      </w:r>
    </w:p>
    <w:p>
      <w:pPr>
        <w:spacing w:before="0" w:after="120"/>
        <w:jc w:val="center"/>
      </w:pPr>
      <w:r>
        <w:rPr>
          <w:rFonts w:ascii="Times New Roman" w:hAnsi="Times New Roman"/>
          <w:b/>
          <w:i w:val="0"/>
          <w:sz w:val="26"/>
        </w:rPr>
        <w:t>BİLGİSAYAR MÜHENDİSLİĞİ BÖLÜMÜ</w:t>
      </w:r>
    </w:p>
    <w:p>
      <w:pPr>
        <w:spacing w:before="600" w:after="120"/>
        <w:jc w:val="both"/>
      </w:pPr>
    </w:p>
    <w:p>
      <w:pPr>
        <w:spacing w:before="0" w:after="120"/>
        <w:jc w:val="center"/>
      </w:pPr>
      <w:r>
        <w:rPr>
          <w:rFonts w:ascii="Times New Roman" w:hAnsi="Times New Roman"/>
          <w:b/>
          <w:i w:val="0"/>
          <w:sz w:val="26"/>
        </w:rPr>
        <w:t>BLM3058 — SİMÜLASYON VE MODELLEME DERSİ</w:t>
      </w:r>
    </w:p>
    <w:p>
      <w:pPr>
        <w:spacing w:before="0" w:after="120"/>
        <w:jc w:val="center"/>
      </w:pPr>
      <w:r>
        <w:rPr>
          <w:rFonts w:ascii="Times New Roman" w:hAnsi="Times New Roman"/>
          <w:b/>
          <w:i w:val="0"/>
          <w:sz w:val="26"/>
        </w:rPr>
        <w:t>DÖNEM PROJESİ RAPORU</w:t>
      </w:r>
    </w:p>
    <w:p>
      <w:pPr>
        <w:spacing w:before="400" w:after="120"/>
        <w:jc w:val="both"/>
      </w:pPr>
    </w:p>
    <w:p>
      <w:pPr>
        <w:spacing w:before="200" w:after="120"/>
        <w:jc w:val="center"/>
      </w:pPr>
      <w:r>
        <w:rPr>
          <w:rFonts w:ascii="Times New Roman" w:hAnsi="Times New Roman"/>
          <w:b/>
          <w:i w:val="0"/>
          <w:sz w:val="32"/>
        </w:rPr>
        <w:t>UYDU ÇARPIŞMA ÖNLEME SİMÜLASYONU</w:t>
        <w:br/>
        <w:t>(Satellite Collision Avoidance Simulation)</w:t>
      </w:r>
    </w:p>
    <w:p>
      <w:pPr>
        <w:spacing w:before="800" w:after="120"/>
        <w:jc w:val="both"/>
      </w:pPr>
    </w:p>
    <w:p>
      <w:pPr>
        <w:spacing w:before="0" w:after="120"/>
        <w:jc w:val="center"/>
      </w:pPr>
      <w:r>
        <w:rPr>
          <w:rFonts w:ascii="Times New Roman" w:hAnsi="Times New Roman"/>
          <w:b/>
          <w:i w:val="0"/>
          <w:sz w:val="24"/>
        </w:rPr>
        <w:t>Hazırlayanlar:</w:t>
      </w:r>
    </w:p>
    <w:p>
      <w:pPr>
        <w:spacing w:before="0" w:after="120"/>
        <w:jc w:val="center"/>
      </w:pPr>
      <w:r>
        <w:rPr>
          <w:rFonts w:ascii="Times New Roman" w:hAnsi="Times New Roman"/>
          <w:b w:val="0"/>
          <w:i w:val="0"/>
          <w:sz w:val="24"/>
        </w:rPr>
        <w:t>Muhammed Emin Dinç — 170423052</w:t>
      </w:r>
    </w:p>
    <w:p>
      <w:pPr>
        <w:spacing w:before="0" w:after="120"/>
        <w:jc w:val="center"/>
      </w:pPr>
      <w:r>
        <w:rPr>
          <w:rFonts w:ascii="Times New Roman" w:hAnsi="Times New Roman"/>
          <w:b w:val="0"/>
          <w:i w:val="0"/>
          <w:sz w:val="24"/>
        </w:rPr>
        <w:t>Emre Yanalak — 170423056</w:t>
      </w:r>
    </w:p>
    <w:p>
      <w:pPr>
        <w:spacing w:before="400" w:after="120"/>
        <w:jc w:val="both"/>
      </w:pPr>
    </w:p>
    <w:p>
      <w:pPr>
        <w:spacing w:before="0" w:after="120"/>
        <w:jc w:val="center"/>
      </w:pPr>
      <w:r>
        <w:rPr>
          <w:rFonts w:ascii="Times New Roman" w:hAnsi="Times New Roman"/>
          <w:b/>
          <w:i w:val="0"/>
          <w:sz w:val="24"/>
        </w:rPr>
        <w:t>Ders Sorumlusu:</w:t>
      </w:r>
    </w:p>
    <w:p>
      <w:pPr>
        <w:spacing w:before="0" w:after="120"/>
        <w:jc w:val="center"/>
      </w:pPr>
      <w:r>
        <w:rPr>
          <w:rFonts w:ascii="Times New Roman" w:hAnsi="Times New Roman"/>
          <w:b w:val="0"/>
          <w:i w:val="0"/>
          <w:sz w:val="24"/>
        </w:rPr>
        <w:t>Dr. Öğr. Üyesi Şahin Uyaver</w:t>
      </w:r>
    </w:p>
    <w:p>
      <w:pPr>
        <w:spacing w:before="400" w:after="120"/>
        <w:jc w:val="both"/>
      </w:pPr>
    </w:p>
    <w:p>
      <w:pPr>
        <w:spacing w:before="0" w:after="120"/>
        <w:jc w:val="center"/>
      </w:pPr>
      <w:r>
        <w:rPr>
          <w:rFonts w:ascii="Times New Roman" w:hAnsi="Times New Roman"/>
          <w:b w:val="0"/>
          <w:i w:val="0"/>
          <w:sz w:val="24"/>
        </w:rPr>
        <w:t>Teslim Tarihi: 30 Mayıs 2026</w:t>
      </w:r>
    </w:p>
    <w:p>
      <w:r>
        <w:br w:type="page"/>
      </w:r>
    </w:p>
    <w:p>
      <w:pPr>
        <w:spacing w:before="240" w:after="120"/>
      </w:pPr>
      <w:r>
        <w:rPr>
          <w:rFonts w:ascii="Times New Roman" w:hAnsi="Times New Roman"/>
          <w:b/>
          <w:i w:val="0"/>
          <w:sz w:val="32"/>
        </w:rPr>
        <w:t>ÖZET</w:t>
      </w:r>
    </w:p>
    <w:p>
      <w:pPr>
        <w:spacing w:before="0" w:after="120"/>
        <w:jc w:val="both"/>
      </w:pPr>
      <w:r>
        <w:rPr>
          <w:rFonts w:ascii="Times New Roman" w:hAnsi="Times New Roman"/>
          <w:b w:val="0"/>
          <w:i w:val="0"/>
          <w:sz w:val="24"/>
        </w:rPr>
        <w:t>Bu çalışmada, Düşük Dünya Yörüngesi'nde (LEO) faaliyet gösteren uyduların karşılaştığı çarpışma tehlikelerini tespit etmek ve önlemek amacıyla kapsamlı bir simülasyon sistemi Python programlama dili kullanılarak geliştirilmiştir. Sistem; J2 pertürbasyonlu iki cisim problemini RK45 yöntemiyle sayısal olarak çözerek yörünge yayımı gerçekleştirmekte, Chan 2D projeksiyon yöntemiyle çarpışma olasılığı (Pc) hesaplamakta ve minimum delta-V kısıtı altında kaçınma manevrası planlamaktadır. Dört farklı senaryo altında değerlendirilen sistem, N=200 replikasyonluk Monte Carlo analizi ve 5 doğrulama/geçerleme testiyle istatistiksel olarak desteklenmiştir. Yüksek riskli konjunksiyon senaryosunda 585 m'lik yaklaşma mesafesi, 0.43 m/s'lik along-track yakıt yakımıyla 1300 m'ye yükseltilmiş; çarpışma olasılığı 1.92×10⁻⁴'ten 1.0×10⁻⁵'e indirilerek güvenli seviyeye getirilmiştir. Çoklu enkaz senaryosunda ise 5 farklı nesneyle eş zamanlı konjunksiyon yönetimi gerçeklenmiştir.</w:t>
      </w:r>
    </w:p>
    <w:p>
      <w:pPr>
        <w:spacing w:before="120" w:after="120"/>
        <w:jc w:val="both"/>
      </w:pPr>
    </w:p>
    <w:p>
      <w:pPr>
        <w:spacing w:before="0" w:after="120"/>
        <w:jc w:val="both"/>
      </w:pPr>
      <w:r>
        <w:rPr>
          <w:rFonts w:ascii="Times New Roman" w:hAnsi="Times New Roman"/>
          <w:b w:val="0"/>
          <w:i/>
          <w:sz w:val="24"/>
        </w:rPr>
        <w:t>Anahtar Kelimeler: Uydu çarpışma önleme, LEO yörünge mekaniği, conjunction analizi, çarpışma olasılığı, delta-V optimizasyonu, Monte Carlo simülasyonu.</w:t>
      </w:r>
    </w:p>
    <w:p>
      <w:r>
        <w:br w:type="page"/>
      </w:r>
    </w:p>
    <w:p>
      <w:pPr>
        <w:spacing w:before="240" w:after="120"/>
      </w:pPr>
      <w:r>
        <w:rPr>
          <w:rFonts w:ascii="Times New Roman" w:hAnsi="Times New Roman"/>
          <w:b/>
          <w:i w:val="0"/>
          <w:sz w:val="32"/>
        </w:rPr>
        <w:t>BÖLÜM 1: PROBLEM TANIMI VE AMAÇ</w:t>
      </w:r>
    </w:p>
    <w:p>
      <w:pPr>
        <w:spacing w:before="240" w:after="120"/>
      </w:pPr>
      <w:r>
        <w:rPr>
          <w:rFonts w:ascii="Times New Roman" w:hAnsi="Times New Roman"/>
          <w:b/>
          <w:i w:val="0"/>
          <w:sz w:val="28"/>
        </w:rPr>
        <w:t>1.1 Mevcut Durum</w:t>
      </w:r>
    </w:p>
    <w:p>
      <w:pPr>
        <w:spacing w:before="0" w:after="120"/>
        <w:jc w:val="both"/>
      </w:pPr>
      <w:r>
        <w:rPr>
          <w:rFonts w:ascii="Times New Roman" w:hAnsi="Times New Roman"/>
          <w:b w:val="0"/>
          <w:i w:val="0"/>
          <w:sz w:val="24"/>
        </w:rPr>
        <w:t>Düşük Dünya Yörüngesi'nde (LEO, 160–2000 km irtifa) günümüzde 10.000'den fazla aktif uydu ve NORAD tarafından izlenen 25.000'den fazla enkaz nesnesi bulunmaktadır. 2009 yılında yaşanan Iridium-33 ile Kosmos-2251 çarpışması, bu tehdidi somut biçimde ortaya koymuştur; söz konusu çarpışma tek başına 2.000'den fazla yeni enkaz parçası üretmiştir. Bu tablo, gerekli önlem alınmadığında Kessler Sendromu olarak bilinen kaskad çarpışma sürecinin tetiklenebileceğini göstermektedir.</w:t>
      </w:r>
    </w:p>
    <w:p>
      <w:pPr>
        <w:spacing w:before="0" w:after="120"/>
        <w:jc w:val="both"/>
      </w:pPr>
      <w:r>
        <w:rPr>
          <w:rFonts w:ascii="Times New Roman" w:hAnsi="Times New Roman"/>
          <w:b w:val="0"/>
          <w:i w:val="0"/>
          <w:sz w:val="24"/>
        </w:rPr>
        <w:t>Bu nedenle, konjunksiyon (yakın yaklaşma) olaylarının erken tespiti ve kaçınma manevrasının optimum biçimde planlanması uzay operasyonlarının sürdürülebilirliği açısından kritik önem taşımaktadır. SpaceX, ESA ve NASA gibi kuruluşlar bu amaçla Conjunction Data Message (CDM) standartlarını oluşturmuş ve Pc ≥ 1×10⁻⁴ eşiği eylem kriteri olarak benimsenmiştir.</w:t>
      </w:r>
    </w:p>
    <w:p>
      <w:pPr>
        <w:spacing w:before="240" w:after="120"/>
      </w:pPr>
      <w:r>
        <w:rPr>
          <w:rFonts w:ascii="Times New Roman" w:hAnsi="Times New Roman"/>
          <w:b/>
          <w:i w:val="0"/>
          <w:sz w:val="28"/>
        </w:rPr>
        <w:t>1.2 Projenin Amacı</w:t>
      </w:r>
    </w:p>
    <w:p>
      <w:pPr>
        <w:spacing w:before="0" w:after="120"/>
        <w:jc w:val="both"/>
      </w:pPr>
      <w:r>
        <w:rPr>
          <w:rFonts w:ascii="Times New Roman" w:hAnsi="Times New Roman"/>
          <w:b w:val="0"/>
          <w:i w:val="0"/>
          <w:sz w:val="24"/>
        </w:rPr>
        <w:t>Bu projenin amacı, LEO'daki uyduların birbirine yaklaşma durumlarını fizik temelli bir Python simülasyonu ile modellemek; çarpışma olasılığını uluslararası standartta hesaplamak ve gerektiğinde minimum yakıt tüketimiyle kaçınma manevrası planlamaktır. Çalışmayla aşağıdaki araştırma sorularına yanıt aranmaktadır:</w:t>
      </w:r>
    </w:p>
    <w:p>
      <w:pPr>
        <w:pStyle w:val="ListBullet"/>
        <w:spacing w:after="80"/>
        <w:ind w:left="283"/>
      </w:pPr>
      <w:r>
        <w:rPr>
          <w:rFonts w:ascii="Times New Roman" w:hAnsi="Times New Roman"/>
          <w:b w:val="0"/>
          <w:i w:val="0"/>
          <w:sz w:val="24"/>
        </w:rPr>
        <w:t>Hangi konjunksiyon geometrisinde Pc eylem eşiğini (≥1×10⁻⁴) aşmaktadır?</w:t>
      </w:r>
    </w:p>
    <w:p>
      <w:pPr>
        <w:pStyle w:val="ListBullet"/>
        <w:spacing w:after="80"/>
        <w:ind w:left="283"/>
      </w:pPr>
      <w:r>
        <w:rPr>
          <w:rFonts w:ascii="Times New Roman" w:hAnsi="Times New Roman"/>
          <w:b w:val="0"/>
          <w:i w:val="0"/>
          <w:sz w:val="24"/>
        </w:rPr>
        <w:t>Minimum ΔV ile Pc'yi eşiğin altına indirmek için hangi manevra stratejisi optimaldir?</w:t>
      </w:r>
    </w:p>
    <w:p>
      <w:pPr>
        <w:pStyle w:val="ListBullet"/>
        <w:spacing w:after="80"/>
        <w:ind w:left="283"/>
      </w:pPr>
      <w:r>
        <w:rPr>
          <w:rFonts w:ascii="Times New Roman" w:hAnsi="Times New Roman"/>
          <w:b w:val="0"/>
          <w:i w:val="0"/>
          <w:sz w:val="24"/>
        </w:rPr>
        <w:t>Monte Carlo analizi, nominal Pc tahminlerini istatistiksel olarak nasıl desteklemektedir?</w:t>
      </w:r>
    </w:p>
    <w:p>
      <w:pPr>
        <w:pStyle w:val="ListBullet"/>
        <w:spacing w:after="80"/>
        <w:ind w:left="283"/>
      </w:pPr>
      <w:r>
        <w:rPr>
          <w:rFonts w:ascii="Times New Roman" w:hAnsi="Times New Roman"/>
          <w:b w:val="0"/>
          <w:i w:val="0"/>
          <w:sz w:val="24"/>
        </w:rPr>
        <w:t>Çoklu enkaz ortamında öncelik sırasına dayalı manevra planlaması nasıl gerçeklenebilir?</w:t>
      </w:r>
    </w:p>
    <w:p>
      <w:r>
        <w:br w:type="page"/>
      </w:r>
    </w:p>
    <w:p>
      <w:pPr>
        <w:spacing w:before="240" w:after="120"/>
      </w:pPr>
      <w:r>
        <w:rPr>
          <w:rFonts w:ascii="Times New Roman" w:hAnsi="Times New Roman"/>
          <w:b/>
          <w:i w:val="0"/>
          <w:sz w:val="32"/>
        </w:rPr>
        <w:t>BÖLÜM 2: YÖNTEM (METODOLOJİ)</w:t>
      </w:r>
    </w:p>
    <w:p>
      <w:pPr>
        <w:spacing w:before="240" w:after="120"/>
      </w:pPr>
      <w:r>
        <w:rPr>
          <w:rFonts w:ascii="Times New Roman" w:hAnsi="Times New Roman"/>
          <w:b/>
          <w:i w:val="0"/>
          <w:sz w:val="28"/>
        </w:rPr>
        <w:t>2.1 Matematiksel Model ve Varsayımlar</w:t>
      </w:r>
    </w:p>
    <w:p>
      <w:pPr>
        <w:spacing w:before="240" w:after="120"/>
      </w:pPr>
      <w:r>
        <w:rPr>
          <w:rFonts w:ascii="Times New Roman" w:hAnsi="Times New Roman"/>
          <w:b/>
          <w:i w:val="0"/>
          <w:sz w:val="24"/>
        </w:rPr>
        <w:t>2.1.1 Yörünge Yayımı (Orbital Propagation)</w:t>
      </w:r>
    </w:p>
    <w:p>
      <w:pPr>
        <w:spacing w:before="0" w:after="120"/>
        <w:jc w:val="both"/>
      </w:pPr>
      <w:r>
        <w:rPr>
          <w:rFonts w:ascii="Times New Roman" w:hAnsi="Times New Roman"/>
          <w:b w:val="0"/>
          <w:i w:val="0"/>
          <w:sz w:val="24"/>
        </w:rPr>
        <w:t>Yörünge yayımında iki cisim problemi ve J2 pertürbasyonu birlikte kullanılmıştır. ECI (Earth-Centered Inertial) koordinat çerçevesindeki hareket denklemi:</w:t>
      </w:r>
    </w:p>
    <w:p>
      <w:pPr>
        <w:spacing w:before="0" w:after="120"/>
        <w:jc w:val="center"/>
      </w:pPr>
      <w:r>
        <w:rPr>
          <w:rFonts w:ascii="Times New Roman" w:hAnsi="Times New Roman"/>
          <w:b w:val="0"/>
          <w:i/>
          <w:sz w:val="24"/>
        </w:rPr>
        <w:t>d²r/dt² = −(μ/r³)·r + a_J2</w:t>
      </w:r>
    </w:p>
    <w:p>
      <w:pPr>
        <w:spacing w:before="0" w:after="120"/>
        <w:jc w:val="both"/>
      </w:pPr>
      <w:r>
        <w:rPr>
          <w:rFonts w:ascii="Times New Roman" w:hAnsi="Times New Roman"/>
          <w:b w:val="0"/>
          <w:i w:val="0"/>
          <w:sz w:val="24"/>
        </w:rPr>
        <w:t>J2 ivmesi bileşenleri:</w:t>
      </w:r>
    </w:p>
    <w:p>
      <w:pPr>
        <w:spacing w:before="0" w:after="120"/>
        <w:jc w:val="center"/>
      </w:pPr>
      <w:r>
        <w:rPr>
          <w:rFonts w:ascii="Times New Roman" w:hAnsi="Times New Roman"/>
          <w:b w:val="0"/>
          <w:i/>
          <w:sz w:val="24"/>
        </w:rPr>
        <w:t>a_J2 = −(3/2)·J2·μ·R_E²/r⁵ · [x(1−5z²/r²),  y(1−5z²/r²),  z(3−5z²/r²)]</w:t>
      </w:r>
    </w:p>
    <w:p>
      <w:pPr>
        <w:spacing w:before="0" w:after="120"/>
        <w:jc w:val="both"/>
      </w:pPr>
      <w:r>
        <w:rPr>
          <w:rFonts w:ascii="Times New Roman" w:hAnsi="Times New Roman"/>
          <w:b w:val="0"/>
          <w:i w:val="0"/>
          <w:sz w:val="24"/>
        </w:rPr>
        <w:t>Burada μ = 398600.4418 km³/s², R_E = 6371 km, J2 = 1.08262668×10⁻³ değerleri kullanılmıştır. Sayısal entegrasyon için SciPy kütüphanesinin solve_ivp fonksiyonu (RK45, rtol=10⁻¹⁰, atol=10⁻¹²) tercih edilmiştir.</w:t>
      </w:r>
    </w:p>
    <w:p>
      <w:pPr>
        <w:spacing w:before="240" w:after="120"/>
      </w:pPr>
      <w:r>
        <w:rPr>
          <w:rFonts w:ascii="Times New Roman" w:hAnsi="Times New Roman"/>
          <w:b/>
          <w:i w:val="0"/>
          <w:sz w:val="24"/>
        </w:rPr>
        <w:t>2.1.2 Çarpışma Olasılığı — Chan 2D Projeksiyon Yöntemi</w:t>
      </w:r>
    </w:p>
    <w:p>
      <w:pPr>
        <w:spacing w:before="0" w:after="120"/>
        <w:jc w:val="both"/>
      </w:pPr>
      <w:r>
        <w:rPr>
          <w:rFonts w:ascii="Times New Roman" w:hAnsi="Times New Roman"/>
          <w:b w:val="0"/>
          <w:i w:val="0"/>
          <w:sz w:val="24"/>
        </w:rPr>
        <w:t>TCA (Time of Closest Approach) anında göreli hız vektörüne dik çarpışma düzlemi tanımlanmaktadır. Kombine konum kovaryans matrisi (Σ = Σ₁ + Σ₂) bu düzleme projekte edilerek 2 boyutlu Gauss yoğunluk fonksiyonu elde edilmektedir. Çarpışma olasılığı:</w:t>
      </w:r>
    </w:p>
    <w:p>
      <w:pPr>
        <w:spacing w:before="0" w:after="120"/>
        <w:jc w:val="center"/>
      </w:pPr>
      <w:r>
        <w:rPr>
          <w:rFonts w:ascii="Times New Roman" w:hAnsi="Times New Roman"/>
          <w:b w:val="0"/>
          <w:i/>
          <w:sz w:val="24"/>
        </w:rPr>
        <w:t>Pc = ∬_{|r|≤R_hbr} N(μ_rel, Σ_2D) dA</w:t>
      </w:r>
    </w:p>
    <w:p>
      <w:pPr>
        <w:spacing w:before="0" w:after="120"/>
        <w:jc w:val="both"/>
      </w:pPr>
      <w:r>
        <w:rPr>
          <w:rFonts w:ascii="Times New Roman" w:hAnsi="Times New Roman"/>
          <w:b w:val="0"/>
          <w:i w:val="0"/>
          <w:sz w:val="24"/>
        </w:rPr>
        <w:t>Burada R_hbr = 10 m kombine sert cisim yarıçapını, μ_rel çarpışma düzlemindeki göreli konum vektörünü ifade etmektedir. İntegrasyon scipy.integrate.dblquad ile sayısal olarak gerçekleştirilmiştir.</w:t>
      </w:r>
    </w:p>
    <w:p>
      <w:pPr>
        <w:spacing w:before="240" w:after="120"/>
      </w:pPr>
      <w:r>
        <w:rPr>
          <w:rFonts w:ascii="Times New Roman" w:hAnsi="Times New Roman"/>
          <w:b/>
          <w:i w:val="0"/>
          <w:sz w:val="24"/>
        </w:rPr>
        <w:t>2.1.3 Manevra Planlama</w:t>
      </w:r>
    </w:p>
    <w:p>
      <w:pPr>
        <w:spacing w:before="0" w:after="120"/>
        <w:jc w:val="both"/>
      </w:pPr>
      <w:r>
        <w:rPr>
          <w:rFonts w:ascii="Times New Roman" w:hAnsi="Times New Roman"/>
          <w:b w:val="0"/>
          <w:i w:val="0"/>
          <w:sz w:val="24"/>
        </w:rPr>
        <w:t>TCA'dan t_lead süresi önce anlık (impulsive) yakıt yakımı uygulanmaktadır. LVLH (Local Vertical Local Horizontal) çerçevesinde 6 yön (±along-track, ±radial, ±cross-track) arasında ikili arama (binary search) ile Pc &lt; 10⁻⁵ koşulunu sağlayan minimum |ΔV| bulunmaktadır.</w:t>
      </w:r>
    </w:p>
    <w:p>
      <w:pPr>
        <w:spacing w:before="240" w:after="120"/>
      </w:pPr>
      <w:r>
        <w:rPr>
          <w:rFonts w:ascii="Times New Roman" w:hAnsi="Times New Roman"/>
          <w:b/>
          <w:i w:val="0"/>
          <w:sz w:val="24"/>
        </w:rPr>
        <w:t>2.1.4 Varsayımlar</w:t>
      </w:r>
    </w:p>
    <w:p>
      <w:pPr>
        <w:pStyle w:val="ListBullet"/>
        <w:spacing w:after="80"/>
        <w:ind w:left="283"/>
      </w:pPr>
      <w:r>
        <w:rPr>
          <w:rFonts w:ascii="Times New Roman" w:hAnsi="Times New Roman"/>
          <w:b w:val="0"/>
          <w:i w:val="0"/>
          <w:sz w:val="24"/>
        </w:rPr>
        <w:t>Anlık yakıt yakımı (impulsive maneuver) — yakıt tükenmesi ihmal</w:t>
      </w:r>
    </w:p>
    <w:p>
      <w:pPr>
        <w:pStyle w:val="ListBullet"/>
        <w:spacing w:after="80"/>
        <w:ind w:left="283"/>
      </w:pPr>
      <w:r>
        <w:rPr>
          <w:rFonts w:ascii="Times New Roman" w:hAnsi="Times New Roman"/>
          <w:b w:val="0"/>
          <w:i w:val="0"/>
          <w:sz w:val="24"/>
        </w:rPr>
        <w:t>Kovaryans matrisi TCA boyunca sabit kabul edilmiştir</w:t>
      </w:r>
    </w:p>
    <w:p>
      <w:pPr>
        <w:pStyle w:val="ListBullet"/>
        <w:spacing w:after="80"/>
        <w:ind w:left="283"/>
      </w:pPr>
      <w:r>
        <w:rPr>
          <w:rFonts w:ascii="Times New Roman" w:hAnsi="Times New Roman"/>
          <w:b w:val="0"/>
          <w:i w:val="0"/>
          <w:sz w:val="24"/>
        </w:rPr>
        <w:t>Hava sürtünmesi ihmal edilmiş; dominant pertürbasyon J2'dir</w:t>
      </w:r>
    </w:p>
    <w:p>
      <w:pPr>
        <w:pStyle w:val="ListBullet"/>
        <w:spacing w:after="80"/>
        <w:ind w:left="283"/>
      </w:pPr>
      <w:r>
        <w:rPr>
          <w:rFonts w:ascii="Times New Roman" w:hAnsi="Times New Roman"/>
          <w:b w:val="0"/>
          <w:i w:val="0"/>
          <w:sz w:val="24"/>
        </w:rPr>
        <w:t>Monte Carlo'da ölçüm gürültüsü kovaryans matrisinden örneklenmektedir</w:t>
      </w:r>
    </w:p>
    <w:p>
      <w:pPr>
        <w:spacing w:before="240" w:after="120"/>
      </w:pPr>
      <w:r>
        <w:rPr>
          <w:rFonts w:ascii="Times New Roman" w:hAnsi="Times New Roman"/>
          <w:b/>
          <w:i w:val="0"/>
          <w:sz w:val="28"/>
        </w:rPr>
        <w:t>2.2 Sistem Akış Diyagramı</w:t>
      </w:r>
    </w:p>
    <w:p>
      <w:pPr>
        <w:jc w:val="center"/>
      </w:pPr>
      <w:r>
        <w:drawing>
          <wp:inline xmlns:a="http://schemas.openxmlformats.org/drawingml/2006/main" xmlns:pic="http://schemas.openxmlformats.org/drawingml/2006/picture">
            <wp:extent cx="4680000" cy="7530403"/>
            <wp:docPr id="1" name="Picture 1"/>
            <wp:cNvGraphicFramePr>
              <a:graphicFrameLocks noChangeAspect="1"/>
            </wp:cNvGraphicFramePr>
            <a:graphic>
              <a:graphicData uri="http://schemas.openxmlformats.org/drawingml/2006/picture">
                <pic:pic>
                  <pic:nvPicPr>
                    <pic:cNvPr id="0" name="system_flowchart.png"/>
                    <pic:cNvPicPr/>
                  </pic:nvPicPr>
                  <pic:blipFill>
                    <a:blip r:embed="rId9"/>
                    <a:stretch>
                      <a:fillRect/>
                    </a:stretch>
                  </pic:blipFill>
                  <pic:spPr>
                    <a:xfrm>
                      <a:off x="0" y="0"/>
                      <a:ext cx="4680000" cy="7530403"/>
                    </a:xfrm>
                    <a:prstGeom prst="rect"/>
                  </pic:spPr>
                </pic:pic>
              </a:graphicData>
            </a:graphic>
          </wp:inline>
        </w:drawing>
      </w:r>
    </w:p>
    <w:p>
      <w:pPr>
        <w:spacing w:after="240"/>
        <w:jc w:val="center"/>
      </w:pPr>
      <w:r>
        <w:rPr>
          <w:rFonts w:ascii="Times New Roman" w:hAnsi="Times New Roman"/>
          <w:b w:val="0"/>
          <w:i/>
          <w:sz w:val="20"/>
        </w:rPr>
        <w:t>Şekil 1: Satellite Collision Avoidance — Sistem Akış Diyagramı</w:t>
      </w:r>
      <w:r/>
    </w:p>
    <w:p>
      <w:pPr>
        <w:spacing w:before="240" w:after="120"/>
      </w:pPr>
      <w:r>
        <w:rPr>
          <w:rFonts w:ascii="Times New Roman" w:hAnsi="Times New Roman"/>
          <w:b/>
          <w:i w:val="0"/>
          <w:sz w:val="28"/>
        </w:rPr>
        <w:t>2.3 Yazılım Geliştirme Ortamı</w:t>
      </w:r>
    </w:p>
    <w:p>
      <w:pPr>
        <w:spacing w:before="0" w:after="120"/>
        <w:jc w:val="both"/>
      </w:pPr>
      <w:r>
        <w:rPr>
          <w:rFonts w:ascii="Times New Roman" w:hAnsi="Times New Roman"/>
          <w:b w:val="0"/>
          <w:i w:val="0"/>
          <w:sz w:val="24"/>
        </w:rPr>
        <w:t>Proje Python 3.13 ile Windows 11 ortamında, PyCharm IDE kullanılarak geliştirilmiştir. Kullanılan kütüphaneler:</w:t>
      </w:r>
    </w:p>
    <w:tbl>
      <w:tblPr>
        <w:tblStyle w:val="TableGrid"/>
        <w:tblW w:type="auto" w:w="0"/>
        <w:tblLook w:firstColumn="1" w:firstRow="1" w:lastColumn="0" w:lastRow="0" w:noHBand="0" w:noVBand="1" w:val="04A0"/>
      </w:tblPr>
      <w:tblGrid>
        <w:gridCol w:w="3024"/>
        <w:gridCol w:w="3024"/>
        <w:gridCol w:w="3024"/>
      </w:tblGrid>
      <w:tr>
        <w:tc>
          <w:tcPr>
            <w:tcW w:type="dxa" w:w="2268"/>
          </w:tcPr>
          <w:p>
            <w:pPr>
              <w:jc w:val="center"/>
            </w:pPr>
            <w:r>
              <w:rPr>
                <w:rFonts w:ascii="Times New Roman" w:hAnsi="Times New Roman"/>
                <w:b/>
                <w:i w:val="0"/>
                <w:sz w:val="22"/>
              </w:rPr>
              <w:t>Kütüphane</w:t>
            </w:r>
          </w:p>
        </w:tc>
        <w:tc>
          <w:tcPr>
            <w:tcW w:type="dxa" w:w="1701"/>
          </w:tcPr>
          <w:p>
            <w:pPr>
              <w:jc w:val="center"/>
            </w:pPr>
            <w:r>
              <w:rPr>
                <w:rFonts w:ascii="Times New Roman" w:hAnsi="Times New Roman"/>
                <w:b/>
                <w:i w:val="0"/>
                <w:sz w:val="22"/>
              </w:rPr>
              <w:t>Sürüm</w:t>
            </w:r>
          </w:p>
        </w:tc>
        <w:tc>
          <w:tcPr>
            <w:tcW w:type="dxa" w:w="5102"/>
          </w:tcPr>
          <w:p>
            <w:pPr>
              <w:jc w:val="center"/>
            </w:pPr>
            <w:r>
              <w:rPr>
                <w:rFonts w:ascii="Times New Roman" w:hAnsi="Times New Roman"/>
                <w:b/>
                <w:i w:val="0"/>
                <w:sz w:val="22"/>
              </w:rPr>
              <w:t>Kullanım Amacı</w:t>
            </w:r>
          </w:p>
        </w:tc>
      </w:tr>
      <w:tr>
        <w:tc>
          <w:tcPr>
            <w:tcW w:type="dxa" w:w="2268"/>
          </w:tcPr>
          <w:p>
            <w:r>
              <w:rPr>
                <w:rFonts w:ascii="Times New Roman" w:hAnsi="Times New Roman"/>
                <w:b w:val="0"/>
                <w:i w:val="0"/>
                <w:sz w:val="22"/>
              </w:rPr>
              <w:t>numpy</w:t>
            </w:r>
          </w:p>
        </w:tc>
        <w:tc>
          <w:tcPr>
            <w:tcW w:type="dxa" w:w="1701"/>
          </w:tcPr>
          <w:p>
            <w:r>
              <w:rPr>
                <w:rFonts w:ascii="Times New Roman" w:hAnsi="Times New Roman"/>
                <w:b w:val="0"/>
                <w:i w:val="0"/>
                <w:sz w:val="22"/>
              </w:rPr>
              <w:t>≥1.24</w:t>
            </w:r>
          </w:p>
        </w:tc>
        <w:tc>
          <w:tcPr>
            <w:tcW w:type="dxa" w:w="5102"/>
          </w:tcPr>
          <w:p>
            <w:r>
              <w:rPr>
                <w:rFonts w:ascii="Times New Roman" w:hAnsi="Times New Roman"/>
                <w:b w:val="0"/>
                <w:i w:val="0"/>
                <w:sz w:val="22"/>
              </w:rPr>
              <w:t>Sayısal dizi işlemleri, matris işlemleri</w:t>
            </w:r>
          </w:p>
        </w:tc>
      </w:tr>
      <w:tr>
        <w:tc>
          <w:tcPr>
            <w:tcW w:type="dxa" w:w="2268"/>
          </w:tcPr>
          <w:p>
            <w:r>
              <w:rPr>
                <w:rFonts w:ascii="Times New Roman" w:hAnsi="Times New Roman"/>
                <w:b w:val="0"/>
                <w:i w:val="0"/>
                <w:sz w:val="22"/>
              </w:rPr>
              <w:t>scipy</w:t>
            </w:r>
          </w:p>
        </w:tc>
        <w:tc>
          <w:tcPr>
            <w:tcW w:type="dxa" w:w="1701"/>
          </w:tcPr>
          <w:p>
            <w:r>
              <w:rPr>
                <w:rFonts w:ascii="Times New Roman" w:hAnsi="Times New Roman"/>
                <w:b w:val="0"/>
                <w:i w:val="0"/>
                <w:sz w:val="22"/>
              </w:rPr>
              <w:t>≥1.10</w:t>
            </w:r>
          </w:p>
        </w:tc>
        <w:tc>
          <w:tcPr>
            <w:tcW w:type="dxa" w:w="5102"/>
          </w:tcPr>
          <w:p>
            <w:r>
              <w:rPr>
                <w:rFonts w:ascii="Times New Roman" w:hAnsi="Times New Roman"/>
                <w:b w:val="0"/>
                <w:i w:val="0"/>
                <w:sz w:val="22"/>
              </w:rPr>
              <w:t>ODE çözücü (RK45), sayısal integrasyon (dblquad)</w:t>
            </w:r>
          </w:p>
        </w:tc>
      </w:tr>
      <w:tr>
        <w:tc>
          <w:tcPr>
            <w:tcW w:type="dxa" w:w="2268"/>
          </w:tcPr>
          <w:p>
            <w:r>
              <w:rPr>
                <w:rFonts w:ascii="Times New Roman" w:hAnsi="Times New Roman"/>
                <w:b w:val="0"/>
                <w:i w:val="0"/>
                <w:sz w:val="22"/>
              </w:rPr>
              <w:t>matplotlib</w:t>
            </w:r>
          </w:p>
        </w:tc>
        <w:tc>
          <w:tcPr>
            <w:tcW w:type="dxa" w:w="1701"/>
          </w:tcPr>
          <w:p>
            <w:r>
              <w:rPr>
                <w:rFonts w:ascii="Times New Roman" w:hAnsi="Times New Roman"/>
                <w:b w:val="0"/>
                <w:i w:val="0"/>
                <w:sz w:val="22"/>
              </w:rPr>
              <w:t>≥3.7</w:t>
            </w:r>
          </w:p>
        </w:tc>
        <w:tc>
          <w:tcPr>
            <w:tcW w:type="dxa" w:w="5102"/>
          </w:tcPr>
          <w:p>
            <w:r>
              <w:rPr>
                <w:rFonts w:ascii="Times New Roman" w:hAnsi="Times New Roman"/>
                <w:b w:val="0"/>
                <w:i w:val="0"/>
                <w:sz w:val="22"/>
              </w:rPr>
              <w:t>2D/3D grafik, GIF animasyon üretimi</w:t>
            </w:r>
          </w:p>
        </w:tc>
      </w:tr>
      <w:tr>
        <w:tc>
          <w:tcPr>
            <w:tcW w:type="dxa" w:w="2268"/>
          </w:tcPr>
          <w:p>
            <w:r>
              <w:rPr>
                <w:rFonts w:ascii="Times New Roman" w:hAnsi="Times New Roman"/>
                <w:b w:val="0"/>
                <w:i w:val="0"/>
                <w:sz w:val="22"/>
              </w:rPr>
              <w:t>pillow</w:t>
            </w:r>
          </w:p>
        </w:tc>
        <w:tc>
          <w:tcPr>
            <w:tcW w:type="dxa" w:w="1701"/>
          </w:tcPr>
          <w:p>
            <w:r>
              <w:rPr>
                <w:rFonts w:ascii="Times New Roman" w:hAnsi="Times New Roman"/>
                <w:b w:val="0"/>
                <w:i w:val="0"/>
                <w:sz w:val="22"/>
              </w:rPr>
              <w:t>≥9.0</w:t>
            </w:r>
          </w:p>
        </w:tc>
        <w:tc>
          <w:tcPr>
            <w:tcW w:type="dxa" w:w="5102"/>
          </w:tcPr>
          <w:p>
            <w:r>
              <w:rPr>
                <w:rFonts w:ascii="Times New Roman" w:hAnsi="Times New Roman"/>
                <w:b w:val="0"/>
                <w:i w:val="0"/>
                <w:sz w:val="22"/>
              </w:rPr>
              <w:t>GIF animasyon kaydı (PillowWriter)</w:t>
            </w:r>
          </w:p>
        </w:tc>
      </w:tr>
      <w:tr>
        <w:tc>
          <w:tcPr>
            <w:tcW w:type="dxa" w:w="2268"/>
          </w:tcPr>
          <w:p>
            <w:r>
              <w:rPr>
                <w:rFonts w:ascii="Times New Roman" w:hAnsi="Times New Roman"/>
                <w:b w:val="0"/>
                <w:i w:val="0"/>
                <w:sz w:val="22"/>
              </w:rPr>
              <w:t>tkinter</w:t>
            </w:r>
          </w:p>
        </w:tc>
        <w:tc>
          <w:tcPr>
            <w:tcW w:type="dxa" w:w="1701"/>
          </w:tcPr>
          <w:p>
            <w:r>
              <w:rPr>
                <w:rFonts w:ascii="Times New Roman" w:hAnsi="Times New Roman"/>
                <w:b w:val="0"/>
                <w:i w:val="0"/>
                <w:sz w:val="22"/>
              </w:rPr>
              <w:t>stdlib</w:t>
            </w:r>
          </w:p>
        </w:tc>
        <w:tc>
          <w:tcPr>
            <w:tcW w:type="dxa" w:w="5102"/>
          </w:tcPr>
          <w:p>
            <w:r>
              <w:rPr>
                <w:rFonts w:ascii="Times New Roman" w:hAnsi="Times New Roman"/>
                <w:b w:val="0"/>
                <w:i w:val="0"/>
                <w:sz w:val="22"/>
              </w:rPr>
              <w:t>Grafik kullanıcı arayüzü (GUI)</w:t>
            </w:r>
          </w:p>
        </w:tc>
      </w:tr>
    </w:tbl>
    <w:p>
      <w:pPr>
        <w:spacing w:before="0" w:after="120"/>
        <w:jc w:val="center"/>
      </w:pPr>
      <w:r>
        <w:rPr>
          <w:rFonts w:ascii="Times New Roman" w:hAnsi="Times New Roman"/>
          <w:b w:val="0"/>
          <w:i/>
          <w:sz w:val="20"/>
        </w:rPr>
        <w:t>Tablo 1: Kullanılan Python kütüphaneleri</w:t>
      </w:r>
    </w:p>
    <w:p>
      <w:pPr>
        <w:spacing w:before="0" w:after="120"/>
        <w:jc w:val="both"/>
      </w:pPr>
    </w:p>
    <w:p>
      <w:pPr>
        <w:spacing w:before="0" w:after="120"/>
        <w:jc w:val="both"/>
      </w:pPr>
      <w:r>
        <w:rPr>
          <w:rFonts w:ascii="Times New Roman" w:hAnsi="Times New Roman"/>
          <w:b w:val="0"/>
          <w:i w:val="0"/>
          <w:sz w:val="24"/>
        </w:rPr>
        <w:t>Proje modüler yapıda tasarlanmıştır:</w:t>
      </w:r>
    </w:p>
    <w:tbl>
      <w:tblPr>
        <w:tblStyle w:val="TableGrid"/>
        <w:tblW w:type="auto" w:w="0"/>
        <w:tblLook w:firstColumn="1" w:firstRow="1" w:lastColumn="0" w:lastRow="0" w:noHBand="0" w:noVBand="1" w:val="04A0"/>
      </w:tblPr>
      <w:tblGrid>
        <w:gridCol w:w="4536"/>
        <w:gridCol w:w="4536"/>
      </w:tblGrid>
      <w:tr>
        <w:tc>
          <w:tcPr>
            <w:tcW w:type="dxa" w:w="3118"/>
          </w:tcPr>
          <w:p>
            <w:pPr>
              <w:jc w:val="center"/>
            </w:pPr>
            <w:r>
              <w:rPr>
                <w:rFonts w:ascii="Times New Roman" w:hAnsi="Times New Roman"/>
                <w:b/>
                <w:i w:val="0"/>
                <w:sz w:val="22"/>
              </w:rPr>
              <w:t>Modül</w:t>
            </w:r>
          </w:p>
        </w:tc>
        <w:tc>
          <w:tcPr>
            <w:tcW w:type="dxa" w:w="5953"/>
          </w:tcPr>
          <w:p>
            <w:pPr>
              <w:jc w:val="center"/>
            </w:pPr>
            <w:r>
              <w:rPr>
                <w:rFonts w:ascii="Times New Roman" w:hAnsi="Times New Roman"/>
                <w:b/>
                <w:i w:val="0"/>
                <w:sz w:val="22"/>
              </w:rPr>
              <w:t>Görev</w:t>
            </w:r>
          </w:p>
        </w:tc>
      </w:tr>
      <w:tr>
        <w:tc>
          <w:tcPr>
            <w:tcW w:type="dxa" w:w="3118"/>
          </w:tcPr>
          <w:p>
            <w:r>
              <w:rPr>
                <w:rFonts w:ascii="Times New Roman" w:hAnsi="Times New Roman"/>
                <w:b w:val="0"/>
                <w:i w:val="0"/>
                <w:sz w:val="22"/>
              </w:rPr>
              <w:t>orbital_mechanics.py</w:t>
            </w:r>
          </w:p>
        </w:tc>
        <w:tc>
          <w:tcPr>
            <w:tcW w:type="dxa" w:w="5953"/>
          </w:tcPr>
          <w:p>
            <w:r>
              <w:rPr>
                <w:rFonts w:ascii="Times New Roman" w:hAnsi="Times New Roman"/>
                <w:b w:val="0"/>
                <w:i w:val="0"/>
                <w:sz w:val="22"/>
              </w:rPr>
              <w:t>Fizik motoru — J2, RK45, koordinat dönüşümleri</w:t>
            </w:r>
          </w:p>
        </w:tc>
      </w:tr>
      <w:tr>
        <w:tc>
          <w:tcPr>
            <w:tcW w:type="dxa" w:w="3118"/>
          </w:tcPr>
          <w:p>
            <w:r>
              <w:rPr>
                <w:rFonts w:ascii="Times New Roman" w:hAnsi="Times New Roman"/>
                <w:b w:val="0"/>
                <w:i w:val="0"/>
                <w:sz w:val="22"/>
              </w:rPr>
              <w:t>satellite.py</w:t>
            </w:r>
          </w:p>
        </w:tc>
        <w:tc>
          <w:tcPr>
            <w:tcW w:type="dxa" w:w="5953"/>
          </w:tcPr>
          <w:p>
            <w:r>
              <w:rPr>
                <w:rFonts w:ascii="Times New Roman" w:hAnsi="Times New Roman"/>
                <w:b w:val="0"/>
                <w:i w:val="0"/>
                <w:sz w:val="22"/>
              </w:rPr>
              <w:t>Uydu veri modeli (Kepler elemanları + kovaryans)</w:t>
            </w:r>
          </w:p>
        </w:tc>
      </w:tr>
      <w:tr>
        <w:tc>
          <w:tcPr>
            <w:tcW w:type="dxa" w:w="3118"/>
          </w:tcPr>
          <w:p>
            <w:r>
              <w:rPr>
                <w:rFonts w:ascii="Times New Roman" w:hAnsi="Times New Roman"/>
                <w:b w:val="0"/>
                <w:i w:val="0"/>
                <w:sz w:val="22"/>
              </w:rPr>
              <w:t>collision_detection.py</w:t>
            </w:r>
          </w:p>
        </w:tc>
        <w:tc>
          <w:tcPr>
            <w:tcW w:type="dxa" w:w="5953"/>
          </w:tcPr>
          <w:p>
            <w:r>
              <w:rPr>
                <w:rFonts w:ascii="Times New Roman" w:hAnsi="Times New Roman"/>
                <w:b w:val="0"/>
                <w:i w:val="0"/>
                <w:sz w:val="22"/>
              </w:rPr>
              <w:t>TCA tespiti, Chan 2D Pc hesabı</w:t>
            </w:r>
          </w:p>
        </w:tc>
      </w:tr>
      <w:tr>
        <w:tc>
          <w:tcPr>
            <w:tcW w:type="dxa" w:w="3118"/>
          </w:tcPr>
          <w:p>
            <w:r>
              <w:rPr>
                <w:rFonts w:ascii="Times New Roman" w:hAnsi="Times New Roman"/>
                <w:b w:val="0"/>
                <w:i w:val="0"/>
                <w:sz w:val="22"/>
              </w:rPr>
              <w:t>avoidance.py</w:t>
            </w:r>
          </w:p>
        </w:tc>
        <w:tc>
          <w:tcPr>
            <w:tcW w:type="dxa" w:w="5953"/>
          </w:tcPr>
          <w:p>
            <w:r>
              <w:rPr>
                <w:rFonts w:ascii="Times New Roman" w:hAnsi="Times New Roman"/>
                <w:b w:val="0"/>
                <w:i w:val="0"/>
                <w:sz w:val="22"/>
              </w:rPr>
              <w:t>ΔV manevra planlama (6 yön, binary search)</w:t>
            </w:r>
          </w:p>
        </w:tc>
      </w:tr>
      <w:tr>
        <w:tc>
          <w:tcPr>
            <w:tcW w:type="dxa" w:w="3118"/>
          </w:tcPr>
          <w:p>
            <w:r>
              <w:rPr>
                <w:rFonts w:ascii="Times New Roman" w:hAnsi="Times New Roman"/>
                <w:b w:val="0"/>
                <w:i w:val="0"/>
                <w:sz w:val="22"/>
              </w:rPr>
              <w:t>scenarios.py</w:t>
            </w:r>
          </w:p>
        </w:tc>
        <w:tc>
          <w:tcPr>
            <w:tcW w:type="dxa" w:w="5953"/>
          </w:tcPr>
          <w:p>
            <w:r>
              <w:rPr>
                <w:rFonts w:ascii="Times New Roman" w:hAnsi="Times New Roman"/>
                <w:b w:val="0"/>
                <w:i w:val="0"/>
                <w:sz w:val="22"/>
              </w:rPr>
              <w:t>4 simülasyon senaryosu</w:t>
            </w:r>
          </w:p>
        </w:tc>
      </w:tr>
      <w:tr>
        <w:tc>
          <w:tcPr>
            <w:tcW w:type="dxa" w:w="3118"/>
          </w:tcPr>
          <w:p>
            <w:r>
              <w:rPr>
                <w:rFonts w:ascii="Times New Roman" w:hAnsi="Times New Roman"/>
                <w:b w:val="0"/>
                <w:i w:val="0"/>
                <w:sz w:val="22"/>
              </w:rPr>
              <w:t>verification.py</w:t>
            </w:r>
          </w:p>
        </w:tc>
        <w:tc>
          <w:tcPr>
            <w:tcW w:type="dxa" w:w="5953"/>
          </w:tcPr>
          <w:p>
            <w:r>
              <w:rPr>
                <w:rFonts w:ascii="Times New Roman" w:hAnsi="Times New Roman"/>
                <w:b w:val="0"/>
                <w:i w:val="0"/>
                <w:sz w:val="22"/>
              </w:rPr>
              <w:t>V&amp;V — 5 doğrulama ve geçerleme testi</w:t>
            </w:r>
          </w:p>
        </w:tc>
      </w:tr>
      <w:tr>
        <w:tc>
          <w:tcPr>
            <w:tcW w:type="dxa" w:w="3118"/>
          </w:tcPr>
          <w:p>
            <w:r>
              <w:rPr>
                <w:rFonts w:ascii="Times New Roman" w:hAnsi="Times New Roman"/>
                <w:b w:val="0"/>
                <w:i w:val="0"/>
                <w:sz w:val="22"/>
              </w:rPr>
              <w:t>monte_carlo.py</w:t>
            </w:r>
          </w:p>
        </w:tc>
        <w:tc>
          <w:tcPr>
            <w:tcW w:type="dxa" w:w="5953"/>
          </w:tcPr>
          <w:p>
            <w:r>
              <w:rPr>
                <w:rFonts w:ascii="Times New Roman" w:hAnsi="Times New Roman"/>
                <w:b w:val="0"/>
                <w:i w:val="0"/>
                <w:sz w:val="22"/>
              </w:rPr>
              <w:t>N=200 Monte Carlo replikasyon analizi</w:t>
            </w:r>
          </w:p>
        </w:tc>
      </w:tr>
      <w:tr>
        <w:tc>
          <w:tcPr>
            <w:tcW w:type="dxa" w:w="3118"/>
          </w:tcPr>
          <w:p>
            <w:r>
              <w:rPr>
                <w:rFonts w:ascii="Times New Roman" w:hAnsi="Times New Roman"/>
                <w:b w:val="0"/>
                <w:i w:val="0"/>
                <w:sz w:val="22"/>
              </w:rPr>
              <w:t>visualization.py</w:t>
            </w:r>
          </w:p>
        </w:tc>
        <w:tc>
          <w:tcPr>
            <w:tcW w:type="dxa" w:w="5953"/>
          </w:tcPr>
          <w:p>
            <w:r>
              <w:rPr>
                <w:rFonts w:ascii="Times New Roman" w:hAnsi="Times New Roman"/>
                <w:b w:val="0"/>
                <w:i w:val="0"/>
                <w:sz w:val="22"/>
              </w:rPr>
              <w:t>Grafik, animasyon ve flowchart üretimi</w:t>
            </w:r>
          </w:p>
        </w:tc>
      </w:tr>
      <w:tr>
        <w:tc>
          <w:tcPr>
            <w:tcW w:type="dxa" w:w="3118"/>
          </w:tcPr>
          <w:p>
            <w:r>
              <w:rPr>
                <w:rFonts w:ascii="Times New Roman" w:hAnsi="Times New Roman"/>
                <w:b w:val="0"/>
                <w:i w:val="0"/>
                <w:sz w:val="22"/>
              </w:rPr>
              <w:t>gui.py</w:t>
            </w:r>
          </w:p>
        </w:tc>
        <w:tc>
          <w:tcPr>
            <w:tcW w:type="dxa" w:w="5953"/>
          </w:tcPr>
          <w:p>
            <w:r>
              <w:rPr>
                <w:rFonts w:ascii="Times New Roman" w:hAnsi="Times New Roman"/>
                <w:b w:val="0"/>
                <w:i w:val="0"/>
                <w:sz w:val="22"/>
              </w:rPr>
              <w:t>Tkinter grafik kullanıcı arayüzü</w:t>
            </w:r>
          </w:p>
        </w:tc>
      </w:tr>
      <w:tr>
        <w:tc>
          <w:tcPr>
            <w:tcW w:type="dxa" w:w="3118"/>
          </w:tcPr>
          <w:p>
            <w:r>
              <w:rPr>
                <w:rFonts w:ascii="Times New Roman" w:hAnsi="Times New Roman"/>
                <w:b w:val="0"/>
                <w:i w:val="0"/>
                <w:sz w:val="22"/>
              </w:rPr>
              <w:t>main.py</w:t>
            </w:r>
          </w:p>
        </w:tc>
        <w:tc>
          <w:tcPr>
            <w:tcW w:type="dxa" w:w="5953"/>
          </w:tcPr>
          <w:p>
            <w:r>
              <w:rPr>
                <w:rFonts w:ascii="Times New Roman" w:hAnsi="Times New Roman"/>
                <w:b w:val="0"/>
                <w:i w:val="0"/>
                <w:sz w:val="22"/>
              </w:rPr>
              <w:t>Terminal giriş noktası</w:t>
            </w:r>
          </w:p>
        </w:tc>
      </w:tr>
    </w:tbl>
    <w:p>
      <w:pPr>
        <w:spacing w:before="0" w:after="120"/>
        <w:jc w:val="center"/>
      </w:pPr>
      <w:r>
        <w:rPr>
          <w:rFonts w:ascii="Times New Roman" w:hAnsi="Times New Roman"/>
          <w:b w:val="0"/>
          <w:i/>
          <w:sz w:val="20"/>
        </w:rPr>
        <w:t>Tablo 2: Proje modülleri ve görevleri</w:t>
      </w:r>
    </w:p>
    <w:p>
      <w:r>
        <w:br w:type="page"/>
      </w:r>
    </w:p>
    <w:p>
      <w:pPr>
        <w:spacing w:before="240" w:after="120"/>
      </w:pPr>
      <w:r>
        <w:rPr>
          <w:rFonts w:ascii="Times New Roman" w:hAnsi="Times New Roman"/>
          <w:b/>
          <w:i w:val="0"/>
          <w:sz w:val="32"/>
        </w:rPr>
        <w:t>BÖLÜM 3: MODELİN DOĞRULANMASI VE GEÇERLEMESİ (V&amp;V)</w:t>
      </w:r>
    </w:p>
    <w:p>
      <w:pPr>
        <w:spacing w:before="240" w:after="120"/>
      </w:pPr>
      <w:r>
        <w:rPr>
          <w:rFonts w:ascii="Times New Roman" w:hAnsi="Times New Roman"/>
          <w:b/>
          <w:i w:val="0"/>
          <w:sz w:val="28"/>
        </w:rPr>
        <w:t>3.1 Doğrulama (Verification)</w:t>
      </w:r>
    </w:p>
    <w:p>
      <w:pPr>
        <w:spacing w:before="0" w:after="120"/>
        <w:jc w:val="both"/>
      </w:pPr>
      <w:r>
        <w:rPr>
          <w:rFonts w:ascii="Times New Roman" w:hAnsi="Times New Roman"/>
          <w:b w:val="0"/>
          <w:i w:val="0"/>
          <w:sz w:val="24"/>
        </w:rPr>
        <w:t>Doğrulama testleri, kodun matematiksel modeli doğru biçimde gerçeklediğini ortaya koymaktadır.</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pPr>
              <w:jc w:val="center"/>
            </w:pPr>
            <w:r>
              <w:rPr>
                <w:rFonts w:ascii="Times New Roman" w:hAnsi="Times New Roman"/>
                <w:b/>
                <w:i w:val="0"/>
                <w:sz w:val="22"/>
              </w:rPr>
              <w:t>Test</w:t>
            </w:r>
          </w:p>
        </w:tc>
        <w:tc>
          <w:tcPr>
            <w:tcW w:type="dxa" w:w="3402"/>
          </w:tcPr>
          <w:p>
            <w:pPr>
              <w:jc w:val="center"/>
            </w:pPr>
            <w:r>
              <w:rPr>
                <w:rFonts w:ascii="Times New Roman" w:hAnsi="Times New Roman"/>
                <w:b/>
                <w:i w:val="0"/>
                <w:sz w:val="22"/>
              </w:rPr>
              <w:t>Açıklama</w:t>
            </w:r>
          </w:p>
        </w:tc>
        <w:tc>
          <w:tcPr>
            <w:tcW w:type="dxa" w:w="2268"/>
          </w:tcPr>
          <w:p>
            <w:pPr>
              <w:jc w:val="center"/>
            </w:pPr>
            <w:r>
              <w:rPr>
                <w:rFonts w:ascii="Times New Roman" w:hAnsi="Times New Roman"/>
                <w:b/>
                <w:i w:val="0"/>
                <w:sz w:val="22"/>
              </w:rPr>
              <w:t>Kriter</w:t>
            </w:r>
          </w:p>
        </w:tc>
        <w:tc>
          <w:tcPr>
            <w:tcW w:type="dxa" w:w="1134"/>
          </w:tcPr>
          <w:p>
            <w:pPr>
              <w:jc w:val="center"/>
            </w:pPr>
            <w:r>
              <w:rPr>
                <w:rFonts w:ascii="Times New Roman" w:hAnsi="Times New Roman"/>
                <w:b/>
                <w:i w:val="0"/>
                <w:sz w:val="22"/>
              </w:rPr>
              <w:t>Sonuç</w:t>
            </w:r>
          </w:p>
        </w:tc>
      </w:tr>
      <w:tr>
        <w:tc>
          <w:tcPr>
            <w:tcW w:type="dxa" w:w="2268"/>
          </w:tcPr>
          <w:p>
            <w:r>
              <w:rPr>
                <w:rFonts w:ascii="Times New Roman" w:hAnsi="Times New Roman"/>
                <w:b w:val="0"/>
                <w:i w:val="0"/>
                <w:sz w:val="22"/>
              </w:rPr>
              <w:t>V1 — Enerji Korunumu</w:t>
            </w:r>
          </w:p>
        </w:tc>
        <w:tc>
          <w:tcPr>
            <w:tcW w:type="dxa" w:w="3402"/>
          </w:tcPr>
          <w:p>
            <w:r>
              <w:rPr>
                <w:rFonts w:ascii="Times New Roman" w:hAnsi="Times New Roman"/>
                <w:b w:val="0"/>
                <w:i w:val="0"/>
                <w:sz w:val="22"/>
              </w:rPr>
              <w:t>5 tam yörüngede mekanik enerji korunumu</w:t>
            </w:r>
          </w:p>
        </w:tc>
        <w:tc>
          <w:tcPr>
            <w:tcW w:type="dxa" w:w="2268"/>
          </w:tcPr>
          <w:p>
            <w:r>
              <w:rPr>
                <w:rFonts w:ascii="Times New Roman" w:hAnsi="Times New Roman"/>
                <w:b w:val="0"/>
                <w:i w:val="0"/>
                <w:sz w:val="22"/>
              </w:rPr>
              <w:t>Bağıl hata &lt; 1×10⁻⁶</w:t>
            </w:r>
          </w:p>
        </w:tc>
        <w:tc>
          <w:tcPr>
            <w:tcW w:type="dxa" w:w="1134"/>
          </w:tcPr>
          <w:p>
            <w:r>
              <w:rPr>
                <w:rFonts w:ascii="Times New Roman" w:hAnsi="Times New Roman"/>
                <w:b w:val="0"/>
                <w:i w:val="0"/>
                <w:sz w:val="22"/>
              </w:rPr>
              <w:t>GEÇER ✓</w:t>
            </w:r>
          </w:p>
        </w:tc>
      </w:tr>
      <w:tr>
        <w:tc>
          <w:tcPr>
            <w:tcW w:type="dxa" w:w="2268"/>
          </w:tcPr>
          <w:p>
            <w:r>
              <w:rPr>
                <w:rFonts w:ascii="Times New Roman" w:hAnsi="Times New Roman"/>
                <w:b w:val="0"/>
                <w:i w:val="0"/>
                <w:sz w:val="22"/>
              </w:rPr>
              <w:t>V2 — Gidiş-Dönüş</w:t>
            </w:r>
          </w:p>
        </w:tc>
        <w:tc>
          <w:tcPr>
            <w:tcW w:type="dxa" w:w="3402"/>
          </w:tcPr>
          <w:p>
            <w:r>
              <w:rPr>
                <w:rFonts w:ascii="Times New Roman" w:hAnsi="Times New Roman"/>
                <w:b w:val="0"/>
                <w:i w:val="0"/>
                <w:sz w:val="22"/>
              </w:rPr>
              <w:t>Kepler elemanları → ECI → Kepler elemanları</w:t>
            </w:r>
          </w:p>
        </w:tc>
        <w:tc>
          <w:tcPr>
            <w:tcW w:type="dxa" w:w="2268"/>
          </w:tcPr>
          <w:p>
            <w:r>
              <w:rPr>
                <w:rFonts w:ascii="Times New Roman" w:hAnsi="Times New Roman"/>
                <w:b w:val="0"/>
                <w:i w:val="0"/>
                <w:sz w:val="22"/>
              </w:rPr>
              <w:t>Bağıl hata &lt; 1×10⁻⁹</w:t>
            </w:r>
          </w:p>
        </w:tc>
        <w:tc>
          <w:tcPr>
            <w:tcW w:type="dxa" w:w="1134"/>
          </w:tcPr>
          <w:p>
            <w:r>
              <w:rPr>
                <w:rFonts w:ascii="Times New Roman" w:hAnsi="Times New Roman"/>
                <w:b w:val="0"/>
                <w:i w:val="0"/>
                <w:sz w:val="22"/>
              </w:rPr>
              <w:t>GEÇER ✓</w:t>
            </w:r>
          </w:p>
        </w:tc>
      </w:tr>
      <w:tr>
        <w:tc>
          <w:tcPr>
            <w:tcW w:type="dxa" w:w="2268"/>
          </w:tcPr>
          <w:p>
            <w:r>
              <w:rPr>
                <w:rFonts w:ascii="Times New Roman" w:hAnsi="Times New Roman"/>
                <w:b w:val="0"/>
                <w:i w:val="0"/>
                <w:sz w:val="22"/>
              </w:rPr>
              <w:t>V3 — Dairesel Hız</w:t>
            </w:r>
          </w:p>
        </w:tc>
        <w:tc>
          <w:tcPr>
            <w:tcW w:type="dxa" w:w="3402"/>
          </w:tcPr>
          <w:p>
            <w:r>
              <w:rPr>
                <w:rFonts w:ascii="Times New Roman" w:hAnsi="Times New Roman"/>
                <w:b w:val="0"/>
                <w:i w:val="0"/>
                <w:sz w:val="22"/>
              </w:rPr>
              <w:t>Dairesel yörüngede v = √(μ/a) kontrolü</w:t>
            </w:r>
          </w:p>
        </w:tc>
        <w:tc>
          <w:tcPr>
            <w:tcW w:type="dxa" w:w="2268"/>
          </w:tcPr>
          <w:p>
            <w:r>
              <w:rPr>
                <w:rFonts w:ascii="Times New Roman" w:hAnsi="Times New Roman"/>
                <w:b w:val="0"/>
                <w:i w:val="0"/>
                <w:sz w:val="22"/>
              </w:rPr>
              <w:t>Bağıl hata &lt; 1×10⁻⁶</w:t>
            </w:r>
          </w:p>
        </w:tc>
        <w:tc>
          <w:tcPr>
            <w:tcW w:type="dxa" w:w="1134"/>
          </w:tcPr>
          <w:p>
            <w:r>
              <w:rPr>
                <w:rFonts w:ascii="Times New Roman" w:hAnsi="Times New Roman"/>
                <w:b w:val="0"/>
                <w:i w:val="0"/>
                <w:sz w:val="22"/>
              </w:rPr>
              <w:t>GEÇER ✓</w:t>
            </w:r>
          </w:p>
        </w:tc>
      </w:tr>
    </w:tbl>
    <w:p>
      <w:pPr>
        <w:spacing w:before="0" w:after="120"/>
        <w:jc w:val="center"/>
      </w:pPr>
      <w:r>
        <w:rPr>
          <w:rFonts w:ascii="Times New Roman" w:hAnsi="Times New Roman"/>
          <w:b w:val="0"/>
          <w:i/>
          <w:sz w:val="20"/>
        </w:rPr>
        <w:t>Tablo 3: Doğrulama test sonuçları</w:t>
      </w:r>
    </w:p>
    <w:p>
      <w:pPr>
        <w:spacing w:before="0" w:after="120"/>
        <w:jc w:val="both"/>
      </w:pPr>
    </w:p>
    <w:p>
      <w:pPr>
        <w:jc w:val="center"/>
      </w:pPr>
      <w:r>
        <w:drawing>
          <wp:inline xmlns:a="http://schemas.openxmlformats.org/drawingml/2006/main" xmlns:pic="http://schemas.openxmlformats.org/drawingml/2006/picture">
            <wp:extent cx="4680000" cy="2132566"/>
            <wp:docPr id="2" name="Picture 2"/>
            <wp:cNvGraphicFramePr>
              <a:graphicFrameLocks noChangeAspect="1"/>
            </wp:cNvGraphicFramePr>
            <a:graphic>
              <a:graphicData uri="http://schemas.openxmlformats.org/drawingml/2006/picture">
                <pic:pic>
                  <pic:nvPicPr>
                    <pic:cNvPr id="0" name="vv_energy_conservation.png"/>
                    <pic:cNvPicPr/>
                  </pic:nvPicPr>
                  <pic:blipFill>
                    <a:blip r:embed="rId10"/>
                    <a:stretch>
                      <a:fillRect/>
                    </a:stretch>
                  </pic:blipFill>
                  <pic:spPr>
                    <a:xfrm>
                      <a:off x="0" y="0"/>
                      <a:ext cx="4680000" cy="2132566"/>
                    </a:xfrm>
                    <a:prstGeom prst="rect"/>
                  </pic:spPr>
                </pic:pic>
              </a:graphicData>
            </a:graphic>
          </wp:inline>
        </w:drawing>
      </w:r>
    </w:p>
    <w:p>
      <w:pPr>
        <w:spacing w:after="240"/>
        <w:jc w:val="center"/>
      </w:pPr>
      <w:r>
        <w:rPr>
          <w:rFonts w:ascii="Times New Roman" w:hAnsi="Times New Roman"/>
          <w:b w:val="0"/>
          <w:i/>
          <w:sz w:val="20"/>
        </w:rPr>
        <w:t>Şekil 2: V1 — 5 Yörüngede Mekanik Enerji Korunumu</w:t>
      </w:r>
      <w:r/>
    </w:p>
    <w:p>
      <w:pPr>
        <w:spacing w:before="240" w:after="120"/>
      </w:pPr>
      <w:r>
        <w:rPr>
          <w:rFonts w:ascii="Times New Roman" w:hAnsi="Times New Roman"/>
          <w:b/>
          <w:i w:val="0"/>
          <w:sz w:val="28"/>
        </w:rPr>
        <w:t>3.2 Geçerleme (Validation)</w:t>
      </w:r>
    </w:p>
    <w:p>
      <w:pPr>
        <w:spacing w:before="0" w:after="120"/>
        <w:jc w:val="both"/>
      </w:pPr>
      <w:r>
        <w:rPr>
          <w:rFonts w:ascii="Times New Roman" w:hAnsi="Times New Roman"/>
          <w:b w:val="0"/>
          <w:i w:val="0"/>
          <w:sz w:val="24"/>
        </w:rPr>
        <w:t>Geçerleme testleri, modelin gerçek dünya beklentileriyle ve teorik değerlerle uyumunu göstermektedir.</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pPr>
              <w:jc w:val="center"/>
            </w:pPr>
            <w:r>
              <w:rPr>
                <w:rFonts w:ascii="Times New Roman" w:hAnsi="Times New Roman"/>
                <w:b/>
                <w:i w:val="0"/>
                <w:sz w:val="22"/>
              </w:rPr>
              <w:t>Test</w:t>
            </w:r>
          </w:p>
        </w:tc>
        <w:tc>
          <w:tcPr>
            <w:tcW w:type="dxa" w:w="3969"/>
          </w:tcPr>
          <w:p>
            <w:pPr>
              <w:jc w:val="center"/>
            </w:pPr>
            <w:r>
              <w:rPr>
                <w:rFonts w:ascii="Times New Roman" w:hAnsi="Times New Roman"/>
                <w:b/>
                <w:i w:val="0"/>
                <w:sz w:val="22"/>
              </w:rPr>
              <w:t>Açıklama</w:t>
            </w:r>
          </w:p>
        </w:tc>
        <w:tc>
          <w:tcPr>
            <w:tcW w:type="dxa" w:w="1701"/>
          </w:tcPr>
          <w:p>
            <w:pPr>
              <w:jc w:val="center"/>
            </w:pPr>
            <w:r>
              <w:rPr>
                <w:rFonts w:ascii="Times New Roman" w:hAnsi="Times New Roman"/>
                <w:b/>
                <w:i w:val="0"/>
                <w:sz w:val="22"/>
              </w:rPr>
              <w:t>Kriter</w:t>
            </w:r>
          </w:p>
        </w:tc>
        <w:tc>
          <w:tcPr>
            <w:tcW w:type="dxa" w:w="1134"/>
          </w:tcPr>
          <w:p>
            <w:pPr>
              <w:jc w:val="center"/>
            </w:pPr>
            <w:r>
              <w:rPr>
                <w:rFonts w:ascii="Times New Roman" w:hAnsi="Times New Roman"/>
                <w:b/>
                <w:i w:val="0"/>
                <w:sz w:val="22"/>
              </w:rPr>
              <w:t>Sonuç</w:t>
            </w:r>
          </w:p>
        </w:tc>
      </w:tr>
      <w:tr>
        <w:tc>
          <w:tcPr>
            <w:tcW w:type="dxa" w:w="2268"/>
          </w:tcPr>
          <w:p>
            <w:r>
              <w:rPr>
                <w:rFonts w:ascii="Times New Roman" w:hAnsi="Times New Roman"/>
                <w:b w:val="0"/>
                <w:i w:val="0"/>
                <w:sz w:val="22"/>
              </w:rPr>
              <w:t>G1 — Kepler 3. Yasası</w:t>
            </w:r>
          </w:p>
        </w:tc>
        <w:tc>
          <w:tcPr>
            <w:tcW w:type="dxa" w:w="3969"/>
          </w:tcPr>
          <w:p>
            <w:r>
              <w:rPr>
                <w:rFonts w:ascii="Times New Roman" w:hAnsi="Times New Roman"/>
                <w:b w:val="0"/>
                <w:i w:val="0"/>
                <w:sz w:val="22"/>
              </w:rPr>
              <w:t>T = 2π√(a³/μ) ile simülasyon periyodu karşılaştırması</w:t>
            </w:r>
          </w:p>
        </w:tc>
        <w:tc>
          <w:tcPr>
            <w:tcW w:type="dxa" w:w="1701"/>
          </w:tcPr>
          <w:p>
            <w:r>
              <w:rPr>
                <w:rFonts w:ascii="Times New Roman" w:hAnsi="Times New Roman"/>
                <w:b w:val="0"/>
                <w:i w:val="0"/>
                <w:sz w:val="22"/>
              </w:rPr>
              <w:t>Bağıl hata &lt; 1×10⁻⁵</w:t>
            </w:r>
          </w:p>
        </w:tc>
        <w:tc>
          <w:tcPr>
            <w:tcW w:type="dxa" w:w="1134"/>
          </w:tcPr>
          <w:p>
            <w:r>
              <w:rPr>
                <w:rFonts w:ascii="Times New Roman" w:hAnsi="Times New Roman"/>
                <w:b w:val="0"/>
                <w:i w:val="0"/>
                <w:sz w:val="22"/>
              </w:rPr>
              <w:t>GEÇER ✓</w:t>
            </w:r>
          </w:p>
        </w:tc>
      </w:tr>
      <w:tr>
        <w:tc>
          <w:tcPr>
            <w:tcW w:type="dxa" w:w="2268"/>
          </w:tcPr>
          <w:p>
            <w:r>
              <w:rPr>
                <w:rFonts w:ascii="Times New Roman" w:hAnsi="Times New Roman"/>
                <w:b w:val="0"/>
                <w:i w:val="0"/>
                <w:sz w:val="22"/>
              </w:rPr>
              <w:t>G2 — Pc Sınır Koşulları</w:t>
            </w:r>
          </w:p>
        </w:tc>
        <w:tc>
          <w:tcPr>
            <w:tcW w:type="dxa" w:w="3969"/>
          </w:tcPr>
          <w:p>
            <w:r>
              <w:rPr>
                <w:rFonts w:ascii="Times New Roman" w:hAnsi="Times New Roman"/>
                <w:b w:val="0"/>
                <w:i w:val="0"/>
                <w:sz w:val="22"/>
              </w:rPr>
              <w:t>Miss &gt;&gt; R_hbr → Pc ≈ 0; Miss → 0 → Pc → 1</w:t>
            </w:r>
          </w:p>
        </w:tc>
        <w:tc>
          <w:tcPr>
            <w:tcW w:type="dxa" w:w="1701"/>
          </w:tcPr>
          <w:p>
            <w:r>
              <w:rPr>
                <w:rFonts w:ascii="Times New Roman" w:hAnsi="Times New Roman"/>
                <w:b w:val="0"/>
                <w:i w:val="0"/>
                <w:sz w:val="22"/>
              </w:rPr>
              <w:t>Monoton davranış</w:t>
            </w:r>
          </w:p>
        </w:tc>
        <w:tc>
          <w:tcPr>
            <w:tcW w:type="dxa" w:w="1134"/>
          </w:tcPr>
          <w:p>
            <w:r>
              <w:rPr>
                <w:rFonts w:ascii="Times New Roman" w:hAnsi="Times New Roman"/>
                <w:b w:val="0"/>
                <w:i w:val="0"/>
                <w:sz w:val="22"/>
              </w:rPr>
              <w:t>GEÇER ✓</w:t>
            </w:r>
          </w:p>
        </w:tc>
      </w:tr>
    </w:tbl>
    <w:p>
      <w:pPr>
        <w:spacing w:before="0" w:after="120"/>
        <w:jc w:val="center"/>
      </w:pPr>
      <w:r>
        <w:rPr>
          <w:rFonts w:ascii="Times New Roman" w:hAnsi="Times New Roman"/>
          <w:b w:val="0"/>
          <w:i/>
          <w:sz w:val="20"/>
        </w:rPr>
        <w:t>Tablo 4: Geçerleme test sonuçları</w:t>
      </w:r>
    </w:p>
    <w:p>
      <w:pPr>
        <w:spacing w:before="0" w:after="120"/>
        <w:jc w:val="both"/>
      </w:pPr>
    </w:p>
    <w:p>
      <w:pPr>
        <w:jc w:val="center"/>
      </w:pPr>
      <w:r>
        <w:drawing>
          <wp:inline xmlns:a="http://schemas.openxmlformats.org/drawingml/2006/main" xmlns:pic="http://schemas.openxmlformats.org/drawingml/2006/picture">
            <wp:extent cx="4680000" cy="1901906"/>
            <wp:docPr id="3" name="Picture 3"/>
            <wp:cNvGraphicFramePr>
              <a:graphicFrameLocks noChangeAspect="1"/>
            </wp:cNvGraphicFramePr>
            <a:graphic>
              <a:graphicData uri="http://schemas.openxmlformats.org/drawingml/2006/picture">
                <pic:pic>
                  <pic:nvPicPr>
                    <pic:cNvPr id="0" name="vv_pc_boundary.png"/>
                    <pic:cNvPicPr/>
                  </pic:nvPicPr>
                  <pic:blipFill>
                    <a:blip r:embed="rId11"/>
                    <a:stretch>
                      <a:fillRect/>
                    </a:stretch>
                  </pic:blipFill>
                  <pic:spPr>
                    <a:xfrm>
                      <a:off x="0" y="0"/>
                      <a:ext cx="4680000" cy="1901906"/>
                    </a:xfrm>
                    <a:prstGeom prst="rect"/>
                  </pic:spPr>
                </pic:pic>
              </a:graphicData>
            </a:graphic>
          </wp:inline>
        </w:drawing>
      </w:r>
    </w:p>
    <w:p>
      <w:pPr>
        <w:spacing w:after="240"/>
        <w:jc w:val="center"/>
      </w:pPr>
      <w:r>
        <w:rPr>
          <w:rFonts w:ascii="Times New Roman" w:hAnsi="Times New Roman"/>
          <w:b w:val="0"/>
          <w:i/>
          <w:sz w:val="20"/>
        </w:rPr>
        <w:t>Şekil 3: G2 — Pc Sınır Koşulları Geçerlemesi</w:t>
      </w:r>
      <w:r/>
    </w:p>
    <w:p>
      <w:r>
        <w:br w:type="page"/>
      </w:r>
    </w:p>
    <w:p>
      <w:pPr>
        <w:spacing w:before="240" w:after="120"/>
      </w:pPr>
      <w:r>
        <w:rPr>
          <w:rFonts w:ascii="Times New Roman" w:hAnsi="Times New Roman"/>
          <w:b/>
          <w:i w:val="0"/>
          <w:sz w:val="32"/>
        </w:rPr>
        <w:t>BÖLÜM 4: BULGULAR VE ANALİZ</w:t>
      </w:r>
    </w:p>
    <w:p>
      <w:pPr>
        <w:spacing w:before="240" w:after="120"/>
      </w:pPr>
      <w:r>
        <w:rPr>
          <w:rFonts w:ascii="Times New Roman" w:hAnsi="Times New Roman"/>
          <w:b/>
          <w:i w:val="0"/>
          <w:sz w:val="28"/>
        </w:rPr>
        <w:t>4.1 Senaryo 1: Düşük Riskli Yakın Geçiş</w:t>
      </w:r>
    </w:p>
    <w:p>
      <w:pPr>
        <w:spacing w:before="0" w:after="120"/>
        <w:jc w:val="both"/>
      </w:pPr>
      <w:r>
        <w:rPr>
          <w:rFonts w:ascii="Times New Roman" w:hAnsi="Times New Roman"/>
          <w:b w:val="0"/>
          <w:i w:val="0"/>
          <w:sz w:val="24"/>
        </w:rPr>
        <w:t>İki farklı eğimdeki yörünge (i=53°, i=90°) çaprazlaşmasında konjunksiyon analizi gerçeklenmiştir. TCA t=0.833 saatte gerçekleşmekte; bu anda miss distance 5424 m, göreli hız 13.7 km/s olarak hesaplanmıştır. Pc = 1.2×10⁻⁶ eylem eşiğinin (1×10⁻⁴) çok altında kalmakta olup herhangi bir manevra gerektirmemektedir.</w:t>
      </w:r>
    </w:p>
    <w:p>
      <w:pPr>
        <w:jc w:val="center"/>
      </w:pPr>
      <w:r>
        <w:drawing>
          <wp:inline xmlns:a="http://schemas.openxmlformats.org/drawingml/2006/main" xmlns:pic="http://schemas.openxmlformats.org/drawingml/2006/picture">
            <wp:extent cx="4320000" cy="4492256"/>
            <wp:docPr id="4" name="Picture 4"/>
            <wp:cNvGraphicFramePr>
              <a:graphicFrameLocks noChangeAspect="1"/>
            </wp:cNvGraphicFramePr>
            <a:graphic>
              <a:graphicData uri="http://schemas.openxmlformats.org/drawingml/2006/picture">
                <pic:pic>
                  <pic:nvPicPr>
                    <pic:cNvPr id="0" name="s1_orbits_3d.png"/>
                    <pic:cNvPicPr/>
                  </pic:nvPicPr>
                  <pic:blipFill>
                    <a:blip r:embed="rId12"/>
                    <a:stretch>
                      <a:fillRect/>
                    </a:stretch>
                  </pic:blipFill>
                  <pic:spPr>
                    <a:xfrm>
                      <a:off x="0" y="0"/>
                      <a:ext cx="4320000" cy="4492256"/>
                    </a:xfrm>
                    <a:prstGeom prst="rect"/>
                  </pic:spPr>
                </pic:pic>
              </a:graphicData>
            </a:graphic>
          </wp:inline>
        </w:drawing>
      </w:r>
    </w:p>
    <w:p>
      <w:pPr>
        <w:spacing w:after="240"/>
        <w:jc w:val="center"/>
      </w:pPr>
      <w:r>
        <w:rPr>
          <w:rFonts w:ascii="Times New Roman" w:hAnsi="Times New Roman"/>
          <w:b w:val="0"/>
          <w:i/>
          <w:sz w:val="20"/>
        </w:rPr>
        <w:t>Şekil 4: Senaryo 1 — Çapraz Yörüngeler ve TCA Noktası (3D ECI)</w:t>
      </w:r>
      <w:r/>
    </w:p>
    <w:p>
      <w:pPr>
        <w:jc w:val="center"/>
      </w:pPr>
      <w:r>
        <w:drawing>
          <wp:inline xmlns:a="http://schemas.openxmlformats.org/drawingml/2006/main" xmlns:pic="http://schemas.openxmlformats.org/drawingml/2006/picture">
            <wp:extent cx="4680000" cy="2579151"/>
            <wp:docPr id="5" name="Picture 5"/>
            <wp:cNvGraphicFramePr>
              <a:graphicFrameLocks noChangeAspect="1"/>
            </wp:cNvGraphicFramePr>
            <a:graphic>
              <a:graphicData uri="http://schemas.openxmlformats.org/drawingml/2006/picture">
                <pic:pic>
                  <pic:nvPicPr>
                    <pic:cNvPr id="0" name="s1_miss_distance.png"/>
                    <pic:cNvPicPr/>
                  </pic:nvPicPr>
                  <pic:blipFill>
                    <a:blip r:embed="rId13"/>
                    <a:stretch>
                      <a:fillRect/>
                    </a:stretch>
                  </pic:blipFill>
                  <pic:spPr>
                    <a:xfrm>
                      <a:off x="0" y="0"/>
                      <a:ext cx="4680000" cy="2579151"/>
                    </a:xfrm>
                    <a:prstGeom prst="rect"/>
                  </pic:spPr>
                </pic:pic>
              </a:graphicData>
            </a:graphic>
          </wp:inline>
        </w:drawing>
      </w:r>
    </w:p>
    <w:p>
      <w:pPr>
        <w:spacing w:after="240"/>
        <w:jc w:val="center"/>
      </w:pPr>
      <w:r>
        <w:rPr>
          <w:rFonts w:ascii="Times New Roman" w:hAnsi="Times New Roman"/>
          <w:b w:val="0"/>
          <w:i/>
          <w:sz w:val="20"/>
        </w:rPr>
        <w:t>Şekil 5: Senaryo 1 — Zaman İçinde Miss Distance (log ölçek)</w:t>
      </w:r>
      <w:r/>
    </w:p>
    <w:p>
      <w:pPr>
        <w:spacing w:before="240" w:after="120"/>
      </w:pPr>
      <w:r>
        <w:rPr>
          <w:rFonts w:ascii="Times New Roman" w:hAnsi="Times New Roman"/>
          <w:b/>
          <w:i w:val="0"/>
          <w:sz w:val="28"/>
        </w:rPr>
        <w:t>4.2 Senaryo 2: Yüksek Riskli Konjunksiyon ve Kaçınma Manevrası</w:t>
      </w:r>
    </w:p>
    <w:p>
      <w:pPr>
        <w:spacing w:before="0" w:after="120"/>
        <w:jc w:val="both"/>
      </w:pPr>
      <w:r>
        <w:rPr>
          <w:rFonts w:ascii="Times New Roman" w:hAnsi="Times New Roman"/>
          <w:b w:val="0"/>
          <w:i w:val="0"/>
          <w:sz w:val="24"/>
        </w:rPr>
        <w:t>Daha yakın çaprazlaşma parametreleriyle oluşturulan bu senaryoda miss distance 585 m'ye düşmekte ve Pc = 1.92×10⁻⁴ değeriyle eylem eşiğini aşmaktadır. Sistem otomatik olarak manevra planlamaya geçmekte; TCA'dan 0.5 saat önce optimal along-track yönünde ΔV = 0.43 m/s uygulanmaktadır.</w:t>
      </w:r>
    </w:p>
    <w:tbl>
      <w:tblPr>
        <w:tblStyle w:val="TableGrid"/>
        <w:tblW w:type="auto" w:w="0"/>
        <w:tblLook w:firstColumn="1" w:firstRow="1" w:lastColumn="0" w:lastRow="0" w:noHBand="0" w:noVBand="1" w:val="04A0"/>
      </w:tblPr>
      <w:tblGrid>
        <w:gridCol w:w="3024"/>
        <w:gridCol w:w="3024"/>
        <w:gridCol w:w="3024"/>
      </w:tblGrid>
      <w:tr>
        <w:tc>
          <w:tcPr>
            <w:tcW w:type="dxa" w:w="3118"/>
          </w:tcPr>
          <w:p>
            <w:pPr>
              <w:jc w:val="center"/>
            </w:pPr>
            <w:r>
              <w:rPr>
                <w:rFonts w:ascii="Times New Roman" w:hAnsi="Times New Roman"/>
                <w:b/>
                <w:i w:val="0"/>
                <w:sz w:val="22"/>
              </w:rPr>
              <w:t>Parametre</w:t>
            </w:r>
          </w:p>
        </w:tc>
        <w:tc>
          <w:tcPr>
            <w:tcW w:type="dxa" w:w="2551"/>
          </w:tcPr>
          <w:p>
            <w:pPr>
              <w:jc w:val="center"/>
            </w:pPr>
            <w:r>
              <w:rPr>
                <w:rFonts w:ascii="Times New Roman" w:hAnsi="Times New Roman"/>
                <w:b/>
                <w:i w:val="0"/>
                <w:sz w:val="22"/>
              </w:rPr>
              <w:t>Manevra Öncesi</w:t>
            </w:r>
          </w:p>
        </w:tc>
        <w:tc>
          <w:tcPr>
            <w:tcW w:type="dxa" w:w="2835"/>
          </w:tcPr>
          <w:p>
            <w:pPr>
              <w:jc w:val="center"/>
            </w:pPr>
            <w:r>
              <w:rPr>
                <w:rFonts w:ascii="Times New Roman" w:hAnsi="Times New Roman"/>
                <w:b/>
                <w:i w:val="0"/>
                <w:sz w:val="22"/>
              </w:rPr>
              <w:t>Manevra Sonrası</w:t>
            </w:r>
          </w:p>
        </w:tc>
      </w:tr>
      <w:tr>
        <w:tc>
          <w:tcPr>
            <w:tcW w:type="dxa" w:w="3118"/>
          </w:tcPr>
          <w:p>
            <w:r>
              <w:rPr>
                <w:rFonts w:ascii="Times New Roman" w:hAnsi="Times New Roman"/>
                <w:b w:val="0"/>
                <w:i w:val="0"/>
                <w:sz w:val="22"/>
              </w:rPr>
              <w:t>Miss Distance</w:t>
            </w:r>
          </w:p>
        </w:tc>
        <w:tc>
          <w:tcPr>
            <w:tcW w:type="dxa" w:w="2551"/>
          </w:tcPr>
          <w:p>
            <w:r>
              <w:rPr>
                <w:rFonts w:ascii="Times New Roman" w:hAnsi="Times New Roman"/>
                <w:b w:val="0"/>
                <w:i w:val="0"/>
                <w:sz w:val="22"/>
              </w:rPr>
              <w:t>585 m</w:t>
            </w:r>
          </w:p>
        </w:tc>
        <w:tc>
          <w:tcPr>
            <w:tcW w:type="dxa" w:w="2835"/>
          </w:tcPr>
          <w:p>
            <w:r>
              <w:rPr>
                <w:rFonts w:ascii="Times New Roman" w:hAnsi="Times New Roman"/>
                <w:b w:val="0"/>
                <w:i w:val="0"/>
                <w:sz w:val="22"/>
              </w:rPr>
              <w:t>1300 m</w:t>
            </w:r>
          </w:p>
        </w:tc>
      </w:tr>
      <w:tr>
        <w:tc>
          <w:tcPr>
            <w:tcW w:type="dxa" w:w="3118"/>
          </w:tcPr>
          <w:p>
            <w:r>
              <w:rPr>
                <w:rFonts w:ascii="Times New Roman" w:hAnsi="Times New Roman"/>
                <w:b w:val="0"/>
                <w:i w:val="0"/>
                <w:sz w:val="22"/>
              </w:rPr>
              <w:t>Çarpışma Olasılığı (Pc)</w:t>
            </w:r>
          </w:p>
        </w:tc>
        <w:tc>
          <w:tcPr>
            <w:tcW w:type="dxa" w:w="2551"/>
          </w:tcPr>
          <w:p>
            <w:r>
              <w:rPr>
                <w:rFonts w:ascii="Times New Roman" w:hAnsi="Times New Roman"/>
                <w:b w:val="0"/>
                <w:i w:val="0"/>
                <w:sz w:val="22"/>
              </w:rPr>
              <w:t>1.92×10⁻⁴</w:t>
            </w:r>
          </w:p>
        </w:tc>
        <w:tc>
          <w:tcPr>
            <w:tcW w:type="dxa" w:w="2835"/>
          </w:tcPr>
          <w:p>
            <w:r>
              <w:rPr>
                <w:rFonts w:ascii="Times New Roman" w:hAnsi="Times New Roman"/>
                <w:b w:val="0"/>
                <w:i w:val="0"/>
                <w:sz w:val="22"/>
              </w:rPr>
              <w:t>1.0×10⁻⁵</w:t>
            </w:r>
          </w:p>
        </w:tc>
      </w:tr>
      <w:tr>
        <w:tc>
          <w:tcPr>
            <w:tcW w:type="dxa" w:w="3118"/>
          </w:tcPr>
          <w:p>
            <w:r>
              <w:rPr>
                <w:rFonts w:ascii="Times New Roman" w:hAnsi="Times New Roman"/>
                <w:b w:val="0"/>
                <w:i w:val="0"/>
                <w:sz w:val="22"/>
              </w:rPr>
              <w:t>Risk Seviyesi</w:t>
            </w:r>
          </w:p>
        </w:tc>
        <w:tc>
          <w:tcPr>
            <w:tcW w:type="dxa" w:w="2551"/>
          </w:tcPr>
          <w:p>
            <w:r>
              <w:rPr>
                <w:rFonts w:ascii="Times New Roman" w:hAnsi="Times New Roman"/>
                <w:b w:val="0"/>
                <w:i w:val="0"/>
                <w:sz w:val="22"/>
              </w:rPr>
              <w:t>YÜKSEK</w:t>
            </w:r>
          </w:p>
        </w:tc>
        <w:tc>
          <w:tcPr>
            <w:tcW w:type="dxa" w:w="2835"/>
          </w:tcPr>
          <w:p>
            <w:r>
              <w:rPr>
                <w:rFonts w:ascii="Times New Roman" w:hAnsi="Times New Roman"/>
                <w:b w:val="0"/>
                <w:i w:val="0"/>
                <w:sz w:val="22"/>
              </w:rPr>
              <w:t>DÜŞÜK</w:t>
            </w:r>
          </w:p>
        </w:tc>
      </w:tr>
      <w:tr>
        <w:tc>
          <w:tcPr>
            <w:tcW w:type="dxa" w:w="3118"/>
          </w:tcPr>
          <w:p>
            <w:r>
              <w:rPr>
                <w:rFonts w:ascii="Times New Roman" w:hAnsi="Times New Roman"/>
                <w:b w:val="0"/>
                <w:i w:val="0"/>
                <w:sz w:val="22"/>
              </w:rPr>
              <w:t>Manevra Stratejisi</w:t>
            </w:r>
          </w:p>
        </w:tc>
        <w:tc>
          <w:tcPr>
            <w:tcW w:type="dxa" w:w="2551"/>
          </w:tcPr>
          <w:p>
            <w:r>
              <w:rPr>
                <w:rFonts w:ascii="Times New Roman" w:hAnsi="Times New Roman"/>
                <w:b w:val="0"/>
                <w:i w:val="0"/>
                <w:sz w:val="22"/>
              </w:rPr>
              <w:t>—</w:t>
            </w:r>
          </w:p>
        </w:tc>
        <w:tc>
          <w:tcPr>
            <w:tcW w:type="dxa" w:w="2835"/>
          </w:tcPr>
          <w:p>
            <w:r>
              <w:rPr>
                <w:rFonts w:ascii="Times New Roman" w:hAnsi="Times New Roman"/>
                <w:b w:val="0"/>
                <w:i w:val="0"/>
                <w:sz w:val="22"/>
              </w:rPr>
              <w:t>Along-track (+)</w:t>
            </w:r>
          </w:p>
        </w:tc>
      </w:tr>
      <w:tr>
        <w:tc>
          <w:tcPr>
            <w:tcW w:type="dxa" w:w="3118"/>
          </w:tcPr>
          <w:p>
            <w:r>
              <w:rPr>
                <w:rFonts w:ascii="Times New Roman" w:hAnsi="Times New Roman"/>
                <w:b w:val="0"/>
                <w:i w:val="0"/>
                <w:sz w:val="22"/>
              </w:rPr>
              <w:t>Delta-V</w:t>
            </w:r>
          </w:p>
        </w:tc>
        <w:tc>
          <w:tcPr>
            <w:tcW w:type="dxa" w:w="2551"/>
          </w:tcPr>
          <w:p>
            <w:r>
              <w:rPr>
                <w:rFonts w:ascii="Times New Roman" w:hAnsi="Times New Roman"/>
                <w:b w:val="0"/>
                <w:i w:val="0"/>
                <w:sz w:val="22"/>
              </w:rPr>
              <w:t>—</w:t>
            </w:r>
          </w:p>
        </w:tc>
        <w:tc>
          <w:tcPr>
            <w:tcW w:type="dxa" w:w="2835"/>
          </w:tcPr>
          <w:p>
            <w:r>
              <w:rPr>
                <w:rFonts w:ascii="Times New Roman" w:hAnsi="Times New Roman"/>
                <w:b w:val="0"/>
                <w:i w:val="0"/>
                <w:sz w:val="22"/>
              </w:rPr>
              <w:t>0.43 m/s</w:t>
            </w:r>
          </w:p>
        </w:tc>
      </w:tr>
      <w:tr>
        <w:tc>
          <w:tcPr>
            <w:tcW w:type="dxa" w:w="3118"/>
          </w:tcPr>
          <w:p>
            <w:r>
              <w:rPr>
                <w:rFonts w:ascii="Times New Roman" w:hAnsi="Times New Roman"/>
                <w:b w:val="0"/>
                <w:i w:val="0"/>
                <w:sz w:val="22"/>
              </w:rPr>
              <w:t>Manevra Zamanı</w:t>
            </w:r>
          </w:p>
        </w:tc>
        <w:tc>
          <w:tcPr>
            <w:tcW w:type="dxa" w:w="2551"/>
          </w:tcPr>
          <w:p>
            <w:r>
              <w:rPr>
                <w:rFonts w:ascii="Times New Roman" w:hAnsi="Times New Roman"/>
                <w:b w:val="0"/>
                <w:i w:val="0"/>
                <w:sz w:val="22"/>
              </w:rPr>
              <w:t>—</w:t>
            </w:r>
          </w:p>
        </w:tc>
        <w:tc>
          <w:tcPr>
            <w:tcW w:type="dxa" w:w="2835"/>
          </w:tcPr>
          <w:p>
            <w:r>
              <w:rPr>
                <w:rFonts w:ascii="Times New Roman" w:hAnsi="Times New Roman"/>
                <w:b w:val="0"/>
                <w:i w:val="0"/>
                <w:sz w:val="22"/>
              </w:rPr>
              <w:t>T−30 dakika</w:t>
            </w:r>
          </w:p>
        </w:tc>
      </w:tr>
    </w:tbl>
    <w:p>
      <w:pPr>
        <w:spacing w:before="0" w:after="120"/>
        <w:jc w:val="center"/>
      </w:pPr>
      <w:r>
        <w:rPr>
          <w:rFonts w:ascii="Times New Roman" w:hAnsi="Times New Roman"/>
          <w:b w:val="0"/>
          <w:i/>
          <w:sz w:val="20"/>
        </w:rPr>
        <w:t>Tablo 5: Senaryo 2 — Manevra öncesi ve sonrası karşılaştırması</w:t>
      </w:r>
    </w:p>
    <w:p>
      <w:pPr>
        <w:spacing w:before="0" w:after="120"/>
        <w:jc w:val="both"/>
      </w:pPr>
    </w:p>
    <w:p>
      <w:pPr>
        <w:jc w:val="center"/>
      </w:pPr>
      <w:r>
        <w:drawing>
          <wp:inline xmlns:a="http://schemas.openxmlformats.org/drawingml/2006/main" xmlns:pic="http://schemas.openxmlformats.org/drawingml/2006/picture">
            <wp:extent cx="4680000" cy="2579151"/>
            <wp:docPr id="6" name="Picture 6"/>
            <wp:cNvGraphicFramePr>
              <a:graphicFrameLocks noChangeAspect="1"/>
            </wp:cNvGraphicFramePr>
            <a:graphic>
              <a:graphicData uri="http://schemas.openxmlformats.org/drawingml/2006/picture">
                <pic:pic>
                  <pic:nvPicPr>
                    <pic:cNvPr id="0" name="s2_miss_distance.png"/>
                    <pic:cNvPicPr/>
                  </pic:nvPicPr>
                  <pic:blipFill>
                    <a:blip r:embed="rId14"/>
                    <a:stretch>
                      <a:fillRect/>
                    </a:stretch>
                  </pic:blipFill>
                  <pic:spPr>
                    <a:xfrm>
                      <a:off x="0" y="0"/>
                      <a:ext cx="4680000" cy="2579151"/>
                    </a:xfrm>
                    <a:prstGeom prst="rect"/>
                  </pic:spPr>
                </pic:pic>
              </a:graphicData>
            </a:graphic>
          </wp:inline>
        </w:drawing>
      </w:r>
    </w:p>
    <w:p>
      <w:pPr>
        <w:spacing w:after="240"/>
        <w:jc w:val="center"/>
      </w:pPr>
      <w:r>
        <w:rPr>
          <w:rFonts w:ascii="Times New Roman" w:hAnsi="Times New Roman"/>
          <w:b w:val="0"/>
          <w:i/>
          <w:sz w:val="20"/>
        </w:rPr>
        <w:t>Şekil 6: Senaryo 2 — Miss Distance: Manevra Öncesi vs. Sonrası</w:t>
      </w:r>
      <w:r/>
    </w:p>
    <w:p>
      <w:pPr>
        <w:jc w:val="center"/>
      </w:pPr>
      <w:r>
        <w:drawing>
          <wp:inline xmlns:a="http://schemas.openxmlformats.org/drawingml/2006/main" xmlns:pic="http://schemas.openxmlformats.org/drawingml/2006/picture">
            <wp:extent cx="3960000" cy="3688610"/>
            <wp:docPr id="7" name="Picture 7"/>
            <wp:cNvGraphicFramePr>
              <a:graphicFrameLocks noChangeAspect="1"/>
            </wp:cNvGraphicFramePr>
            <a:graphic>
              <a:graphicData uri="http://schemas.openxmlformats.org/drawingml/2006/picture">
                <pic:pic>
                  <pic:nvPicPr>
                    <pic:cNvPr id="0" name="s2_relative_motion.png"/>
                    <pic:cNvPicPr/>
                  </pic:nvPicPr>
                  <pic:blipFill>
                    <a:blip r:embed="rId15"/>
                    <a:stretch>
                      <a:fillRect/>
                    </a:stretch>
                  </pic:blipFill>
                  <pic:spPr>
                    <a:xfrm>
                      <a:off x="0" y="0"/>
                      <a:ext cx="3960000" cy="3688610"/>
                    </a:xfrm>
                    <a:prstGeom prst="rect"/>
                  </pic:spPr>
                </pic:pic>
              </a:graphicData>
            </a:graphic>
          </wp:inline>
        </w:drawing>
      </w:r>
    </w:p>
    <w:p>
      <w:pPr>
        <w:spacing w:after="240"/>
        <w:jc w:val="center"/>
      </w:pPr>
      <w:r>
        <w:rPr>
          <w:rFonts w:ascii="Times New Roman" w:hAnsi="Times New Roman"/>
          <w:b w:val="0"/>
          <w:i/>
          <w:sz w:val="20"/>
        </w:rPr>
        <w:t>Şekil 7: Senaryo 2 — LVLH Çerçevesinde Göreli Hareket</w:t>
      </w:r>
      <w:r/>
    </w:p>
    <w:p>
      <w:pPr>
        <w:spacing w:before="240" w:after="120"/>
      </w:pPr>
      <w:r>
        <w:rPr>
          <w:rFonts w:ascii="Times New Roman" w:hAnsi="Times New Roman"/>
          <w:b/>
          <w:i w:val="0"/>
          <w:sz w:val="28"/>
        </w:rPr>
        <w:t>4.3 Senaryo 3: Delta-V Duyarlılık Analizi</w:t>
      </w:r>
    </w:p>
    <w:p>
      <w:pPr>
        <w:spacing w:before="0" w:after="120"/>
        <w:jc w:val="both"/>
      </w:pPr>
      <w:r>
        <w:rPr>
          <w:rFonts w:ascii="Times New Roman" w:hAnsi="Times New Roman"/>
          <w:b w:val="0"/>
          <w:i w:val="0"/>
          <w:sz w:val="24"/>
        </w:rPr>
        <w:t>Bu senaryoda ΔV büyüklüğü ile miss distance ve Pc arasındaki ilişki sistematik biçimde incelenmiştir. Sonuçlar, yalnızca 2 m/s'lik along-track yakıt yakımının Pc'yi eylem eşiğinin altına indirebileceğini göstermektedir. Farklı ΔV seviyelerinde ve manevra zamanlamalarında Pc davranışı da değerlendirilmiştir.</w:t>
      </w:r>
    </w:p>
    <w:p>
      <w:pPr>
        <w:jc w:val="center"/>
      </w:pPr>
      <w:r>
        <w:drawing>
          <wp:inline xmlns:a="http://schemas.openxmlformats.org/drawingml/2006/main" xmlns:pic="http://schemas.openxmlformats.org/drawingml/2006/picture">
            <wp:extent cx="4680000" cy="2340000"/>
            <wp:docPr id="8" name="Picture 8"/>
            <wp:cNvGraphicFramePr>
              <a:graphicFrameLocks noChangeAspect="1"/>
            </wp:cNvGraphicFramePr>
            <a:graphic>
              <a:graphicData uri="http://schemas.openxmlformats.org/drawingml/2006/picture">
                <pic:pic>
                  <pic:nvPicPr>
                    <pic:cNvPr id="0" name="s3_dv_tradeoff.png"/>
                    <pic:cNvPicPr/>
                  </pic:nvPicPr>
                  <pic:blipFill>
                    <a:blip r:embed="rId16"/>
                    <a:stretch>
                      <a:fillRect/>
                    </a:stretch>
                  </pic:blipFill>
                  <pic:spPr>
                    <a:xfrm>
                      <a:off x="0" y="0"/>
                      <a:ext cx="4680000" cy="2340000"/>
                    </a:xfrm>
                    <a:prstGeom prst="rect"/>
                  </pic:spPr>
                </pic:pic>
              </a:graphicData>
            </a:graphic>
          </wp:inline>
        </w:drawing>
      </w:r>
    </w:p>
    <w:p>
      <w:pPr>
        <w:spacing w:after="240"/>
        <w:jc w:val="center"/>
      </w:pPr>
      <w:r>
        <w:rPr>
          <w:rFonts w:ascii="Times New Roman" w:hAnsi="Times New Roman"/>
          <w:b w:val="0"/>
          <w:i/>
          <w:sz w:val="20"/>
        </w:rPr>
        <w:t>Şekil 8: Senaryo 3 — Delta-V ve Miss Distance ile Pc İlişkisi</w:t>
      </w:r>
      <w:r/>
    </w:p>
    <w:p>
      <w:pPr>
        <w:jc w:val="center"/>
      </w:pPr>
      <w:r>
        <w:drawing>
          <wp:inline xmlns:a="http://schemas.openxmlformats.org/drawingml/2006/main" xmlns:pic="http://schemas.openxmlformats.org/drawingml/2006/picture">
            <wp:extent cx="4680000" cy="2537263"/>
            <wp:docPr id="9" name="Picture 9"/>
            <wp:cNvGraphicFramePr>
              <a:graphicFrameLocks noChangeAspect="1"/>
            </wp:cNvGraphicFramePr>
            <a:graphic>
              <a:graphicData uri="http://schemas.openxmlformats.org/drawingml/2006/picture">
                <pic:pic>
                  <pic:nvPicPr>
                    <pic:cNvPr id="0" name="s3_pc_vs_leadtime.png"/>
                    <pic:cNvPicPr/>
                  </pic:nvPicPr>
                  <pic:blipFill>
                    <a:blip r:embed="rId17"/>
                    <a:stretch>
                      <a:fillRect/>
                    </a:stretch>
                  </pic:blipFill>
                  <pic:spPr>
                    <a:xfrm>
                      <a:off x="0" y="0"/>
                      <a:ext cx="4680000" cy="2537263"/>
                    </a:xfrm>
                    <a:prstGeom prst="rect"/>
                  </pic:spPr>
                </pic:pic>
              </a:graphicData>
            </a:graphic>
          </wp:inline>
        </w:drawing>
      </w:r>
    </w:p>
    <w:p>
      <w:pPr>
        <w:spacing w:after="240"/>
        <w:jc w:val="center"/>
      </w:pPr>
      <w:r>
        <w:rPr>
          <w:rFonts w:ascii="Times New Roman" w:hAnsi="Times New Roman"/>
          <w:b w:val="0"/>
          <w:i/>
          <w:sz w:val="20"/>
        </w:rPr>
        <w:t>Şekil 9: Senaryo 3 — Farklı ΔV Seviyelerinde Pc vs. Manevra Zamanlaması</w:t>
      </w:r>
      <w:r/>
    </w:p>
    <w:p>
      <w:pPr>
        <w:spacing w:before="240" w:after="120"/>
      </w:pPr>
      <w:r>
        <w:rPr>
          <w:rFonts w:ascii="Times New Roman" w:hAnsi="Times New Roman"/>
          <w:b/>
          <w:i w:val="0"/>
          <w:sz w:val="28"/>
        </w:rPr>
        <w:t>4.4 Senaryo 4: Çoklu Enkaz Ortamı</w:t>
      </w:r>
    </w:p>
    <w:p>
      <w:pPr>
        <w:spacing w:before="0" w:after="120"/>
        <w:jc w:val="both"/>
      </w:pPr>
      <w:r>
        <w:rPr>
          <w:rFonts w:ascii="Times New Roman" w:hAnsi="Times New Roman"/>
          <w:b w:val="0"/>
          <w:i w:val="0"/>
          <w:sz w:val="24"/>
        </w:rPr>
        <w:t>Aktif bir uydu etrafında 5 farklı enkaz nesnesi ile eş zamanlı konjunksiyon yönetimi gerçeklenmiştir. Tüm konjunksiyon olayları analiz edilerek Pc'ye göre öncelik sırası belirlenmiş; en kritik nesne (DEBRIS-B, Pc=1.7×10⁻⁴) için otomatik manevra planlanmıştır.</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701"/>
          </w:tcPr>
          <w:p>
            <w:pPr>
              <w:jc w:val="center"/>
            </w:pPr>
            <w:r>
              <w:rPr>
                <w:rFonts w:ascii="Times New Roman" w:hAnsi="Times New Roman"/>
                <w:b/>
                <w:i w:val="0"/>
                <w:sz w:val="22"/>
              </w:rPr>
              <w:t>Enkaz</w:t>
            </w:r>
          </w:p>
        </w:tc>
        <w:tc>
          <w:tcPr>
            <w:tcW w:type="dxa" w:w="1701"/>
          </w:tcPr>
          <w:p>
            <w:pPr>
              <w:jc w:val="center"/>
            </w:pPr>
            <w:r>
              <w:rPr>
                <w:rFonts w:ascii="Times New Roman" w:hAnsi="Times New Roman"/>
                <w:b/>
                <w:i w:val="0"/>
                <w:sz w:val="22"/>
              </w:rPr>
              <w:t>TCA (saat)</w:t>
            </w:r>
          </w:p>
        </w:tc>
        <w:tc>
          <w:tcPr>
            <w:tcW w:type="dxa" w:w="1701"/>
          </w:tcPr>
          <w:p>
            <w:pPr>
              <w:jc w:val="center"/>
            </w:pPr>
            <w:r>
              <w:rPr>
                <w:rFonts w:ascii="Times New Roman" w:hAnsi="Times New Roman"/>
                <w:b/>
                <w:i w:val="0"/>
                <w:sz w:val="22"/>
              </w:rPr>
              <w:t>Miss (m)</w:t>
            </w:r>
          </w:p>
        </w:tc>
        <w:tc>
          <w:tcPr>
            <w:tcW w:type="dxa" w:w="2268"/>
          </w:tcPr>
          <w:p>
            <w:pPr>
              <w:jc w:val="center"/>
            </w:pPr>
            <w:r>
              <w:rPr>
                <w:rFonts w:ascii="Times New Roman" w:hAnsi="Times New Roman"/>
                <w:b/>
                <w:i w:val="0"/>
                <w:sz w:val="22"/>
              </w:rPr>
              <w:t>Pc</w:t>
            </w:r>
          </w:p>
        </w:tc>
        <w:tc>
          <w:tcPr>
            <w:tcW w:type="dxa" w:w="1701"/>
          </w:tcPr>
          <w:p>
            <w:pPr>
              <w:jc w:val="center"/>
            </w:pPr>
            <w:r>
              <w:rPr>
                <w:rFonts w:ascii="Times New Roman" w:hAnsi="Times New Roman"/>
                <w:b/>
                <w:i w:val="0"/>
                <w:sz w:val="22"/>
              </w:rPr>
              <w:t>Risk</w:t>
            </w:r>
          </w:p>
        </w:tc>
      </w:tr>
      <w:tr>
        <w:tc>
          <w:tcPr>
            <w:tcW w:type="dxa" w:w="1701"/>
          </w:tcPr>
          <w:p>
            <w:r>
              <w:rPr>
                <w:rFonts w:ascii="Times New Roman" w:hAnsi="Times New Roman"/>
                <w:b w:val="0"/>
                <w:i w:val="0"/>
                <w:sz w:val="22"/>
              </w:rPr>
              <w:t>DEBRIS-B</w:t>
            </w:r>
          </w:p>
        </w:tc>
        <w:tc>
          <w:tcPr>
            <w:tcW w:type="dxa" w:w="1701"/>
          </w:tcPr>
          <w:p>
            <w:r>
              <w:rPr>
                <w:rFonts w:ascii="Times New Roman" w:hAnsi="Times New Roman"/>
                <w:b w:val="0"/>
                <w:i w:val="0"/>
                <w:sz w:val="22"/>
              </w:rPr>
              <w:t>1.17</w:t>
            </w:r>
          </w:p>
        </w:tc>
        <w:tc>
          <w:tcPr>
            <w:tcW w:type="dxa" w:w="1701"/>
          </w:tcPr>
          <w:p>
            <w:r>
              <w:rPr>
                <w:rFonts w:ascii="Times New Roman" w:hAnsi="Times New Roman"/>
                <w:b w:val="0"/>
                <w:i w:val="0"/>
                <w:sz w:val="22"/>
              </w:rPr>
              <w:t>253</w:t>
            </w:r>
          </w:p>
        </w:tc>
        <w:tc>
          <w:tcPr>
            <w:tcW w:type="dxa" w:w="2268"/>
          </w:tcPr>
          <w:p>
            <w:r>
              <w:rPr>
                <w:rFonts w:ascii="Times New Roman" w:hAnsi="Times New Roman"/>
                <w:b w:val="0"/>
                <w:i w:val="0"/>
                <w:sz w:val="22"/>
              </w:rPr>
              <w:t>1.70×10⁻⁴</w:t>
            </w:r>
          </w:p>
        </w:tc>
        <w:tc>
          <w:tcPr>
            <w:tcW w:type="dxa" w:w="1701"/>
          </w:tcPr>
          <w:p>
            <w:r>
              <w:rPr>
                <w:rFonts w:ascii="Times New Roman" w:hAnsi="Times New Roman"/>
                <w:b w:val="0"/>
                <w:i w:val="0"/>
                <w:sz w:val="22"/>
              </w:rPr>
              <w:t>YÜKSEK ★</w:t>
            </w:r>
          </w:p>
        </w:tc>
      </w:tr>
      <w:tr>
        <w:tc>
          <w:tcPr>
            <w:tcW w:type="dxa" w:w="1701"/>
          </w:tcPr>
          <w:p>
            <w:r>
              <w:rPr>
                <w:rFonts w:ascii="Times New Roman" w:hAnsi="Times New Roman"/>
                <w:b w:val="0"/>
                <w:i w:val="0"/>
                <w:sz w:val="22"/>
              </w:rPr>
              <w:t>DEBRIS-D</w:t>
            </w:r>
          </w:p>
        </w:tc>
        <w:tc>
          <w:tcPr>
            <w:tcW w:type="dxa" w:w="1701"/>
          </w:tcPr>
          <w:p>
            <w:r>
              <w:rPr>
                <w:rFonts w:ascii="Times New Roman" w:hAnsi="Times New Roman"/>
                <w:b w:val="0"/>
                <w:i w:val="0"/>
                <w:sz w:val="22"/>
              </w:rPr>
              <w:t>1.53</w:t>
            </w:r>
          </w:p>
        </w:tc>
        <w:tc>
          <w:tcPr>
            <w:tcW w:type="dxa" w:w="1701"/>
          </w:tcPr>
          <w:p>
            <w:r>
              <w:rPr>
                <w:rFonts w:ascii="Times New Roman" w:hAnsi="Times New Roman"/>
                <w:b w:val="0"/>
                <w:i w:val="0"/>
                <w:sz w:val="22"/>
              </w:rPr>
              <w:t>688</w:t>
            </w:r>
          </w:p>
        </w:tc>
        <w:tc>
          <w:tcPr>
            <w:tcW w:type="dxa" w:w="2268"/>
          </w:tcPr>
          <w:p>
            <w:r>
              <w:rPr>
                <w:rFonts w:ascii="Times New Roman" w:hAnsi="Times New Roman"/>
                <w:b w:val="0"/>
                <w:i w:val="0"/>
                <w:sz w:val="22"/>
              </w:rPr>
              <w:t>2.77×10⁻⁸</w:t>
            </w:r>
          </w:p>
        </w:tc>
        <w:tc>
          <w:tcPr>
            <w:tcW w:type="dxa" w:w="1701"/>
          </w:tcPr>
          <w:p>
            <w:r>
              <w:rPr>
                <w:rFonts w:ascii="Times New Roman" w:hAnsi="Times New Roman"/>
                <w:b w:val="0"/>
                <w:i w:val="0"/>
                <w:sz w:val="22"/>
              </w:rPr>
              <w:t>DÜŞÜK</w:t>
            </w:r>
          </w:p>
        </w:tc>
      </w:tr>
      <w:tr>
        <w:tc>
          <w:tcPr>
            <w:tcW w:type="dxa" w:w="1701"/>
          </w:tcPr>
          <w:p>
            <w:r>
              <w:rPr>
                <w:rFonts w:ascii="Times New Roman" w:hAnsi="Times New Roman"/>
                <w:b w:val="0"/>
                <w:i w:val="0"/>
                <w:sz w:val="22"/>
              </w:rPr>
              <w:t>DEBRIS-C</w:t>
            </w:r>
          </w:p>
        </w:tc>
        <w:tc>
          <w:tcPr>
            <w:tcW w:type="dxa" w:w="1701"/>
          </w:tcPr>
          <w:p>
            <w:r>
              <w:rPr>
                <w:rFonts w:ascii="Times New Roman" w:hAnsi="Times New Roman"/>
                <w:b w:val="0"/>
                <w:i w:val="0"/>
                <w:sz w:val="22"/>
              </w:rPr>
              <w:t>1.39</w:t>
            </w:r>
          </w:p>
        </w:tc>
        <w:tc>
          <w:tcPr>
            <w:tcW w:type="dxa" w:w="1701"/>
          </w:tcPr>
          <w:p>
            <w:r>
              <w:rPr>
                <w:rFonts w:ascii="Times New Roman" w:hAnsi="Times New Roman"/>
                <w:b w:val="0"/>
                <w:i w:val="0"/>
                <w:sz w:val="22"/>
              </w:rPr>
              <w:t>2463</w:t>
            </w:r>
          </w:p>
        </w:tc>
        <w:tc>
          <w:tcPr>
            <w:tcW w:type="dxa" w:w="2268"/>
          </w:tcPr>
          <w:p>
            <w:r>
              <w:rPr>
                <w:rFonts w:ascii="Times New Roman" w:hAnsi="Times New Roman"/>
                <w:b w:val="0"/>
                <w:i w:val="0"/>
                <w:sz w:val="22"/>
              </w:rPr>
              <w:t>3.30×10⁻⁶</w:t>
            </w:r>
          </w:p>
        </w:tc>
        <w:tc>
          <w:tcPr>
            <w:tcW w:type="dxa" w:w="1701"/>
          </w:tcPr>
          <w:p>
            <w:r>
              <w:rPr>
                <w:rFonts w:ascii="Times New Roman" w:hAnsi="Times New Roman"/>
                <w:b w:val="0"/>
                <w:i w:val="0"/>
                <w:sz w:val="22"/>
              </w:rPr>
              <w:t>DÜŞÜK</w:t>
            </w:r>
          </w:p>
        </w:tc>
      </w:tr>
      <w:tr>
        <w:tc>
          <w:tcPr>
            <w:tcW w:type="dxa" w:w="1701"/>
          </w:tcPr>
          <w:p>
            <w:r>
              <w:rPr>
                <w:rFonts w:ascii="Times New Roman" w:hAnsi="Times New Roman"/>
                <w:b w:val="0"/>
                <w:i w:val="0"/>
                <w:sz w:val="22"/>
              </w:rPr>
              <w:t>DEBRIS-A</w:t>
            </w:r>
          </w:p>
        </w:tc>
        <w:tc>
          <w:tcPr>
            <w:tcW w:type="dxa" w:w="1701"/>
          </w:tcPr>
          <w:p>
            <w:r>
              <w:rPr>
                <w:rFonts w:ascii="Times New Roman" w:hAnsi="Times New Roman"/>
                <w:b w:val="0"/>
                <w:i w:val="0"/>
                <w:sz w:val="22"/>
              </w:rPr>
              <w:t>1.00</w:t>
            </w:r>
          </w:p>
        </w:tc>
        <w:tc>
          <w:tcPr>
            <w:tcW w:type="dxa" w:w="1701"/>
          </w:tcPr>
          <w:p>
            <w:r>
              <w:rPr>
                <w:rFonts w:ascii="Times New Roman" w:hAnsi="Times New Roman"/>
                <w:b w:val="0"/>
                <w:i w:val="0"/>
                <w:sz w:val="22"/>
              </w:rPr>
              <w:t>7145</w:t>
            </w:r>
          </w:p>
        </w:tc>
        <w:tc>
          <w:tcPr>
            <w:tcW w:type="dxa" w:w="2268"/>
          </w:tcPr>
          <w:p>
            <w:r>
              <w:rPr>
                <w:rFonts w:ascii="Times New Roman" w:hAnsi="Times New Roman"/>
                <w:b w:val="0"/>
                <w:i w:val="0"/>
                <w:sz w:val="22"/>
              </w:rPr>
              <w:t>2.32×10⁻⁸</w:t>
            </w:r>
          </w:p>
        </w:tc>
        <w:tc>
          <w:tcPr>
            <w:tcW w:type="dxa" w:w="1701"/>
          </w:tcPr>
          <w:p>
            <w:r>
              <w:rPr>
                <w:rFonts w:ascii="Times New Roman" w:hAnsi="Times New Roman"/>
                <w:b w:val="0"/>
                <w:i w:val="0"/>
                <w:sz w:val="22"/>
              </w:rPr>
              <w:t>DÜŞÜK</w:t>
            </w:r>
          </w:p>
        </w:tc>
      </w:tr>
      <w:tr>
        <w:tc>
          <w:tcPr>
            <w:tcW w:type="dxa" w:w="1701"/>
          </w:tcPr>
          <w:p>
            <w:r>
              <w:rPr>
                <w:rFonts w:ascii="Times New Roman" w:hAnsi="Times New Roman"/>
                <w:b w:val="0"/>
                <w:i w:val="0"/>
                <w:sz w:val="22"/>
              </w:rPr>
              <w:t>DEBRIS-E</w:t>
            </w:r>
          </w:p>
        </w:tc>
        <w:tc>
          <w:tcPr>
            <w:tcW w:type="dxa" w:w="1701"/>
          </w:tcPr>
          <w:p>
            <w:r>
              <w:rPr>
                <w:rFonts w:ascii="Times New Roman" w:hAnsi="Times New Roman"/>
                <w:b w:val="0"/>
                <w:i w:val="0"/>
                <w:sz w:val="22"/>
              </w:rPr>
              <w:t>2.00</w:t>
            </w:r>
          </w:p>
        </w:tc>
        <w:tc>
          <w:tcPr>
            <w:tcW w:type="dxa" w:w="1701"/>
          </w:tcPr>
          <w:p>
            <w:r>
              <w:rPr>
                <w:rFonts w:ascii="Times New Roman" w:hAnsi="Times New Roman"/>
                <w:b w:val="0"/>
                <w:i w:val="0"/>
                <w:sz w:val="22"/>
              </w:rPr>
              <w:t>6080</w:t>
            </w:r>
          </w:p>
        </w:tc>
        <w:tc>
          <w:tcPr>
            <w:tcW w:type="dxa" w:w="2268"/>
          </w:tcPr>
          <w:p>
            <w:r>
              <w:rPr>
                <w:rFonts w:ascii="Times New Roman" w:hAnsi="Times New Roman"/>
                <w:b w:val="0"/>
                <w:i w:val="0"/>
                <w:sz w:val="22"/>
              </w:rPr>
              <w:t>1.26×10⁻⁷</w:t>
            </w:r>
          </w:p>
        </w:tc>
        <w:tc>
          <w:tcPr>
            <w:tcW w:type="dxa" w:w="1701"/>
          </w:tcPr>
          <w:p>
            <w:r>
              <w:rPr>
                <w:rFonts w:ascii="Times New Roman" w:hAnsi="Times New Roman"/>
                <w:b w:val="0"/>
                <w:i w:val="0"/>
                <w:sz w:val="22"/>
              </w:rPr>
              <w:t>DÜŞÜK</w:t>
            </w:r>
          </w:p>
        </w:tc>
      </w:tr>
    </w:tbl>
    <w:p>
      <w:pPr>
        <w:spacing w:before="0" w:after="120"/>
        <w:jc w:val="center"/>
      </w:pPr>
      <w:r>
        <w:rPr>
          <w:rFonts w:ascii="Times New Roman" w:hAnsi="Times New Roman"/>
          <w:b w:val="0"/>
          <w:i/>
          <w:sz w:val="20"/>
        </w:rPr>
        <w:t>Tablo 6: Senaryo 4 — Çoklu enkaz konjunksiyon özeti</w:t>
      </w:r>
    </w:p>
    <w:p>
      <w:pPr>
        <w:spacing w:before="0" w:after="120"/>
        <w:jc w:val="both"/>
      </w:pPr>
    </w:p>
    <w:p>
      <w:pPr>
        <w:jc w:val="center"/>
      </w:pPr>
      <w:r>
        <w:drawing>
          <wp:inline xmlns:a="http://schemas.openxmlformats.org/drawingml/2006/main" xmlns:pic="http://schemas.openxmlformats.org/drawingml/2006/picture">
            <wp:extent cx="5040000" cy="2361285"/>
            <wp:docPr id="10" name="Picture 10"/>
            <wp:cNvGraphicFramePr>
              <a:graphicFrameLocks noChangeAspect="1"/>
            </wp:cNvGraphicFramePr>
            <a:graphic>
              <a:graphicData uri="http://schemas.openxmlformats.org/drawingml/2006/picture">
                <pic:pic>
                  <pic:nvPicPr>
                    <pic:cNvPr id="0" name="s4_conjunction_timeline.png"/>
                    <pic:cNvPicPr/>
                  </pic:nvPicPr>
                  <pic:blipFill>
                    <a:blip r:embed="rId18"/>
                    <a:stretch>
                      <a:fillRect/>
                    </a:stretch>
                  </pic:blipFill>
                  <pic:spPr>
                    <a:xfrm>
                      <a:off x="0" y="0"/>
                      <a:ext cx="5040000" cy="2361285"/>
                    </a:xfrm>
                    <a:prstGeom prst="rect"/>
                  </pic:spPr>
                </pic:pic>
              </a:graphicData>
            </a:graphic>
          </wp:inline>
        </w:drawing>
      </w:r>
    </w:p>
    <w:p>
      <w:pPr>
        <w:spacing w:after="240"/>
        <w:jc w:val="center"/>
      </w:pPr>
      <w:r>
        <w:rPr>
          <w:rFonts w:ascii="Times New Roman" w:hAnsi="Times New Roman"/>
          <w:b w:val="0"/>
          <w:i/>
          <w:sz w:val="20"/>
        </w:rPr>
        <w:t>Şekil 10: Senaryo 4 — Çoklu Enkaz Konjunksiyon Zaman Çizelgesi</w:t>
      </w:r>
      <w:r/>
    </w:p>
    <w:p>
      <w:pPr>
        <w:spacing w:before="240" w:after="120"/>
      </w:pPr>
      <w:r>
        <w:rPr>
          <w:rFonts w:ascii="Times New Roman" w:hAnsi="Times New Roman"/>
          <w:b/>
          <w:i w:val="0"/>
          <w:sz w:val="28"/>
        </w:rPr>
        <w:t>4.5 Monte Carlo Analizi</w:t>
      </w:r>
    </w:p>
    <w:p>
      <w:pPr>
        <w:spacing w:before="0" w:after="120"/>
        <w:jc w:val="both"/>
      </w:pPr>
      <w:r>
        <w:rPr>
          <w:rFonts w:ascii="Times New Roman" w:hAnsi="Times New Roman"/>
          <w:b w:val="0"/>
          <w:i w:val="0"/>
          <w:sz w:val="24"/>
        </w:rPr>
        <w:t>Senaryo 2 parametreleri için N=200 Monte Carlo replikasyonu gerçeklenmiştir. Her replikasyonda uyduların başlangıç konumu ve hızı, kovaryans matrisinden örneklenen Gaussian gürültü ile bozulmuş; böylece ölçüm belirsizliği ve başlangıç koşulu hassasiyeti modellenmiştir.</w:t>
      </w:r>
    </w:p>
    <w:tbl>
      <w:tblPr>
        <w:tblStyle w:val="TableGrid"/>
        <w:tblW w:type="auto" w:w="0"/>
        <w:tblLook w:firstColumn="1" w:firstRow="1" w:lastColumn="0" w:lastRow="0" w:noHBand="0" w:noVBand="1" w:val="04A0"/>
      </w:tblPr>
      <w:tblGrid>
        <w:gridCol w:w="4536"/>
        <w:gridCol w:w="4536"/>
      </w:tblGrid>
      <w:tr>
        <w:tc>
          <w:tcPr>
            <w:tcW w:type="dxa" w:w="3969"/>
          </w:tcPr>
          <w:p>
            <w:pPr>
              <w:jc w:val="center"/>
            </w:pPr>
            <w:r>
              <w:rPr>
                <w:rFonts w:ascii="Times New Roman" w:hAnsi="Times New Roman"/>
                <w:b/>
                <w:i w:val="0"/>
                <w:sz w:val="22"/>
              </w:rPr>
              <w:t>İstatistik</w:t>
            </w:r>
          </w:p>
        </w:tc>
        <w:tc>
          <w:tcPr>
            <w:tcW w:type="dxa" w:w="5102"/>
          </w:tcPr>
          <w:p>
            <w:pPr>
              <w:jc w:val="center"/>
            </w:pPr>
            <w:r>
              <w:rPr>
                <w:rFonts w:ascii="Times New Roman" w:hAnsi="Times New Roman"/>
                <w:b/>
                <w:i w:val="0"/>
                <w:sz w:val="22"/>
              </w:rPr>
              <w:t>Değer</w:t>
            </w:r>
          </w:p>
        </w:tc>
      </w:tr>
      <w:tr>
        <w:tc>
          <w:tcPr>
            <w:tcW w:type="dxa" w:w="3969"/>
          </w:tcPr>
          <w:p>
            <w:r>
              <w:rPr>
                <w:rFonts w:ascii="Times New Roman" w:hAnsi="Times New Roman"/>
                <w:b w:val="0"/>
                <w:i w:val="0"/>
                <w:sz w:val="22"/>
              </w:rPr>
              <w:t>Ortalama Pc</w:t>
            </w:r>
          </w:p>
        </w:tc>
        <w:tc>
          <w:tcPr>
            <w:tcW w:type="dxa" w:w="5102"/>
          </w:tcPr>
          <w:p>
            <w:r>
              <w:rPr>
                <w:rFonts w:ascii="Times New Roman" w:hAnsi="Times New Roman"/>
                <w:b w:val="0"/>
                <w:i w:val="0"/>
                <w:sz w:val="22"/>
              </w:rPr>
              <w:t>1.68×10⁻⁵</w:t>
            </w:r>
          </w:p>
        </w:tc>
      </w:tr>
      <w:tr>
        <w:tc>
          <w:tcPr>
            <w:tcW w:type="dxa" w:w="3969"/>
          </w:tcPr>
          <w:p>
            <w:r>
              <w:rPr>
                <w:rFonts w:ascii="Times New Roman" w:hAnsi="Times New Roman"/>
                <w:b w:val="0"/>
                <w:i w:val="0"/>
                <w:sz w:val="22"/>
              </w:rPr>
              <w:t>Standart Sapma</w:t>
            </w:r>
          </w:p>
        </w:tc>
        <w:tc>
          <w:tcPr>
            <w:tcW w:type="dxa" w:w="5102"/>
          </w:tcPr>
          <w:p>
            <w:r>
              <w:rPr>
                <w:rFonts w:ascii="Times New Roman" w:hAnsi="Times New Roman"/>
                <w:b w:val="0"/>
                <w:i w:val="0"/>
                <w:sz w:val="22"/>
              </w:rPr>
              <w:t>3.80×10⁻⁵</w:t>
            </w:r>
          </w:p>
        </w:tc>
      </w:tr>
      <w:tr>
        <w:tc>
          <w:tcPr>
            <w:tcW w:type="dxa" w:w="3969"/>
          </w:tcPr>
          <w:p>
            <w:r>
              <w:rPr>
                <w:rFonts w:ascii="Times New Roman" w:hAnsi="Times New Roman"/>
                <w:b w:val="0"/>
                <w:i w:val="0"/>
                <w:sz w:val="22"/>
              </w:rPr>
              <w:t>Medyan Pc</w:t>
            </w:r>
          </w:p>
        </w:tc>
        <w:tc>
          <w:tcPr>
            <w:tcW w:type="dxa" w:w="5102"/>
          </w:tcPr>
          <w:p>
            <w:r>
              <w:rPr>
                <w:rFonts w:ascii="Times New Roman" w:hAnsi="Times New Roman"/>
                <w:b w:val="0"/>
                <w:i w:val="0"/>
                <w:sz w:val="22"/>
              </w:rPr>
              <w:t>1.59×10⁻⁹</w:t>
            </w:r>
          </w:p>
        </w:tc>
      </w:tr>
      <w:tr>
        <w:tc>
          <w:tcPr>
            <w:tcW w:type="dxa" w:w="3969"/>
          </w:tcPr>
          <w:p>
            <w:r>
              <w:rPr>
                <w:rFonts w:ascii="Times New Roman" w:hAnsi="Times New Roman"/>
                <w:b w:val="0"/>
                <w:i w:val="0"/>
                <w:sz w:val="22"/>
              </w:rPr>
              <w:t>%95 Güven Aralığı</w:t>
            </w:r>
          </w:p>
        </w:tc>
        <w:tc>
          <w:tcPr>
            <w:tcW w:type="dxa" w:w="5102"/>
          </w:tcPr>
          <w:p>
            <w:r>
              <w:rPr>
                <w:rFonts w:ascii="Times New Roman" w:hAnsi="Times New Roman"/>
                <w:b w:val="0"/>
                <w:i w:val="0"/>
                <w:sz w:val="22"/>
              </w:rPr>
              <w:t>[1.18×10⁻⁵,  2.22×10⁻⁵]</w:t>
            </w:r>
          </w:p>
        </w:tc>
      </w:tr>
      <w:tr>
        <w:tc>
          <w:tcPr>
            <w:tcW w:type="dxa" w:w="3969"/>
          </w:tcPr>
          <w:p>
            <w:r>
              <w:rPr>
                <w:rFonts w:ascii="Times New Roman" w:hAnsi="Times New Roman"/>
                <w:b w:val="0"/>
                <w:i w:val="0"/>
                <w:sz w:val="22"/>
              </w:rPr>
              <w:t>P(Pc ≥ 10⁻⁴)</w:t>
            </w:r>
          </w:p>
        </w:tc>
        <w:tc>
          <w:tcPr>
            <w:tcW w:type="dxa" w:w="5102"/>
          </w:tcPr>
          <w:p>
            <w:r>
              <w:rPr>
                <w:rFonts w:ascii="Times New Roman" w:hAnsi="Times New Roman"/>
                <w:b w:val="0"/>
                <w:i w:val="0"/>
                <w:sz w:val="22"/>
              </w:rPr>
              <w:t>%6.0  (izleme önerilebilir)</w:t>
            </w:r>
          </w:p>
        </w:tc>
      </w:tr>
      <w:tr>
        <w:tc>
          <w:tcPr>
            <w:tcW w:type="dxa" w:w="3969"/>
          </w:tcPr>
          <w:p>
            <w:r>
              <w:rPr>
                <w:rFonts w:ascii="Times New Roman" w:hAnsi="Times New Roman"/>
                <w:b w:val="0"/>
                <w:i w:val="0"/>
                <w:sz w:val="22"/>
              </w:rPr>
              <w:t>Ort. Miss Distance</w:t>
            </w:r>
          </w:p>
        </w:tc>
        <w:tc>
          <w:tcPr>
            <w:tcW w:type="dxa" w:w="5102"/>
          </w:tcPr>
          <w:p>
            <w:r>
              <w:rPr>
                <w:rFonts w:ascii="Times New Roman" w:hAnsi="Times New Roman"/>
                <w:b w:val="0"/>
                <w:i w:val="0"/>
                <w:sz w:val="22"/>
              </w:rPr>
              <w:t>5933 ± 4160 m</w:t>
            </w:r>
          </w:p>
        </w:tc>
      </w:tr>
    </w:tbl>
    <w:p>
      <w:pPr>
        <w:spacing w:before="0" w:after="120"/>
        <w:jc w:val="center"/>
      </w:pPr>
      <w:r>
        <w:rPr>
          <w:rFonts w:ascii="Times New Roman" w:hAnsi="Times New Roman"/>
          <w:b w:val="0"/>
          <w:i/>
          <w:sz w:val="20"/>
        </w:rPr>
        <w:t>Tablo 7: Monte Carlo sonuç özeti (N=200, Senaryo 2)</w:t>
      </w:r>
    </w:p>
    <w:p>
      <w:pPr>
        <w:spacing w:before="0" w:after="120"/>
        <w:jc w:val="both"/>
      </w:pPr>
    </w:p>
    <w:p>
      <w:pPr>
        <w:jc w:val="center"/>
      </w:pPr>
      <w:r>
        <w:drawing>
          <wp:inline xmlns:a="http://schemas.openxmlformats.org/drawingml/2006/main" xmlns:pic="http://schemas.openxmlformats.org/drawingml/2006/picture">
            <wp:extent cx="4680000" cy="3312380"/>
            <wp:docPr id="11" name="Picture 11"/>
            <wp:cNvGraphicFramePr>
              <a:graphicFrameLocks noChangeAspect="1"/>
            </wp:cNvGraphicFramePr>
            <a:graphic>
              <a:graphicData uri="http://schemas.openxmlformats.org/drawingml/2006/picture">
                <pic:pic>
                  <pic:nvPicPr>
                    <pic:cNvPr id="0" name="mc_pc_histogram.png"/>
                    <pic:cNvPicPr/>
                  </pic:nvPicPr>
                  <pic:blipFill>
                    <a:blip r:embed="rId19"/>
                    <a:stretch>
                      <a:fillRect/>
                    </a:stretch>
                  </pic:blipFill>
                  <pic:spPr>
                    <a:xfrm>
                      <a:off x="0" y="0"/>
                      <a:ext cx="4680000" cy="3312380"/>
                    </a:xfrm>
                    <a:prstGeom prst="rect"/>
                  </pic:spPr>
                </pic:pic>
              </a:graphicData>
            </a:graphic>
          </wp:inline>
        </w:drawing>
      </w:r>
    </w:p>
    <w:p>
      <w:pPr>
        <w:spacing w:after="240"/>
        <w:jc w:val="center"/>
      </w:pPr>
      <w:r>
        <w:rPr>
          <w:rFonts w:ascii="Times New Roman" w:hAnsi="Times New Roman"/>
          <w:b w:val="0"/>
          <w:i/>
          <w:sz w:val="20"/>
        </w:rPr>
        <w:t>Şekil 11: Monte Carlo — Pc Dağılımı ve %95 Güven Aralığı (N=200)</w:t>
      </w:r>
      <w:r/>
    </w:p>
    <w:p>
      <w:pPr>
        <w:spacing w:before="240" w:after="120"/>
      </w:pPr>
      <w:r>
        <w:rPr>
          <w:rFonts w:ascii="Times New Roman" w:hAnsi="Times New Roman"/>
          <w:b/>
          <w:i w:val="0"/>
          <w:sz w:val="28"/>
        </w:rPr>
        <w:t>4.6 Tüm Senaryolar Karşılaştırması</w:t>
      </w:r>
    </w:p>
    <w:p>
      <w:pPr>
        <w:jc w:val="center"/>
      </w:pPr>
      <w:r>
        <w:drawing>
          <wp:inline xmlns:a="http://schemas.openxmlformats.org/drawingml/2006/main" xmlns:pic="http://schemas.openxmlformats.org/drawingml/2006/picture">
            <wp:extent cx="5040000" cy="2091755"/>
            <wp:docPr id="12" name="Picture 12"/>
            <wp:cNvGraphicFramePr>
              <a:graphicFrameLocks noChangeAspect="1"/>
            </wp:cNvGraphicFramePr>
            <a:graphic>
              <a:graphicData uri="http://schemas.openxmlformats.org/drawingml/2006/picture">
                <pic:pic>
                  <pic:nvPicPr>
                    <pic:cNvPr id="0" name="all_scenarios_comparison.png"/>
                    <pic:cNvPicPr/>
                  </pic:nvPicPr>
                  <pic:blipFill>
                    <a:blip r:embed="rId20"/>
                    <a:stretch>
                      <a:fillRect/>
                    </a:stretch>
                  </pic:blipFill>
                  <pic:spPr>
                    <a:xfrm>
                      <a:off x="0" y="0"/>
                      <a:ext cx="5040000" cy="2091755"/>
                    </a:xfrm>
                    <a:prstGeom prst="rect"/>
                  </pic:spPr>
                </pic:pic>
              </a:graphicData>
            </a:graphic>
          </wp:inline>
        </w:drawing>
      </w:r>
    </w:p>
    <w:p>
      <w:pPr>
        <w:spacing w:after="240"/>
        <w:jc w:val="center"/>
      </w:pPr>
      <w:r>
        <w:rPr>
          <w:rFonts w:ascii="Times New Roman" w:hAnsi="Times New Roman"/>
          <w:b w:val="0"/>
          <w:i/>
          <w:sz w:val="20"/>
        </w:rPr>
        <w:t>Şekil 12: Senaryo Karşılaştırması — Miss Distance ve Pc (tüm senaryolar)</w:t>
      </w:r>
      <w:r/>
    </w:p>
    <w:p>
      <w:r>
        <w:br w:type="page"/>
      </w:r>
    </w:p>
    <w:p>
      <w:pPr>
        <w:spacing w:before="240" w:after="120"/>
      </w:pPr>
      <w:r>
        <w:rPr>
          <w:rFonts w:ascii="Times New Roman" w:hAnsi="Times New Roman"/>
          <w:b/>
          <w:i w:val="0"/>
          <w:sz w:val="32"/>
        </w:rPr>
        <w:t>BÖLÜM 5: SONUÇ VE ÖNERİLER</w:t>
      </w:r>
    </w:p>
    <w:p>
      <w:pPr>
        <w:spacing w:before="240" w:after="120"/>
      </w:pPr>
      <w:r>
        <w:rPr>
          <w:rFonts w:ascii="Times New Roman" w:hAnsi="Times New Roman"/>
          <w:b/>
          <w:i w:val="0"/>
          <w:sz w:val="28"/>
        </w:rPr>
        <w:t>5.1 Sonuçlar</w:t>
      </w:r>
    </w:p>
    <w:p>
      <w:pPr>
        <w:spacing w:before="0" w:after="120"/>
        <w:jc w:val="both"/>
      </w:pPr>
      <w:r>
        <w:rPr>
          <w:rFonts w:ascii="Times New Roman" w:hAnsi="Times New Roman"/>
          <w:b w:val="0"/>
          <w:i w:val="0"/>
          <w:sz w:val="24"/>
        </w:rPr>
        <w:t>Bu çalışmada, LEO uydu çarpışma önleme sistemi fizik temelli bir Python simülasyonu olarak başarıyla gerçeklenmiştir. Elde edilen başlıca bulgular şöyle özetlenebilir:</w:t>
      </w:r>
    </w:p>
    <w:p>
      <w:pPr>
        <w:pStyle w:val="ListBullet"/>
        <w:spacing w:after="80"/>
        <w:ind w:left="283"/>
      </w:pPr>
      <w:r>
        <w:rPr>
          <w:rFonts w:ascii="Times New Roman" w:hAnsi="Times New Roman"/>
          <w:b w:val="0"/>
          <w:i w:val="0"/>
          <w:sz w:val="24"/>
        </w:rPr>
        <w:t>J2 pertürbasyonlu iki cisim modeli, 5 bağımsız V&amp;V testiyle doğrulanmış ve geçerlenmiştir; tüm testler başarıyla geçilmiştir.</w:t>
      </w:r>
    </w:p>
    <w:p>
      <w:pPr>
        <w:pStyle w:val="ListBullet"/>
        <w:spacing w:after="80"/>
        <w:ind w:left="283"/>
      </w:pPr>
      <w:r>
        <w:rPr>
          <w:rFonts w:ascii="Times New Roman" w:hAnsi="Times New Roman"/>
          <w:b w:val="0"/>
          <w:i w:val="0"/>
          <w:sz w:val="24"/>
        </w:rPr>
        <w:t>Chan 2D Pc hesabı, N=200 Monte Carlo analizi ile istatistiksel olarak desteklenmiş; %95 güven aralığı belirlenmiştir.</w:t>
      </w:r>
    </w:p>
    <w:p>
      <w:pPr>
        <w:pStyle w:val="ListBullet"/>
        <w:spacing w:after="80"/>
        <w:ind w:left="283"/>
      </w:pPr>
      <w:r>
        <w:rPr>
          <w:rFonts w:ascii="Times New Roman" w:hAnsi="Times New Roman"/>
          <w:b w:val="0"/>
          <w:i w:val="0"/>
          <w:sz w:val="24"/>
        </w:rPr>
        <w:t>Yüksek riskli senaryoda 0.43 m/s'lik along-track manevra, Pc'yi 20 kat düşürerek (1.92×10⁻⁴ → 1.0×10⁻⁵) güvenli seviyeye getirmiştir.</w:t>
      </w:r>
    </w:p>
    <w:p>
      <w:pPr>
        <w:pStyle w:val="ListBullet"/>
        <w:spacing w:after="80"/>
        <w:ind w:left="283"/>
      </w:pPr>
      <w:r>
        <w:rPr>
          <w:rFonts w:ascii="Times New Roman" w:hAnsi="Times New Roman"/>
          <w:b w:val="0"/>
          <w:i w:val="0"/>
          <w:sz w:val="24"/>
        </w:rPr>
        <w:t>Çoklu enkaz ortamında Pc temelli önceliklendirme algoritması başarıyla çalışmış; en kritik nesne otomatik tespit edilmiştir.</w:t>
      </w:r>
    </w:p>
    <w:p>
      <w:pPr>
        <w:pStyle w:val="ListBullet"/>
        <w:spacing w:after="80"/>
        <w:ind w:left="283"/>
      </w:pPr>
      <w:r>
        <w:rPr>
          <w:rFonts w:ascii="Times New Roman" w:hAnsi="Times New Roman"/>
          <w:b w:val="0"/>
          <w:i w:val="0"/>
          <w:sz w:val="24"/>
        </w:rPr>
        <w:t>Delta-V duyarlılık analizi, yalnızca 2 m/s'lik yakıt yakımının Pc eşiğini aşmak için yeterli olduğunu göstermiştir.</w:t>
      </w:r>
    </w:p>
    <w:p>
      <w:pPr>
        <w:spacing w:before="240" w:after="120"/>
      </w:pPr>
      <w:r>
        <w:rPr>
          <w:rFonts w:ascii="Times New Roman" w:hAnsi="Times New Roman"/>
          <w:b/>
          <w:i w:val="0"/>
          <w:sz w:val="28"/>
        </w:rPr>
        <w:t>5.2 Kısıtlar</w:t>
      </w:r>
    </w:p>
    <w:p>
      <w:pPr>
        <w:pStyle w:val="ListBullet"/>
        <w:spacing w:after="80"/>
        <w:ind w:left="283"/>
      </w:pPr>
      <w:r>
        <w:rPr>
          <w:rFonts w:ascii="Times New Roman" w:hAnsi="Times New Roman"/>
          <w:b w:val="0"/>
          <w:i w:val="0"/>
          <w:sz w:val="24"/>
        </w:rPr>
        <w:t>Anlık yakıt yakımı (impulsive) varsayımı gerçek itki sistemlerinden sapma yaratmaktadır.</w:t>
      </w:r>
    </w:p>
    <w:p>
      <w:pPr>
        <w:pStyle w:val="ListBullet"/>
        <w:spacing w:after="80"/>
        <w:ind w:left="283"/>
      </w:pPr>
      <w:r>
        <w:rPr>
          <w:rFonts w:ascii="Times New Roman" w:hAnsi="Times New Roman"/>
          <w:b w:val="0"/>
          <w:i w:val="0"/>
          <w:sz w:val="24"/>
        </w:rPr>
        <w:t>Kovaryans matrisinin sabit kabulü, uzun vadeli belirsizlik büyümesini yansıtmamaktadır.</w:t>
      </w:r>
    </w:p>
    <w:p>
      <w:pPr>
        <w:pStyle w:val="ListBullet"/>
        <w:spacing w:after="80"/>
        <w:ind w:left="283"/>
      </w:pPr>
      <w:r>
        <w:rPr>
          <w:rFonts w:ascii="Times New Roman" w:hAnsi="Times New Roman"/>
          <w:b w:val="0"/>
          <w:i w:val="0"/>
          <w:sz w:val="24"/>
        </w:rPr>
        <w:t>Hava sürtünmesi ve güneş radyasyon baskısı ihmal edilmiştir.</w:t>
      </w:r>
    </w:p>
    <w:p>
      <w:pPr>
        <w:spacing w:before="240" w:after="120"/>
      </w:pPr>
      <w:r>
        <w:rPr>
          <w:rFonts w:ascii="Times New Roman" w:hAnsi="Times New Roman"/>
          <w:b/>
          <w:i w:val="0"/>
          <w:sz w:val="28"/>
        </w:rPr>
        <w:t>5.3 Gelecek Çalışmalar için Öneriler</w:t>
      </w:r>
    </w:p>
    <w:p>
      <w:pPr>
        <w:pStyle w:val="ListBullet"/>
        <w:spacing w:after="80"/>
        <w:ind w:left="283"/>
      </w:pPr>
      <w:r>
        <w:rPr>
          <w:rFonts w:ascii="Times New Roman" w:hAnsi="Times New Roman"/>
          <w:b w:val="0"/>
          <w:i w:val="0"/>
          <w:sz w:val="24"/>
        </w:rPr>
        <w:t>SGP4 propagatör entegrasyonu ile NORAD TLE verisinden gerçek uydu yörüngelerinin yüklenmesi</w:t>
      </w:r>
    </w:p>
    <w:p>
      <w:pPr>
        <w:pStyle w:val="ListBullet"/>
        <w:spacing w:after="80"/>
        <w:ind w:left="283"/>
      </w:pPr>
      <w:r>
        <w:rPr>
          <w:rFonts w:ascii="Times New Roman" w:hAnsi="Times New Roman"/>
          <w:b w:val="0"/>
          <w:i w:val="0"/>
          <w:sz w:val="24"/>
        </w:rPr>
        <w:t>Sürekli düşük itki (low-thrust) manevra modeli ile elektrikli tahrik sistemleri için optimizasyon</w:t>
      </w:r>
    </w:p>
    <w:p>
      <w:pPr>
        <w:pStyle w:val="ListBullet"/>
        <w:spacing w:after="80"/>
        <w:ind w:left="283"/>
      </w:pPr>
      <w:r>
        <w:rPr>
          <w:rFonts w:ascii="Times New Roman" w:hAnsi="Times New Roman"/>
          <w:b w:val="0"/>
          <w:i w:val="0"/>
          <w:sz w:val="24"/>
        </w:rPr>
        <w:t>Çok hedefli optimizasyon: yakıt tüketimi ile risk azaltımı trade-off analizi (Pareto cephesi)</w:t>
      </w:r>
    </w:p>
    <w:p>
      <w:pPr>
        <w:pStyle w:val="ListBullet"/>
        <w:spacing w:after="80"/>
        <w:ind w:left="283"/>
      </w:pPr>
      <w:r>
        <w:rPr>
          <w:rFonts w:ascii="Times New Roman" w:hAnsi="Times New Roman"/>
          <w:b w:val="0"/>
          <w:i w:val="0"/>
          <w:sz w:val="24"/>
        </w:rPr>
        <w:t>Belirsizlik büyüme modeli (covariance propagation) ile dinamik Pc güncellemesi</w:t>
      </w:r>
    </w:p>
    <w:p>
      <w:r>
        <w:br w:type="page"/>
      </w:r>
    </w:p>
    <w:p>
      <w:pPr>
        <w:spacing w:before="240" w:after="120"/>
      </w:pPr>
      <w:r>
        <w:rPr>
          <w:rFonts w:ascii="Times New Roman" w:hAnsi="Times New Roman"/>
          <w:b/>
          <w:i w:val="0"/>
          <w:sz w:val="32"/>
        </w:rPr>
        <w:t>EKLER (APPENDIX)</w:t>
      </w:r>
    </w:p>
    <w:p>
      <w:pPr>
        <w:spacing w:before="240" w:after="120"/>
      </w:pPr>
      <w:r>
        <w:rPr>
          <w:rFonts w:ascii="Times New Roman" w:hAnsi="Times New Roman"/>
          <w:b/>
          <w:i w:val="0"/>
          <w:sz w:val="28"/>
        </w:rPr>
        <w:t>EK-1: Kaynak Kodlar</w:t>
      </w:r>
    </w:p>
    <w:p>
      <w:pPr>
        <w:spacing w:before="0" w:after="120"/>
        <w:jc w:val="both"/>
      </w:pPr>
      <w:r>
        <w:rPr>
          <w:rFonts w:ascii="Times New Roman" w:hAnsi="Times New Roman"/>
          <w:b w:val="0"/>
          <w:i w:val="0"/>
          <w:sz w:val="24"/>
        </w:rPr>
        <w:t>Projenin tüm kaynak kodları GitHub deposunda açık kaynak olarak yayımlanmıştır. Kod tabanı 10 Python modülünden oluşmakta ve toplam ~1500 satır içermektedir. Modüller arası bağımlılık yapısı aşağıdaki gibidir:</w:t>
      </w:r>
    </w:p>
    <w:p>
      <w:pPr>
        <w:pStyle w:val="ListBullet"/>
        <w:spacing w:after="80"/>
        <w:ind w:left="283"/>
      </w:pPr>
      <w:r>
        <w:rPr>
          <w:rFonts w:ascii="Times New Roman" w:hAnsi="Times New Roman"/>
          <w:b w:val="0"/>
          <w:i w:val="0"/>
          <w:sz w:val="24"/>
        </w:rPr>
        <w:t>main.py → scenarios.py → satellite.py → orbital_mechanics.py</w:t>
      </w:r>
    </w:p>
    <w:p>
      <w:pPr>
        <w:pStyle w:val="ListBullet"/>
        <w:spacing w:after="80"/>
        <w:ind w:left="283"/>
      </w:pPr>
      <w:r>
        <w:rPr>
          <w:rFonts w:ascii="Times New Roman" w:hAnsi="Times New Roman"/>
          <w:b w:val="0"/>
          <w:i w:val="0"/>
          <w:sz w:val="24"/>
        </w:rPr>
        <w:t>scenarios.py → collision_detection.py → avoidance.py</w:t>
      </w:r>
    </w:p>
    <w:p>
      <w:pPr>
        <w:pStyle w:val="ListBullet"/>
        <w:spacing w:after="80"/>
        <w:ind w:left="283"/>
      </w:pPr>
      <w:r>
        <w:rPr>
          <w:rFonts w:ascii="Times New Roman" w:hAnsi="Times New Roman"/>
          <w:b w:val="0"/>
          <w:i w:val="0"/>
          <w:sz w:val="24"/>
        </w:rPr>
        <w:t>verification.py, monte_carlo.py → bağımsız test modülleri</w:t>
      </w:r>
    </w:p>
    <w:p>
      <w:pPr>
        <w:pStyle w:val="ListBullet"/>
        <w:spacing w:after="80"/>
        <w:ind w:left="283"/>
      </w:pPr>
      <w:r>
        <w:rPr>
          <w:rFonts w:ascii="Times New Roman" w:hAnsi="Times New Roman"/>
          <w:b w:val="0"/>
          <w:i w:val="0"/>
          <w:sz w:val="24"/>
        </w:rPr>
        <w:t>gui.py → main.py (subprocess aracılığıyla)</w:t>
      </w:r>
    </w:p>
    <w:p>
      <w:pPr>
        <w:spacing w:before="0" w:after="120"/>
        <w:jc w:val="both"/>
      </w:pPr>
      <w:r>
        <w:rPr>
          <w:rFonts w:ascii="Times New Roman" w:hAnsi="Times New Roman"/>
          <w:b w:val="0"/>
          <w:i w:val="0"/>
          <w:sz w:val="24"/>
        </w:rPr>
        <w:t>Kaynak kodların tamamı raporun sonunda ek olarak sunulmuş olup PyCharm IDE üzerinde geliştirilmiş, yorum satırlarıyla belgelenmiştir.</w:t>
      </w:r>
    </w:p>
    <w:p>
      <w:pPr>
        <w:spacing w:before="240" w:after="120"/>
      </w:pPr>
      <w:r>
        <w:rPr>
          <w:rFonts w:ascii="Times New Roman" w:hAnsi="Times New Roman"/>
          <w:b/>
          <w:i w:val="0"/>
          <w:sz w:val="28"/>
        </w:rPr>
        <w:t>EK-2: Ekran Görüntüleri</w:t>
      </w:r>
    </w:p>
    <w:p>
      <w:pPr>
        <w:spacing w:before="0" w:after="120"/>
        <w:jc w:val="both"/>
      </w:pPr>
      <w:r>
        <w:rPr>
          <w:rFonts w:ascii="Times New Roman" w:hAnsi="Times New Roman"/>
          <w:b w:val="0"/>
          <w:i w:val="0"/>
          <w:sz w:val="24"/>
        </w:rPr>
        <w:t>Aşağıda simülasyonun grafik kullanıcı arayüzü (GUI) ve terminal çıktısından ekran görüntüleri sunulmaktadır.</w:t>
      </w:r>
    </w:p>
    <w:p>
      <w:pPr>
        <w:spacing w:before="0" w:after="120"/>
        <w:jc w:val="center"/>
      </w:pPr>
      <w:r>
        <w:rPr>
          <w:rFonts w:ascii="Times New Roman" w:hAnsi="Times New Roman"/>
          <w:b w:val="0"/>
          <w:i/>
          <w:sz w:val="24"/>
        </w:rPr>
        <w:t>[Ekran Görüntüsü 1: GUI — Senaryo seçim ekranı]</w:t>
      </w:r>
    </w:p>
    <w:p>
      <w:pPr>
        <w:spacing w:before="0" w:after="120"/>
        <w:jc w:val="center"/>
      </w:pPr>
      <w:r>
        <w:rPr>
          <w:rFonts w:ascii="Times New Roman" w:hAnsi="Times New Roman"/>
          <w:b w:val="0"/>
          <w:i/>
          <w:sz w:val="24"/>
        </w:rPr>
        <w:t>[Ekran Görüntüsü 2: Terminal — V&amp;V test çıktıları]</w:t>
      </w:r>
    </w:p>
    <w:p>
      <w:pPr>
        <w:spacing w:before="0" w:after="120"/>
        <w:jc w:val="center"/>
      </w:pPr>
      <w:r>
        <w:rPr>
          <w:rFonts w:ascii="Times New Roman" w:hAnsi="Times New Roman"/>
          <w:b w:val="0"/>
          <w:i/>
          <w:sz w:val="24"/>
        </w:rPr>
        <w:t>[Ekran Görüntüsü 3: Terminal — Monte Carlo özet tablosu]</w:t>
      </w:r>
    </w:p>
    <w:p>
      <w:r>
        <w:br w:type="page"/>
      </w:r>
    </w:p>
    <w:p>
      <w:pPr>
        <w:spacing w:before="240" w:after="120"/>
      </w:pPr>
      <w:r>
        <w:rPr>
          <w:rFonts w:ascii="Times New Roman" w:hAnsi="Times New Roman"/>
          <w:b/>
          <w:i w:val="0"/>
          <w:sz w:val="32"/>
        </w:rPr>
        <w:t>KAYNAKLAR</w:t>
      </w:r>
    </w:p>
    <w:p>
      <w:pPr>
        <w:spacing w:after="80"/>
        <w:ind w:left="283" w:hanging="283"/>
      </w:pPr>
      <w:r>
        <w:rPr>
          <w:rFonts w:ascii="Times New Roman" w:hAnsi="Times New Roman"/>
          <w:b w:val="0"/>
          <w:i w:val="0"/>
          <w:sz w:val="22"/>
        </w:rPr>
        <w:t>[1] Chan, F. K. (1997). Spacecraft Collision Probability. The Aerospace Press.</w:t>
      </w:r>
    </w:p>
    <w:p>
      <w:pPr>
        <w:spacing w:after="80"/>
        <w:ind w:left="283" w:hanging="283"/>
      </w:pPr>
      <w:r>
        <w:rPr>
          <w:rFonts w:ascii="Times New Roman" w:hAnsi="Times New Roman"/>
          <w:b w:val="0"/>
          <w:i w:val="0"/>
          <w:sz w:val="22"/>
        </w:rPr>
        <w:t>[2] Vallado, D. A. (2013). Fundamentals of Astrodynamics and Applications (4. baskı). Microcosm Press.</w:t>
      </w:r>
    </w:p>
    <w:p>
      <w:pPr>
        <w:spacing w:after="80"/>
        <w:ind w:left="283" w:hanging="283"/>
      </w:pPr>
      <w:r>
        <w:rPr>
          <w:rFonts w:ascii="Times New Roman" w:hAnsi="Times New Roman"/>
          <w:b w:val="0"/>
          <w:i w:val="0"/>
          <w:sz w:val="22"/>
        </w:rPr>
        <w:t>[3] Alfano, S. (2005). A numerical implementation of spherical object collision probability. Journal of the Astronautical Sciences, 53(1), 103–109.</w:t>
      </w:r>
    </w:p>
    <w:p>
      <w:pPr>
        <w:spacing w:after="80"/>
        <w:ind w:left="283" w:hanging="283"/>
      </w:pPr>
      <w:r>
        <w:rPr>
          <w:rFonts w:ascii="Times New Roman" w:hAnsi="Times New Roman"/>
          <w:b w:val="0"/>
          <w:i w:val="0"/>
          <w:sz w:val="22"/>
        </w:rPr>
        <w:t>[4] NASA Orbital Debris Program Office. (2023). Orbital Debris Quarterly News. https://orbitaldebris.jsc.nasa.gov/</w:t>
      </w:r>
    </w:p>
    <w:p>
      <w:pPr>
        <w:spacing w:after="80"/>
        <w:ind w:left="283" w:hanging="283"/>
      </w:pPr>
      <w:r>
        <w:rPr>
          <w:rFonts w:ascii="Times New Roman" w:hAnsi="Times New Roman"/>
          <w:b w:val="0"/>
          <w:i w:val="0"/>
          <w:sz w:val="22"/>
        </w:rPr>
        <w:t>[5] SciPy Developers. (2024). scipy.integrate.solve_ivp. https://docs.scipy.org/doc/scipy/</w:t>
      </w:r>
    </w:p>
    <w:p>
      <w:pPr>
        <w:spacing w:after="80"/>
        <w:ind w:left="283" w:hanging="283"/>
      </w:pPr>
      <w:r>
        <w:rPr>
          <w:rFonts w:ascii="Times New Roman" w:hAnsi="Times New Roman"/>
          <w:b w:val="0"/>
          <w:i w:val="0"/>
          <w:sz w:val="22"/>
        </w:rPr>
        <w:t>[6] European Space Agency. (2022). Space Debris by the Numbers. https://www.esa.int/Space_Safety/Space_Debris</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