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FE71D" w14:textId="77777777" w:rsidR="008933B9" w:rsidRPr="003B7625" w:rsidRDefault="008933B9" w:rsidP="008933B9">
      <w:pPr>
        <w:pStyle w:val="Els-Author"/>
        <w:rPr>
          <w:rFonts w:eastAsia="Times New Roman"/>
          <w:b/>
          <w:bCs/>
          <w:sz w:val="20"/>
          <w:szCs w:val="20"/>
          <w14:ligatures w14:val="standard"/>
        </w:rPr>
      </w:pPr>
      <w:r>
        <w:rPr>
          <w:rFonts w:eastAsia="Times New Roman"/>
          <w:b/>
          <w:bCs/>
          <w:sz w:val="20"/>
          <w:szCs w:val="20"/>
          <w14:ligatures w14:val="standard"/>
        </w:rPr>
        <w:t>The impact of aging specific differentially expressed genes on</w:t>
      </w:r>
      <w:r w:rsidRPr="003B7625">
        <w:rPr>
          <w:b/>
          <w:bCs/>
          <w:sz w:val="20"/>
          <w:szCs w:val="20"/>
        </w:rPr>
        <w:t xml:space="preserve"> immuno-pathological regulations</w:t>
      </w:r>
      <w:r>
        <w:rPr>
          <w:rFonts w:eastAsia="Times New Roman"/>
          <w:b/>
          <w:bCs/>
          <w:sz w:val="20"/>
          <w:szCs w:val="20"/>
          <w14:ligatures w14:val="standard"/>
        </w:rPr>
        <w:t xml:space="preserve"> </w:t>
      </w:r>
    </w:p>
    <w:p w14:paraId="17223761" w14:textId="0B9F1689" w:rsidR="008933B9" w:rsidRPr="00E82105" w:rsidRDefault="178F9352" w:rsidP="178F9352">
      <w:pPr>
        <w:pStyle w:val="Els-Author"/>
        <w:spacing w:after="120" w:line="240" w:lineRule="auto"/>
        <w:rPr>
          <w:sz w:val="20"/>
          <w:szCs w:val="20"/>
          <w:lang w:eastAsia="zh-CN"/>
        </w:rPr>
      </w:pPr>
      <w:r w:rsidRPr="178F9352">
        <w:rPr>
          <w:sz w:val="20"/>
          <w:szCs w:val="20"/>
        </w:rPr>
        <w:t>Emine Güven</w:t>
      </w:r>
      <w:r w:rsidRPr="178F9352">
        <w:rPr>
          <w:sz w:val="20"/>
          <w:szCs w:val="20"/>
          <w:vertAlign w:val="superscript"/>
        </w:rPr>
        <w:t>a</w:t>
      </w:r>
      <w:r w:rsidRPr="178F9352">
        <w:rPr>
          <w:sz w:val="20"/>
          <w:szCs w:val="20"/>
        </w:rPr>
        <w:t>*, Sevinc Akcay</w:t>
      </w:r>
      <w:r w:rsidRPr="178F9352">
        <w:rPr>
          <w:sz w:val="20"/>
          <w:szCs w:val="20"/>
          <w:vertAlign w:val="superscript"/>
        </w:rPr>
        <w:t>b</w:t>
      </w:r>
    </w:p>
    <w:p w14:paraId="16B330AC" w14:textId="77777777" w:rsidR="008933B9" w:rsidRPr="00E82105" w:rsidRDefault="178F9352" w:rsidP="178F9352">
      <w:pPr>
        <w:pStyle w:val="NoSpacing"/>
        <w:spacing w:line="276" w:lineRule="auto"/>
        <w:jc w:val="center"/>
        <w:rPr>
          <w:rFonts w:ascii="Times New Roman" w:hAnsi="Times New Roman" w:cs="Times New Roman"/>
          <w:sz w:val="20"/>
          <w:szCs w:val="20"/>
        </w:rPr>
      </w:pPr>
      <w:proofErr w:type="spellStart"/>
      <w:r w:rsidRPr="178F9352">
        <w:rPr>
          <w:rFonts w:ascii="Times New Roman" w:hAnsi="Times New Roman" w:cs="Times New Roman"/>
          <w:sz w:val="20"/>
          <w:szCs w:val="20"/>
          <w:vertAlign w:val="superscript"/>
        </w:rPr>
        <w:t>a</w:t>
      </w:r>
      <w:r w:rsidRPr="178F9352">
        <w:rPr>
          <w:rFonts w:ascii="Times New Roman" w:hAnsi="Times New Roman" w:cs="Times New Roman"/>
          <w:sz w:val="20"/>
          <w:szCs w:val="20"/>
        </w:rPr>
        <w:t>Düzce</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Üniversitesi</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Biyomedikal</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Mühendisliği</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Mühendislik</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Fakültesi</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Düzce</w:t>
      </w:r>
      <w:proofErr w:type="spellEnd"/>
      <w:r w:rsidRPr="178F9352">
        <w:rPr>
          <w:rFonts w:ascii="Times New Roman" w:hAnsi="Times New Roman" w:cs="Times New Roman"/>
          <w:sz w:val="20"/>
          <w:szCs w:val="20"/>
        </w:rPr>
        <w:t>/</w:t>
      </w:r>
      <w:proofErr w:type="spellStart"/>
      <w:r w:rsidRPr="178F9352">
        <w:rPr>
          <w:rFonts w:ascii="Times New Roman" w:hAnsi="Times New Roman" w:cs="Times New Roman"/>
          <w:sz w:val="20"/>
          <w:szCs w:val="20"/>
        </w:rPr>
        <w:t>Türkiye</w:t>
      </w:r>
      <w:proofErr w:type="spellEnd"/>
      <w:r w:rsidRPr="178F9352">
        <w:rPr>
          <w:rFonts w:ascii="Times New Roman" w:hAnsi="Times New Roman" w:cs="Times New Roman"/>
          <w:sz w:val="20"/>
          <w:szCs w:val="20"/>
        </w:rPr>
        <w:t>.</w:t>
      </w:r>
    </w:p>
    <w:p w14:paraId="77697075" w14:textId="62D5CB0F" w:rsidR="008933B9" w:rsidRPr="00E82105" w:rsidRDefault="178F9352" w:rsidP="178F9352">
      <w:pPr>
        <w:spacing w:line="276" w:lineRule="auto"/>
        <w:jc w:val="center"/>
        <w:rPr>
          <w:sz w:val="20"/>
          <w:szCs w:val="20"/>
        </w:rPr>
      </w:pPr>
      <w:proofErr w:type="spellStart"/>
      <w:r w:rsidRPr="178F9352">
        <w:rPr>
          <w:sz w:val="20"/>
          <w:szCs w:val="20"/>
          <w:vertAlign w:val="superscript"/>
        </w:rPr>
        <w:t>b</w:t>
      </w:r>
      <w:r w:rsidRPr="178F9352">
        <w:rPr>
          <w:sz w:val="20"/>
          <w:szCs w:val="20"/>
        </w:rPr>
        <w:t>Ahi</w:t>
      </w:r>
      <w:proofErr w:type="spellEnd"/>
      <w:r w:rsidRPr="178F9352">
        <w:rPr>
          <w:sz w:val="20"/>
          <w:szCs w:val="20"/>
        </w:rPr>
        <w:t xml:space="preserve"> </w:t>
      </w:r>
      <w:proofErr w:type="spellStart"/>
      <w:r w:rsidRPr="178F9352">
        <w:rPr>
          <w:sz w:val="20"/>
          <w:szCs w:val="20"/>
        </w:rPr>
        <w:t>Evran</w:t>
      </w:r>
      <w:proofErr w:type="spellEnd"/>
      <w:r w:rsidRPr="178F9352">
        <w:rPr>
          <w:sz w:val="20"/>
          <w:szCs w:val="20"/>
        </w:rPr>
        <w:t xml:space="preserve"> University, Department of Molecular Biology and Genetics, </w:t>
      </w:r>
      <w:proofErr w:type="spellStart"/>
      <w:r w:rsidRPr="178F9352">
        <w:rPr>
          <w:sz w:val="20"/>
          <w:szCs w:val="20"/>
        </w:rPr>
        <w:t>Kirsehir</w:t>
      </w:r>
      <w:proofErr w:type="spellEnd"/>
      <w:r w:rsidRPr="178F9352">
        <w:rPr>
          <w:sz w:val="20"/>
          <w:szCs w:val="20"/>
        </w:rPr>
        <w:t>/ Turkey</w:t>
      </w:r>
    </w:p>
    <w:p w14:paraId="735F054E" w14:textId="2E420BD4" w:rsidR="008933B9" w:rsidRPr="00E82105" w:rsidRDefault="178F9352" w:rsidP="178F9352">
      <w:pPr>
        <w:pStyle w:val="NoSpacing"/>
        <w:spacing w:line="276" w:lineRule="auto"/>
        <w:jc w:val="center"/>
        <w:rPr>
          <w:rFonts w:ascii="Times New Roman" w:hAnsi="Times New Roman" w:cs="Times New Roman"/>
          <w:b/>
          <w:bCs/>
          <w:color w:val="000000" w:themeColor="text1"/>
          <w:sz w:val="20"/>
          <w:szCs w:val="20"/>
        </w:rPr>
      </w:pPr>
      <w:r w:rsidRPr="178F9352">
        <w:rPr>
          <w:rFonts w:ascii="Times New Roman" w:hAnsi="Times New Roman" w:cs="Times New Roman"/>
          <w:b/>
          <w:bCs/>
          <w:color w:val="000000" w:themeColor="text1"/>
          <w:sz w:val="20"/>
          <w:szCs w:val="20"/>
          <w:vertAlign w:val="superscript"/>
        </w:rPr>
        <w:t>*</w:t>
      </w:r>
      <w:proofErr w:type="spellStart"/>
      <w:r w:rsidRPr="178F9352">
        <w:rPr>
          <w:rFonts w:ascii="Times New Roman" w:hAnsi="Times New Roman" w:cs="Times New Roman"/>
          <w:b/>
          <w:bCs/>
          <w:color w:val="000000" w:themeColor="text1"/>
          <w:sz w:val="20"/>
          <w:szCs w:val="20"/>
        </w:rPr>
        <w:t>Sorumlu</w:t>
      </w:r>
      <w:proofErr w:type="spellEnd"/>
      <w:r w:rsidRPr="178F9352">
        <w:rPr>
          <w:rFonts w:ascii="Times New Roman" w:hAnsi="Times New Roman" w:cs="Times New Roman"/>
          <w:b/>
          <w:bCs/>
          <w:color w:val="000000" w:themeColor="text1"/>
          <w:sz w:val="20"/>
          <w:szCs w:val="20"/>
        </w:rPr>
        <w:t xml:space="preserve"> </w:t>
      </w:r>
      <w:proofErr w:type="spellStart"/>
      <w:r w:rsidRPr="178F9352">
        <w:rPr>
          <w:rFonts w:ascii="Times New Roman" w:hAnsi="Times New Roman" w:cs="Times New Roman"/>
          <w:b/>
          <w:bCs/>
          <w:color w:val="000000" w:themeColor="text1"/>
          <w:sz w:val="20"/>
          <w:szCs w:val="20"/>
        </w:rPr>
        <w:t>Yazar</w:t>
      </w:r>
      <w:proofErr w:type="spellEnd"/>
      <w:r w:rsidRPr="178F9352">
        <w:rPr>
          <w:rFonts w:ascii="Times New Roman" w:hAnsi="Times New Roman" w:cs="Times New Roman"/>
          <w:b/>
          <w:bCs/>
          <w:color w:val="000000" w:themeColor="text1"/>
          <w:sz w:val="20"/>
          <w:szCs w:val="20"/>
        </w:rPr>
        <w:t xml:space="preserve">:  </w:t>
      </w:r>
      <w:hyperlink r:id="rId7">
        <w:r w:rsidRPr="178F9352">
          <w:rPr>
            <w:rStyle w:val="Hyperlink"/>
            <w:rFonts w:ascii="Times New Roman" w:hAnsi="Times New Roman" w:cs="Times New Roman"/>
            <w:b/>
            <w:bCs/>
            <w:sz w:val="20"/>
            <w:szCs w:val="20"/>
          </w:rPr>
          <w:t>emine.guven@duzce.edu.tr</w:t>
        </w:r>
      </w:hyperlink>
    </w:p>
    <w:p w14:paraId="1F5B84D6" w14:textId="77777777" w:rsidR="008933B9" w:rsidRPr="00E82105" w:rsidRDefault="008933B9" w:rsidP="008933B9">
      <w:pPr>
        <w:pStyle w:val="AbsHead"/>
        <w:pBdr>
          <w:bottom w:val="single" w:sz="4" w:space="1" w:color="auto"/>
        </w:pBdr>
        <w:rPr>
          <w:b w:val="0"/>
          <w:i/>
          <w:sz w:val="20"/>
          <w:szCs w:val="20"/>
        </w:rPr>
      </w:pPr>
      <w:r w:rsidRPr="00E82105">
        <w:rPr>
          <w:sz w:val="20"/>
          <w:szCs w:val="20"/>
        </w:rPr>
        <w:t>ABSTRACT</w:t>
      </w:r>
    </w:p>
    <w:p w14:paraId="1503D731" w14:textId="2331352D" w:rsidR="008933B9" w:rsidRPr="008374FF" w:rsidRDefault="008933B9" w:rsidP="24635D36">
      <w:pPr>
        <w:jc w:val="both"/>
        <w:rPr>
          <w:sz w:val="22"/>
          <w:szCs w:val="22"/>
        </w:rPr>
      </w:pPr>
      <w:r w:rsidRPr="008374FF">
        <w:rPr>
          <w:sz w:val="22"/>
          <w:szCs w:val="22"/>
        </w:rPr>
        <w:t>Aging is defined as an increase in failure (mortality) rate that is irreversible and in biological mechanisms</w:t>
      </w:r>
      <w:r w:rsidRPr="008374FF">
        <w:rPr>
          <w:color w:val="000000"/>
          <w:sz w:val="22"/>
          <w:szCs w:val="22"/>
          <w:shd w:val="clear" w:color="auto" w:fill="FFFFFF"/>
        </w:rPr>
        <w:t xml:space="preserve"> leading to progressive functional decline and increased risk for disease and death</w:t>
      </w:r>
      <w:r w:rsidRPr="008374FF">
        <w:rPr>
          <w:sz w:val="22"/>
          <w:szCs w:val="22"/>
          <w:lang w:val="tr-TR"/>
        </w:rPr>
        <w:t xml:space="preserve">. </w:t>
      </w:r>
      <w:proofErr w:type="spellStart"/>
      <w:r w:rsidRPr="008374FF">
        <w:rPr>
          <w:sz w:val="22"/>
          <w:szCs w:val="22"/>
          <w:lang w:val="tr-TR"/>
        </w:rPr>
        <w:t>We</w:t>
      </w:r>
      <w:proofErr w:type="spellEnd"/>
      <w:r w:rsidRPr="008374FF">
        <w:rPr>
          <w:sz w:val="22"/>
          <w:szCs w:val="22"/>
          <w:lang w:val="tr-TR"/>
        </w:rPr>
        <w:t xml:space="preserve"> </w:t>
      </w:r>
      <w:proofErr w:type="spellStart"/>
      <w:r w:rsidRPr="008374FF">
        <w:rPr>
          <w:sz w:val="22"/>
          <w:szCs w:val="22"/>
          <w:lang w:val="tr-TR"/>
        </w:rPr>
        <w:t>characterized</w:t>
      </w:r>
      <w:proofErr w:type="spellEnd"/>
      <w:r w:rsidRPr="008374FF">
        <w:rPr>
          <w:sz w:val="22"/>
          <w:szCs w:val="22"/>
          <w:lang w:val="tr-TR"/>
        </w:rPr>
        <w:t xml:space="preserve"> </w:t>
      </w:r>
      <w:proofErr w:type="spellStart"/>
      <w:r w:rsidRPr="008374FF">
        <w:rPr>
          <w:sz w:val="22"/>
          <w:szCs w:val="22"/>
          <w:lang w:val="tr-TR"/>
        </w:rPr>
        <w:t>aging</w:t>
      </w:r>
      <w:proofErr w:type="spellEnd"/>
      <w:r w:rsidRPr="008374FF">
        <w:rPr>
          <w:sz w:val="22"/>
          <w:szCs w:val="22"/>
          <w:lang w:val="tr-TR"/>
        </w:rPr>
        <w:t xml:space="preserve"> at </w:t>
      </w:r>
      <w:proofErr w:type="spellStart"/>
      <w:r w:rsidRPr="008374FF">
        <w:rPr>
          <w:sz w:val="22"/>
          <w:szCs w:val="22"/>
          <w:lang w:val="tr-TR"/>
        </w:rPr>
        <w:t>the</w:t>
      </w:r>
      <w:proofErr w:type="spellEnd"/>
      <w:r w:rsidRPr="008374FF">
        <w:rPr>
          <w:sz w:val="22"/>
          <w:szCs w:val="22"/>
          <w:lang w:val="tr-TR"/>
        </w:rPr>
        <w:t xml:space="preserve"> gene </w:t>
      </w:r>
      <w:proofErr w:type="spellStart"/>
      <w:r w:rsidRPr="008374FF">
        <w:rPr>
          <w:sz w:val="22"/>
          <w:szCs w:val="22"/>
          <w:lang w:val="tr-TR"/>
        </w:rPr>
        <w:t>expression</w:t>
      </w:r>
      <w:proofErr w:type="spellEnd"/>
      <w:r w:rsidRPr="008374FF">
        <w:rPr>
          <w:sz w:val="22"/>
          <w:szCs w:val="22"/>
          <w:lang w:val="tr-TR"/>
        </w:rPr>
        <w:t xml:space="preserve"> </w:t>
      </w:r>
      <w:proofErr w:type="spellStart"/>
      <w:r w:rsidRPr="008374FF">
        <w:rPr>
          <w:sz w:val="22"/>
          <w:szCs w:val="22"/>
          <w:lang w:val="tr-TR"/>
        </w:rPr>
        <w:t>level</w:t>
      </w:r>
      <w:proofErr w:type="spellEnd"/>
      <w:r w:rsidRPr="008374FF">
        <w:rPr>
          <w:sz w:val="22"/>
          <w:szCs w:val="22"/>
          <w:lang w:val="tr-TR"/>
        </w:rPr>
        <w:t xml:space="preserve"> </w:t>
      </w:r>
      <w:proofErr w:type="spellStart"/>
      <w:r w:rsidRPr="008374FF">
        <w:rPr>
          <w:sz w:val="22"/>
          <w:szCs w:val="22"/>
          <w:lang w:val="tr-TR"/>
        </w:rPr>
        <w:t>using</w:t>
      </w:r>
      <w:proofErr w:type="spellEnd"/>
      <w:r w:rsidRPr="008374FF">
        <w:rPr>
          <w:sz w:val="22"/>
          <w:szCs w:val="22"/>
          <w:lang w:val="tr-TR"/>
        </w:rPr>
        <w:t xml:space="preserve"> GSE32719 data set </w:t>
      </w:r>
      <w:proofErr w:type="spellStart"/>
      <w:r w:rsidRPr="008374FF">
        <w:rPr>
          <w:sz w:val="22"/>
          <w:szCs w:val="22"/>
          <w:lang w:val="tr-TR"/>
        </w:rPr>
        <w:t>publicly</w:t>
      </w:r>
      <w:proofErr w:type="spellEnd"/>
      <w:r w:rsidRPr="008374FF">
        <w:rPr>
          <w:sz w:val="22"/>
          <w:szCs w:val="22"/>
          <w:lang w:val="tr-TR"/>
        </w:rPr>
        <w:t xml:space="preserve"> </w:t>
      </w:r>
      <w:proofErr w:type="spellStart"/>
      <w:r w:rsidRPr="008374FF">
        <w:rPr>
          <w:sz w:val="22"/>
          <w:szCs w:val="22"/>
          <w:lang w:val="tr-TR"/>
        </w:rPr>
        <w:t>available</w:t>
      </w:r>
      <w:proofErr w:type="spellEnd"/>
      <w:r w:rsidRPr="008374FF">
        <w:rPr>
          <w:sz w:val="22"/>
          <w:szCs w:val="22"/>
          <w:lang w:val="tr-TR"/>
        </w:rPr>
        <w:t xml:space="preserve">  at gene </w:t>
      </w:r>
      <w:proofErr w:type="spellStart"/>
      <w:r w:rsidRPr="008374FF">
        <w:rPr>
          <w:sz w:val="22"/>
          <w:szCs w:val="22"/>
          <w:lang w:val="tr-TR"/>
        </w:rPr>
        <w:t>expression</w:t>
      </w:r>
      <w:proofErr w:type="spellEnd"/>
      <w:r w:rsidRPr="008374FF">
        <w:rPr>
          <w:sz w:val="22"/>
          <w:szCs w:val="22"/>
          <w:lang w:val="tr-TR"/>
        </w:rPr>
        <w:t xml:space="preserve"> </w:t>
      </w:r>
      <w:proofErr w:type="spellStart"/>
      <w:r w:rsidRPr="008374FF">
        <w:rPr>
          <w:sz w:val="22"/>
          <w:szCs w:val="22"/>
          <w:lang w:val="tr-TR"/>
        </w:rPr>
        <w:t>omnibus</w:t>
      </w:r>
      <w:proofErr w:type="spellEnd"/>
      <w:r w:rsidRPr="008374FF">
        <w:rPr>
          <w:sz w:val="22"/>
          <w:szCs w:val="22"/>
          <w:lang w:val="tr-TR"/>
        </w:rPr>
        <w:t xml:space="preserve"> (GEO)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ArrayExpress</w:t>
      </w:r>
      <w:proofErr w:type="spellEnd"/>
      <w:r w:rsidRPr="008374FF">
        <w:rPr>
          <w:sz w:val="22"/>
          <w:szCs w:val="22"/>
          <w:lang w:val="tr-TR"/>
        </w:rPr>
        <w:t xml:space="preserve">. Using </w:t>
      </w:r>
      <w:proofErr w:type="spellStart"/>
      <w:r w:rsidRPr="008374FF">
        <w:rPr>
          <w:sz w:val="22"/>
          <w:szCs w:val="22"/>
          <w:lang w:val="tr-TR"/>
        </w:rPr>
        <w:t>Biobase</w:t>
      </w:r>
      <w:proofErr w:type="spellEnd"/>
      <w:r w:rsidRPr="008374FF">
        <w:rPr>
          <w:sz w:val="22"/>
          <w:szCs w:val="22"/>
          <w:lang w:val="tr-TR"/>
        </w:rPr>
        <w:t xml:space="preserve">, </w:t>
      </w:r>
      <w:proofErr w:type="spellStart"/>
      <w:r w:rsidRPr="008374FF">
        <w:rPr>
          <w:sz w:val="22"/>
          <w:szCs w:val="22"/>
          <w:lang w:val="tr-TR"/>
        </w:rPr>
        <w:t>GEOquery</w:t>
      </w:r>
      <w:proofErr w:type="spellEnd"/>
      <w:r w:rsidR="00713EED">
        <w:rPr>
          <w:sz w:val="22"/>
          <w:szCs w:val="22"/>
          <w:lang w:val="tr-TR"/>
        </w:rPr>
        <w:t xml:space="preserve">, </w:t>
      </w:r>
      <w:proofErr w:type="spellStart"/>
      <w:r w:rsidR="00713EED">
        <w:rPr>
          <w:sz w:val="22"/>
          <w:szCs w:val="22"/>
          <w:lang w:val="tr-TR"/>
        </w:rPr>
        <w:t>gplots</w:t>
      </w:r>
      <w:proofErr w:type="spellEnd"/>
      <w:r w:rsidR="00713EED">
        <w:rPr>
          <w:sz w:val="22"/>
          <w:szCs w:val="22"/>
          <w:lang w:val="tr-TR"/>
        </w:rPr>
        <w:t xml:space="preserve"> </w:t>
      </w:r>
      <w:proofErr w:type="spellStart"/>
      <w:r w:rsidRPr="008374FF">
        <w:rPr>
          <w:sz w:val="22"/>
          <w:szCs w:val="22"/>
          <w:lang w:val="tr-TR"/>
        </w:rPr>
        <w:t>packages</w:t>
      </w:r>
      <w:proofErr w:type="spellEnd"/>
      <w:r w:rsidR="00713EED">
        <w:rPr>
          <w:sz w:val="22"/>
          <w:szCs w:val="22"/>
          <w:lang w:val="tr-TR"/>
        </w:rPr>
        <w:t xml:space="preserve"> 96</w:t>
      </w:r>
      <w:r w:rsidRPr="008374FF">
        <w:rPr>
          <w:sz w:val="22"/>
          <w:szCs w:val="22"/>
          <w:lang w:val="tr-TR"/>
        </w:rPr>
        <w:t xml:space="preserve"> </w:t>
      </w:r>
      <w:proofErr w:type="spellStart"/>
      <w:r w:rsidRPr="008374FF">
        <w:rPr>
          <w:sz w:val="22"/>
          <w:szCs w:val="22"/>
          <w:lang w:val="tr-TR"/>
        </w:rPr>
        <w:t>genes</w:t>
      </w:r>
      <w:proofErr w:type="spellEnd"/>
      <w:r w:rsidRPr="008374FF">
        <w:rPr>
          <w:sz w:val="22"/>
          <w:szCs w:val="22"/>
          <w:lang w:val="tr-TR"/>
        </w:rPr>
        <w:t xml:space="preserve"> </w:t>
      </w:r>
      <w:proofErr w:type="spellStart"/>
      <w:r w:rsidRPr="008374FF">
        <w:rPr>
          <w:sz w:val="22"/>
          <w:szCs w:val="22"/>
          <w:lang w:val="tr-TR"/>
        </w:rPr>
        <w:t>that</w:t>
      </w:r>
      <w:proofErr w:type="spellEnd"/>
      <w:r w:rsidRPr="008374FF">
        <w:rPr>
          <w:sz w:val="22"/>
          <w:szCs w:val="22"/>
          <w:lang w:val="tr-TR"/>
        </w:rPr>
        <w:t xml:space="preserve"> </w:t>
      </w:r>
      <w:proofErr w:type="spellStart"/>
      <w:r w:rsidRPr="008374FF">
        <w:rPr>
          <w:sz w:val="22"/>
          <w:szCs w:val="22"/>
          <w:lang w:val="tr-TR"/>
        </w:rPr>
        <w:t>shows</w:t>
      </w:r>
      <w:proofErr w:type="spellEnd"/>
      <w:r w:rsidRPr="008374FF">
        <w:rPr>
          <w:sz w:val="22"/>
          <w:szCs w:val="22"/>
          <w:lang w:val="tr-TR"/>
        </w:rPr>
        <w:t xml:space="preserve"> </w:t>
      </w:r>
      <w:proofErr w:type="spellStart"/>
      <w:r w:rsidRPr="008374FF">
        <w:rPr>
          <w:sz w:val="22"/>
          <w:szCs w:val="22"/>
          <w:lang w:val="tr-TR"/>
        </w:rPr>
        <w:t>up</w:t>
      </w:r>
      <w:proofErr w:type="spellEnd"/>
      <w:r w:rsidRPr="008374FF">
        <w:rPr>
          <w:sz w:val="22"/>
          <w:szCs w:val="22"/>
          <w:lang w:val="tr-TR"/>
        </w:rPr>
        <w:t xml:space="preserve">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down</w:t>
      </w:r>
      <w:proofErr w:type="spellEnd"/>
      <w:r w:rsidRPr="008374FF">
        <w:rPr>
          <w:sz w:val="22"/>
          <w:szCs w:val="22"/>
          <w:lang w:val="tr-TR"/>
        </w:rPr>
        <w:t xml:space="preserve"> </w:t>
      </w:r>
      <w:proofErr w:type="spellStart"/>
      <w:r w:rsidRPr="008374FF">
        <w:rPr>
          <w:sz w:val="22"/>
          <w:szCs w:val="22"/>
          <w:lang w:val="tr-TR"/>
        </w:rPr>
        <w:t>regulation</w:t>
      </w:r>
      <w:proofErr w:type="spellEnd"/>
      <w:r w:rsidRPr="008374FF">
        <w:rPr>
          <w:sz w:val="22"/>
          <w:szCs w:val="22"/>
          <w:lang w:val="tr-TR"/>
        </w:rPr>
        <w:t xml:space="preserve"> (p &lt; 0.05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fold</w:t>
      </w:r>
      <w:proofErr w:type="spellEnd"/>
      <w:r w:rsidRPr="008374FF">
        <w:rPr>
          <w:sz w:val="22"/>
          <w:szCs w:val="22"/>
          <w:lang w:val="tr-TR"/>
        </w:rPr>
        <w:t xml:space="preserve"> </w:t>
      </w:r>
      <w:proofErr w:type="spellStart"/>
      <w:r w:rsidRPr="008374FF">
        <w:rPr>
          <w:sz w:val="22"/>
          <w:szCs w:val="22"/>
          <w:lang w:val="tr-TR"/>
        </w:rPr>
        <w:t>change</w:t>
      </w:r>
      <w:proofErr w:type="spellEnd"/>
      <w:r w:rsidRPr="008374FF">
        <w:rPr>
          <w:sz w:val="22"/>
          <w:szCs w:val="22"/>
          <w:lang w:val="tr-TR"/>
        </w:rPr>
        <w:t xml:space="preserve"> </w:t>
      </w:r>
      <w:r w:rsidR="00713EED">
        <w:rPr>
          <w:sz w:val="22"/>
          <w:szCs w:val="22"/>
          <w:lang w:val="tr-TR"/>
        </w:rPr>
        <w:t>&lt; 0</w:t>
      </w:r>
      <w:r w:rsidRPr="008374FF">
        <w:rPr>
          <w:sz w:val="22"/>
          <w:szCs w:val="22"/>
          <w:lang w:val="tr-TR"/>
        </w:rPr>
        <w:t>.</w:t>
      </w:r>
      <w:r w:rsidR="00713EED">
        <w:rPr>
          <w:sz w:val="22"/>
          <w:szCs w:val="22"/>
          <w:lang w:val="tr-TR"/>
        </w:rPr>
        <w:t>0</w:t>
      </w:r>
      <w:r w:rsidRPr="008374FF">
        <w:rPr>
          <w:sz w:val="22"/>
          <w:szCs w:val="22"/>
          <w:lang w:val="tr-TR"/>
        </w:rPr>
        <w:t>5)</w:t>
      </w:r>
      <w:r w:rsidR="00713EED">
        <w:rPr>
          <w:sz w:val="22"/>
          <w:szCs w:val="22"/>
          <w:lang w:val="tr-TR"/>
        </w:rPr>
        <w:t xml:space="preserve">. </w:t>
      </w:r>
      <w:proofErr w:type="spellStart"/>
      <w:r w:rsidR="00713EED">
        <w:rPr>
          <w:sz w:val="22"/>
          <w:szCs w:val="22"/>
          <w:lang w:val="tr-TR"/>
        </w:rPr>
        <w:t>We</w:t>
      </w:r>
      <w:proofErr w:type="spellEnd"/>
      <w:r w:rsidR="00713EED">
        <w:rPr>
          <w:sz w:val="22"/>
          <w:szCs w:val="22"/>
          <w:lang w:val="tr-TR"/>
        </w:rPr>
        <w:t xml:space="preserve"> </w:t>
      </w:r>
      <w:proofErr w:type="spellStart"/>
      <w:r w:rsidR="00713EED">
        <w:rPr>
          <w:sz w:val="22"/>
          <w:szCs w:val="22"/>
          <w:lang w:val="tr-TR"/>
        </w:rPr>
        <w:t>then</w:t>
      </w:r>
      <w:proofErr w:type="spellEnd"/>
      <w:r w:rsidRPr="008374FF">
        <w:rPr>
          <w:sz w:val="22"/>
          <w:szCs w:val="22"/>
          <w:lang w:val="tr-TR"/>
        </w:rPr>
        <w:t xml:space="preserve"> </w:t>
      </w:r>
      <w:proofErr w:type="spellStart"/>
      <w:r w:rsidR="00713EED">
        <w:rPr>
          <w:sz w:val="22"/>
          <w:szCs w:val="22"/>
          <w:lang w:val="tr-TR"/>
        </w:rPr>
        <w:t>investigate</w:t>
      </w:r>
      <w:proofErr w:type="spellEnd"/>
      <w:r w:rsidR="00713EED">
        <w:rPr>
          <w:sz w:val="22"/>
          <w:szCs w:val="22"/>
          <w:lang w:val="tr-TR"/>
        </w:rPr>
        <w:t xml:space="preserve"> </w:t>
      </w:r>
      <w:r w:rsidRPr="008374FF">
        <w:rPr>
          <w:sz w:val="22"/>
          <w:szCs w:val="22"/>
          <w:lang w:val="tr-TR"/>
        </w:rPr>
        <w:t xml:space="preserve">gene </w:t>
      </w:r>
      <w:proofErr w:type="spellStart"/>
      <w:r w:rsidRPr="008374FF">
        <w:rPr>
          <w:sz w:val="22"/>
          <w:szCs w:val="22"/>
          <w:lang w:val="tr-TR"/>
        </w:rPr>
        <w:t>ontology</w:t>
      </w:r>
      <w:proofErr w:type="spellEnd"/>
      <w:r w:rsidRPr="008374FF">
        <w:rPr>
          <w:sz w:val="22"/>
          <w:szCs w:val="22"/>
          <w:lang w:val="tr-TR"/>
        </w:rPr>
        <w:t xml:space="preserve"> (GO) </w:t>
      </w:r>
      <w:proofErr w:type="spellStart"/>
      <w:r w:rsidRPr="008374FF">
        <w:rPr>
          <w:sz w:val="22"/>
          <w:szCs w:val="22"/>
          <w:lang w:val="tr-TR"/>
        </w:rPr>
        <w:t>analysis</w:t>
      </w:r>
      <w:proofErr w:type="spellEnd"/>
      <w:r w:rsidR="00713EED">
        <w:rPr>
          <w:sz w:val="22"/>
          <w:szCs w:val="22"/>
          <w:lang w:val="tr-TR"/>
        </w:rPr>
        <w:t xml:space="preserve"> </w:t>
      </w:r>
      <w:proofErr w:type="spellStart"/>
      <w:r w:rsidR="00713EED">
        <w:rPr>
          <w:sz w:val="22"/>
          <w:szCs w:val="22"/>
          <w:lang w:val="tr-TR"/>
        </w:rPr>
        <w:t>for</w:t>
      </w:r>
      <w:proofErr w:type="spellEnd"/>
      <w:r w:rsidR="00713EED">
        <w:rPr>
          <w:sz w:val="22"/>
          <w:szCs w:val="22"/>
          <w:lang w:val="tr-TR"/>
        </w:rPr>
        <w:t xml:space="preserve"> </w:t>
      </w:r>
      <w:proofErr w:type="spellStart"/>
      <w:r w:rsidR="00713EED">
        <w:rPr>
          <w:sz w:val="22"/>
          <w:szCs w:val="22"/>
          <w:lang w:val="tr-TR"/>
        </w:rPr>
        <w:t>these</w:t>
      </w:r>
      <w:proofErr w:type="spellEnd"/>
      <w:r w:rsidR="00713EED">
        <w:rPr>
          <w:sz w:val="22"/>
          <w:szCs w:val="22"/>
          <w:lang w:val="tr-TR"/>
        </w:rPr>
        <w:t xml:space="preserve"> </w:t>
      </w:r>
      <w:proofErr w:type="spellStart"/>
      <w:r w:rsidR="00713EED">
        <w:rPr>
          <w:sz w:val="22"/>
          <w:szCs w:val="22"/>
          <w:lang w:val="tr-TR"/>
        </w:rPr>
        <w:t>genes</w:t>
      </w:r>
      <w:proofErr w:type="spellEnd"/>
      <w:r w:rsidRPr="008374FF">
        <w:rPr>
          <w:sz w:val="22"/>
          <w:szCs w:val="22"/>
          <w:lang w:val="tr-TR"/>
        </w:rPr>
        <w:t xml:space="preserve">. </w:t>
      </w:r>
      <w:proofErr w:type="spellStart"/>
      <w:r w:rsidRPr="008374FF">
        <w:rPr>
          <w:sz w:val="22"/>
          <w:szCs w:val="22"/>
          <w:lang w:val="tr-TR"/>
        </w:rPr>
        <w:t>Similar</w:t>
      </w:r>
      <w:proofErr w:type="spellEnd"/>
      <w:r w:rsidRPr="008374FF">
        <w:rPr>
          <w:sz w:val="22"/>
          <w:szCs w:val="22"/>
          <w:lang w:val="tr-TR"/>
        </w:rPr>
        <w:t xml:space="preserve"> </w:t>
      </w:r>
      <w:proofErr w:type="spellStart"/>
      <w:r w:rsidRPr="008374FF">
        <w:rPr>
          <w:sz w:val="22"/>
          <w:szCs w:val="22"/>
          <w:lang w:val="tr-TR"/>
        </w:rPr>
        <w:t>to</w:t>
      </w:r>
      <w:proofErr w:type="spellEnd"/>
      <w:r w:rsidRPr="008374FF">
        <w:rPr>
          <w:sz w:val="22"/>
          <w:szCs w:val="22"/>
          <w:lang w:val="tr-TR"/>
        </w:rPr>
        <w:t xml:space="preserve"> </w:t>
      </w:r>
      <w:proofErr w:type="spellStart"/>
      <w:r w:rsidRPr="008374FF">
        <w:rPr>
          <w:sz w:val="22"/>
          <w:szCs w:val="22"/>
          <w:lang w:val="tr-TR"/>
        </w:rPr>
        <w:t>previous</w:t>
      </w:r>
      <w:proofErr w:type="spellEnd"/>
      <w:r w:rsidRPr="008374FF">
        <w:rPr>
          <w:sz w:val="22"/>
          <w:szCs w:val="22"/>
          <w:lang w:val="tr-TR"/>
        </w:rPr>
        <w:t xml:space="preserve"> </w:t>
      </w:r>
      <w:proofErr w:type="spellStart"/>
      <w:r w:rsidRPr="008374FF">
        <w:rPr>
          <w:sz w:val="22"/>
          <w:szCs w:val="22"/>
          <w:lang w:val="tr-TR"/>
        </w:rPr>
        <w:t>research</w:t>
      </w:r>
      <w:proofErr w:type="spellEnd"/>
      <w:r w:rsidRPr="008374FF">
        <w:rPr>
          <w:sz w:val="22"/>
          <w:szCs w:val="22"/>
          <w:lang w:val="tr-TR"/>
        </w:rPr>
        <w:t xml:space="preserve">, </w:t>
      </w:r>
      <w:proofErr w:type="spellStart"/>
      <w:r w:rsidRPr="008374FF">
        <w:rPr>
          <w:sz w:val="22"/>
          <w:szCs w:val="22"/>
          <w:lang w:val="tr-TR"/>
        </w:rPr>
        <w:t>the</w:t>
      </w:r>
      <w:proofErr w:type="spellEnd"/>
      <w:r w:rsidRPr="008374FF">
        <w:rPr>
          <w:sz w:val="22"/>
          <w:szCs w:val="22"/>
          <w:lang w:val="tr-TR"/>
        </w:rPr>
        <w:t xml:space="preserve"> </w:t>
      </w:r>
      <w:proofErr w:type="spellStart"/>
      <w:r w:rsidRPr="008374FF">
        <w:rPr>
          <w:sz w:val="22"/>
          <w:szCs w:val="22"/>
          <w:lang w:val="tr-TR"/>
        </w:rPr>
        <w:t>increase</w:t>
      </w:r>
      <w:proofErr w:type="spellEnd"/>
      <w:r w:rsidRPr="008374FF">
        <w:rPr>
          <w:sz w:val="22"/>
          <w:szCs w:val="22"/>
          <w:lang w:val="tr-TR"/>
        </w:rPr>
        <w:t xml:space="preserve"> in </w:t>
      </w:r>
      <w:proofErr w:type="spellStart"/>
      <w:r w:rsidRPr="008374FF">
        <w:rPr>
          <w:sz w:val="22"/>
          <w:szCs w:val="22"/>
          <w:lang w:val="tr-TR"/>
        </w:rPr>
        <w:t>hematopoietic</w:t>
      </w:r>
      <w:proofErr w:type="spellEnd"/>
      <w:r w:rsidRPr="008374FF">
        <w:rPr>
          <w:sz w:val="22"/>
          <w:szCs w:val="22"/>
          <w:lang w:val="tr-TR"/>
        </w:rPr>
        <w:t xml:space="preserve"> </w:t>
      </w:r>
      <w:proofErr w:type="spellStart"/>
      <w:r w:rsidRPr="008374FF">
        <w:rPr>
          <w:sz w:val="22"/>
          <w:szCs w:val="22"/>
          <w:lang w:val="tr-TR"/>
        </w:rPr>
        <w:t>stem</w:t>
      </w:r>
      <w:proofErr w:type="spellEnd"/>
      <w:r w:rsidRPr="008374FF">
        <w:rPr>
          <w:sz w:val="22"/>
          <w:szCs w:val="22"/>
          <w:lang w:val="tr-TR"/>
        </w:rPr>
        <w:t xml:space="preserve"> </w:t>
      </w:r>
      <w:proofErr w:type="spellStart"/>
      <w:r w:rsidRPr="008374FF">
        <w:rPr>
          <w:sz w:val="22"/>
          <w:szCs w:val="22"/>
          <w:lang w:val="tr-TR"/>
        </w:rPr>
        <w:t>cell</w:t>
      </w:r>
      <w:proofErr w:type="spellEnd"/>
      <w:r w:rsidRPr="008374FF">
        <w:rPr>
          <w:sz w:val="22"/>
          <w:szCs w:val="22"/>
          <w:lang w:val="tr-TR"/>
        </w:rPr>
        <w:t xml:space="preserve"> </w:t>
      </w:r>
      <w:proofErr w:type="spellStart"/>
      <w:r w:rsidRPr="008374FF">
        <w:rPr>
          <w:sz w:val="22"/>
          <w:szCs w:val="22"/>
          <w:lang w:val="tr-TR"/>
        </w:rPr>
        <w:t>population</w:t>
      </w:r>
      <w:proofErr w:type="spellEnd"/>
      <w:r w:rsidRPr="008374FF">
        <w:rPr>
          <w:sz w:val="22"/>
          <w:szCs w:val="22"/>
          <w:lang w:val="tr-TR"/>
        </w:rPr>
        <w:t xml:space="preserve">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functional</w:t>
      </w:r>
      <w:proofErr w:type="spellEnd"/>
      <w:r w:rsidRPr="008374FF">
        <w:rPr>
          <w:sz w:val="22"/>
          <w:szCs w:val="22"/>
          <w:lang w:val="tr-TR"/>
        </w:rPr>
        <w:t xml:space="preserve"> </w:t>
      </w:r>
      <w:proofErr w:type="spellStart"/>
      <w:r w:rsidRPr="008374FF">
        <w:rPr>
          <w:sz w:val="22"/>
          <w:szCs w:val="22"/>
          <w:lang w:val="tr-TR"/>
        </w:rPr>
        <w:t>decline</w:t>
      </w:r>
      <w:proofErr w:type="spellEnd"/>
      <w:r w:rsidRPr="008374FF">
        <w:rPr>
          <w:sz w:val="22"/>
          <w:szCs w:val="22"/>
          <w:lang w:val="tr-TR"/>
        </w:rPr>
        <w:t xml:space="preserve"> in </w:t>
      </w:r>
      <w:proofErr w:type="spellStart"/>
      <w:r w:rsidRPr="008374FF">
        <w:rPr>
          <w:sz w:val="22"/>
          <w:szCs w:val="22"/>
          <w:lang w:val="tr-TR"/>
        </w:rPr>
        <w:t>age-related</w:t>
      </w:r>
      <w:proofErr w:type="spellEnd"/>
      <w:r w:rsidRPr="008374FF">
        <w:rPr>
          <w:sz w:val="22"/>
          <w:szCs w:val="22"/>
          <w:lang w:val="tr-TR"/>
        </w:rPr>
        <w:t xml:space="preserve"> </w:t>
      </w:r>
      <w:proofErr w:type="spellStart"/>
      <w:r w:rsidRPr="008374FF">
        <w:rPr>
          <w:sz w:val="22"/>
          <w:szCs w:val="22"/>
          <w:lang w:val="tr-TR"/>
        </w:rPr>
        <w:t>hematopoietic</w:t>
      </w:r>
      <w:proofErr w:type="spellEnd"/>
      <w:r w:rsidRPr="008374FF">
        <w:rPr>
          <w:sz w:val="22"/>
          <w:szCs w:val="22"/>
          <w:lang w:val="tr-TR"/>
        </w:rPr>
        <w:t xml:space="preserve"> </w:t>
      </w:r>
      <w:proofErr w:type="spellStart"/>
      <w:r w:rsidRPr="008374FF">
        <w:rPr>
          <w:sz w:val="22"/>
          <w:szCs w:val="22"/>
          <w:lang w:val="tr-TR"/>
        </w:rPr>
        <w:t>pathologies</w:t>
      </w:r>
      <w:proofErr w:type="spellEnd"/>
      <w:r w:rsidRPr="008374FF">
        <w:rPr>
          <w:sz w:val="22"/>
          <w:szCs w:val="22"/>
          <w:lang w:val="tr-TR"/>
        </w:rPr>
        <w:t xml:space="preserve"> </w:t>
      </w:r>
      <w:proofErr w:type="spellStart"/>
      <w:r w:rsidRPr="008374FF">
        <w:rPr>
          <w:sz w:val="22"/>
          <w:szCs w:val="22"/>
          <w:lang w:val="tr-TR"/>
        </w:rPr>
        <w:t>have</w:t>
      </w:r>
      <w:proofErr w:type="spellEnd"/>
      <w:r w:rsidRPr="008374FF">
        <w:rPr>
          <w:sz w:val="22"/>
          <w:szCs w:val="22"/>
          <w:lang w:val="tr-TR"/>
        </w:rPr>
        <w:t xml:space="preserve"> </w:t>
      </w:r>
      <w:proofErr w:type="spellStart"/>
      <w:r w:rsidRPr="008374FF">
        <w:rPr>
          <w:sz w:val="22"/>
          <w:szCs w:val="22"/>
          <w:lang w:val="tr-TR"/>
        </w:rPr>
        <w:t>contributed</w:t>
      </w:r>
      <w:proofErr w:type="spellEnd"/>
      <w:r w:rsidRPr="008374FF">
        <w:rPr>
          <w:sz w:val="22"/>
          <w:szCs w:val="22"/>
          <w:lang w:val="tr-TR"/>
        </w:rPr>
        <w:t xml:space="preserve"> </w:t>
      </w:r>
      <w:proofErr w:type="spellStart"/>
      <w:r w:rsidRPr="008374FF">
        <w:rPr>
          <w:sz w:val="22"/>
          <w:szCs w:val="22"/>
          <w:lang w:val="tr-TR"/>
        </w:rPr>
        <w:t>significantly</w:t>
      </w:r>
      <w:proofErr w:type="spellEnd"/>
      <w:r w:rsidRPr="008374FF">
        <w:rPr>
          <w:sz w:val="22"/>
          <w:szCs w:val="22"/>
          <w:lang w:val="tr-TR"/>
        </w:rPr>
        <w:t xml:space="preserve">. </w:t>
      </w:r>
      <w:proofErr w:type="spellStart"/>
      <w:r w:rsidRPr="008374FF">
        <w:rPr>
          <w:sz w:val="22"/>
          <w:szCs w:val="22"/>
          <w:lang w:val="tr-TR"/>
        </w:rPr>
        <w:t>Our</w:t>
      </w:r>
      <w:proofErr w:type="spellEnd"/>
      <w:r w:rsidRPr="008374FF">
        <w:rPr>
          <w:sz w:val="22"/>
          <w:szCs w:val="22"/>
          <w:lang w:val="tr-TR"/>
        </w:rPr>
        <w:t xml:space="preserve"> </w:t>
      </w:r>
      <w:proofErr w:type="spellStart"/>
      <w:r w:rsidRPr="008374FF">
        <w:rPr>
          <w:sz w:val="22"/>
          <w:szCs w:val="22"/>
          <w:lang w:val="tr-TR"/>
        </w:rPr>
        <w:t>results</w:t>
      </w:r>
      <w:proofErr w:type="spellEnd"/>
      <w:r w:rsidRPr="008374FF">
        <w:rPr>
          <w:sz w:val="22"/>
          <w:szCs w:val="22"/>
          <w:lang w:val="tr-TR"/>
        </w:rPr>
        <w:t xml:space="preserve"> </w:t>
      </w:r>
      <w:proofErr w:type="spellStart"/>
      <w:r w:rsidRPr="008374FF">
        <w:rPr>
          <w:sz w:val="22"/>
          <w:szCs w:val="22"/>
          <w:lang w:val="tr-TR"/>
        </w:rPr>
        <w:t>further</w:t>
      </w:r>
      <w:proofErr w:type="spellEnd"/>
      <w:r w:rsidRPr="008374FF">
        <w:rPr>
          <w:sz w:val="22"/>
          <w:szCs w:val="22"/>
          <w:lang w:val="tr-TR"/>
        </w:rPr>
        <w:t xml:space="preserve"> </w:t>
      </w:r>
      <w:proofErr w:type="spellStart"/>
      <w:r w:rsidRPr="008374FF">
        <w:rPr>
          <w:sz w:val="22"/>
          <w:szCs w:val="22"/>
          <w:lang w:val="tr-TR"/>
        </w:rPr>
        <w:t>enabled</w:t>
      </w:r>
      <w:proofErr w:type="spellEnd"/>
      <w:r w:rsidRPr="008374FF">
        <w:rPr>
          <w:sz w:val="22"/>
          <w:szCs w:val="22"/>
          <w:lang w:val="tr-TR"/>
        </w:rPr>
        <w:t xml:space="preserve">  </w:t>
      </w:r>
      <w:r w:rsidRPr="008374FF">
        <w:rPr>
          <w:sz w:val="22"/>
          <w:szCs w:val="22"/>
          <w:lang w:eastAsia="it-IT"/>
          <w14:ligatures w14:val="standard"/>
        </w:rPr>
        <w:t>identification of candidat</w:t>
      </w:r>
      <w:r w:rsidRPr="008374FF">
        <w:rPr>
          <w:sz w:val="22"/>
          <w:szCs w:val="22"/>
        </w:rPr>
        <w:t>e genes that</w:t>
      </w:r>
      <w:r w:rsidRPr="008374FF">
        <w:rPr>
          <w:sz w:val="22"/>
          <w:szCs w:val="22"/>
          <w:lang w:eastAsia="it-IT"/>
          <w14:ligatures w14:val="standard"/>
        </w:rPr>
        <w:t xml:space="preserve"> are associated wi</w:t>
      </w:r>
      <w:r w:rsidRPr="008374FF">
        <w:rPr>
          <w:sz w:val="22"/>
          <w:szCs w:val="22"/>
        </w:rPr>
        <w:t>th aging</w:t>
      </w:r>
      <w:r w:rsidRPr="178F9352">
        <w:rPr>
          <w:sz w:val="22"/>
          <w:szCs w:val="22"/>
        </w:rPr>
        <w:t xml:space="preserve"> such as negative regulation of cellular process such protein modification and protein phosphorylation processes.  A majority of the top GO genes encoded proteins function intracellularly and also provide insights into plasma </w:t>
      </w:r>
      <w:r w:rsidRPr="008374FF">
        <w:rPr>
          <w:color w:val="000000"/>
          <w:sz w:val="22"/>
          <w:szCs w:val="22"/>
          <w:shd w:val="clear" w:color="auto" w:fill="FFFFFF"/>
        </w:rPr>
        <w:t>membrane. Gene expression profile with GO enrichment further reveals a metabolic process of the immunopathological basis of aging that are associated with several signaling cascades which plays an important role of</w:t>
      </w:r>
      <w:r w:rsidRPr="008374FF">
        <w:rPr>
          <w:color w:val="202020"/>
          <w:sz w:val="22"/>
          <w:szCs w:val="22"/>
          <w:shd w:val="clear" w:color="auto" w:fill="FFFFFF"/>
        </w:rPr>
        <w:t xml:space="preserve"> the family of ATP-binding cassette (ABC) transporters.</w:t>
      </w:r>
    </w:p>
    <w:p w14:paraId="4F633749" w14:textId="77777777" w:rsidR="008933B9" w:rsidRDefault="008933B9" w:rsidP="008933B9"/>
    <w:p w14:paraId="08CF93FE" w14:textId="5E5D4AF3" w:rsidR="00553478" w:rsidRDefault="003449AB">
      <w:r>
        <w:t>BACKGROUND</w:t>
      </w:r>
    </w:p>
    <w:p w14:paraId="3C11267E" w14:textId="78FE7DEC" w:rsidR="003449AB" w:rsidRDefault="003449AB"/>
    <w:p w14:paraId="5308AD3A" w14:textId="23F0DD67" w:rsidR="24635D36" w:rsidRPr="008E16D3" w:rsidRDefault="003449AB" w:rsidP="008E16D3">
      <w:pPr>
        <w:jc w:val="both"/>
        <w:rPr>
          <w:sz w:val="22"/>
          <w:szCs w:val="22"/>
        </w:rPr>
      </w:pPr>
      <w:r w:rsidRPr="178F9352">
        <w:rPr>
          <w:color w:val="000000"/>
          <w:sz w:val="22"/>
          <w:szCs w:val="22"/>
          <w:shd w:val="clear" w:color="auto" w:fill="FFFFFF"/>
        </w:rPr>
        <w:t>The process of aging is characterized by a degeneration in the maintenance of homeostatic processes with advancing time, leading to functional decline in a variety of organ and tissue systems and increased risk for many diseases (cardiovascular, several types of cancer, metabolic and neurological diseases) and ultimately death</w:t>
      </w:r>
      <w:r w:rsidR="00713EED">
        <w:rPr>
          <w:color w:val="000000"/>
          <w:sz w:val="22"/>
          <w:szCs w:val="22"/>
          <w:shd w:val="clear" w:color="auto" w:fill="FFFFFF"/>
        </w:rPr>
        <w:t xml:space="preserve"> </w:t>
      </w:r>
      <w:r w:rsidRPr="178F9352">
        <w:rPr>
          <w:color w:val="000000"/>
          <w:sz w:val="22"/>
          <w:szCs w:val="22"/>
          <w:shd w:val="clear" w:color="auto" w:fill="FFFFFF"/>
        </w:rPr>
        <w:t xml:space="preserve"> </w:t>
      </w:r>
      <w:r w:rsidR="00713EED">
        <w:rPr>
          <w:color w:val="000000"/>
          <w:sz w:val="22"/>
          <w:szCs w:val="22"/>
          <w:shd w:val="clear" w:color="auto" w:fill="FFFFFF"/>
        </w:rPr>
        <w:fldChar w:fldCharType="begin" w:fldLock="1"/>
      </w:r>
      <w:r w:rsidR="00713EED">
        <w:rPr>
          <w:color w:val="000000"/>
          <w:sz w:val="22"/>
          <w:szCs w:val="22"/>
          <w:shd w:val="clear" w:color="auto" w:fill="FFFFFF"/>
        </w:rPr>
        <w:instrText>ADDIN CSL_CITATION {"citationItems":[{"id":"ITEM-1","itemData":{"DOI":"10.1016/j.tig.2007.05.008","author":[{"dropping-particle":"","family":"Fraga","given":"Mario","non-dropping-particle":"","parse-names":false,"suffix":""},{"dropping-particle":"","family":"Esteller","given":"Manel","non-dropping-particle":"","parse-names":false,"suffix":""}],"container-title":"Trends in genetics : TIG","id":"ITEM-1","issued":{"date-parts":[["2007","9","1"]]},"page":"413-418","title":"Fraga, M. F. &amp; Esteller, M. Epigenetics and aging: the targets and the marks. Trends Genet. 23, 413-418","type":"article-journal","volume":"23"},"uris":["http://www.mendeley.com/documents/?uuid=6d9c296d-2888-49bb-aea3-24f30549f2e6"]}],"mendeley":{"formattedCitation":"[1]","plainTextFormattedCitation":"[1]","previouslyFormattedCitation":"[1]"},"properties":{"noteIndex":0},"schema":"https://github.com/citation-style-language/schema/raw/master/csl-citation.json"}</w:instrText>
      </w:r>
      <w:r w:rsidR="00713EED">
        <w:rPr>
          <w:color w:val="000000"/>
          <w:sz w:val="22"/>
          <w:szCs w:val="22"/>
          <w:shd w:val="clear" w:color="auto" w:fill="FFFFFF"/>
        </w:rPr>
        <w:fldChar w:fldCharType="separate"/>
      </w:r>
      <w:r w:rsidR="00713EED" w:rsidRPr="00713EED">
        <w:rPr>
          <w:noProof/>
          <w:color w:val="000000"/>
          <w:sz w:val="22"/>
          <w:szCs w:val="22"/>
          <w:shd w:val="clear" w:color="auto" w:fill="FFFFFF"/>
        </w:rPr>
        <w:t>[1]</w:t>
      </w:r>
      <w:r w:rsidR="00713EED">
        <w:rPr>
          <w:color w:val="000000"/>
          <w:sz w:val="22"/>
          <w:szCs w:val="22"/>
          <w:shd w:val="clear" w:color="auto" w:fill="FFFFFF"/>
        </w:rPr>
        <w:fldChar w:fldCharType="end"/>
      </w:r>
      <w:r w:rsidR="00713EED">
        <w:rPr>
          <w:color w:val="000000"/>
          <w:sz w:val="22"/>
          <w:szCs w:val="22"/>
          <w:shd w:val="clear" w:color="auto" w:fill="FFFFFF"/>
        </w:rPr>
        <w:t xml:space="preserve">. </w:t>
      </w:r>
      <w:r w:rsidRPr="178F9352">
        <w:rPr>
          <w:color w:val="000000"/>
          <w:sz w:val="22"/>
          <w:szCs w:val="22"/>
          <w:shd w:val="clear" w:color="auto" w:fill="FFFFFF"/>
        </w:rPr>
        <w:t xml:space="preserve"> </w:t>
      </w:r>
      <w:r w:rsidRPr="178F9352">
        <w:rPr>
          <w:sz w:val="22"/>
          <w:szCs w:val="22"/>
        </w:rPr>
        <w:t xml:space="preserve">Aging decreases an organism’s ability to handle environmental and </w:t>
      </w:r>
      <w:r w:rsidRPr="178F9352">
        <w:rPr>
          <w:color w:val="222222"/>
          <w:sz w:val="22"/>
          <w:szCs w:val="22"/>
          <w:shd w:val="clear" w:color="auto" w:fill="FFFFFF"/>
        </w:rPr>
        <w:t>physiological disturbance</w:t>
      </w:r>
      <w:r w:rsidRPr="178F9352">
        <w:rPr>
          <w:sz w:val="22"/>
          <w:szCs w:val="22"/>
        </w:rPr>
        <w:t xml:space="preserve"> which also another cause that increases the vulnerability to death </w:t>
      </w:r>
      <w:r w:rsidR="00713EED">
        <w:rPr>
          <w:sz w:val="22"/>
          <w:szCs w:val="22"/>
        </w:rPr>
        <w:fldChar w:fldCharType="begin" w:fldLock="1"/>
      </w:r>
      <w:r w:rsidR="00713EED">
        <w:rPr>
          <w:sz w:val="22"/>
          <w:szCs w:val="22"/>
        </w:rPr>
        <w:instrText>ADDIN CSL_CITATION {"citationItems":[{"id":"ITEM-1","itemData":{"DOI":"10.7554/eLife.07847","ISSN":"2050-084X","abstract":"Monocytes are phagocytic effector cells in the blood and precursors of resident and inflammatory tissue macrophages. The aim of the current study was to analyse and compare their contribution to innate immune surveillance of the lung in the steady state with macrophage and dendritic cells (DC). ECFP and EGFP transgenic reporters based upon Csf1r and Cx3cr1 distinguish monocytes from resident mononuclear phagocytes. We used these transgenes to study the migratory properties of monocytes and macrophages by functional imaging on explanted lungs. Migratory monocytes were found to be either patrolling within large vessels of the lung or locating at the interface between lung capillaries and alveoli. This spatial organisation gives to monocytes the property to capture fluorescent particles derived from both vascular and airway routes. We conclude that monocytes participate in steady-state surveillance of the lung, in a way that is complementary to resident macrophages and DC, without differentiating into macrophages.","author":[{"dropping-particle":"","family":"Rodero","given":"Mathieu P","non-dropping-particle":"","parse-names":false,"suffix":""},{"dropping-particle":"","family":"Poupel","given":"Lucie","non-dropping-particle":"","parse-names":false,"suffix":""},{"dropping-particle":"","family":"Loyher","given":"Pierre-Louis","non-dropping-particle":"","parse-names":false,"suffix":""},{"dropping-particle":"","family":"Hamon","given":"Pauline","non-dropping-particle":"","parse-names":false,"suffix":""},{"dropping-particle":"","family":"Licata","given":"Fabrice","non-dropping-particle":"","parse-names":false,"suffix":""},{"dropping-particle":"","family":"Pessel","given":"Charlotte","non-dropping-particle":"","parse-names":false,"suffix":""},{"dropping-particle":"","family":"Hume","given":"David A","non-dropping-particle":"","parse-names":false,"suffix":""},{"dropping-particle":"","family":"Combadière","given":"Christophe","non-dropping-particle":"","parse-names":false,"suffix":""},{"dropping-particle":"","family":"Boissonnas","given":"Alexandre","non-dropping-particle":"","parse-names":false,"suffix":""}],"container-title":"eLife","id":"ITEM-1","issued":{"date-parts":[["2015","7","13"]]},"language":"eng","page":"e07847-e07847","publisher":"eLife Sciences Publications, Ltd","title":"Immune surveillance of the lung by migrating tissue monocytes","type":"article-journal","volume":"4"},"uris":["http://www.mendeley.com/documents/?uuid=24813a63-02e6-4a90-ad99-3343a10b0cdf"]}],"mendeley":{"formattedCitation":"[2]","plainTextFormattedCitation":"[2]","previouslyFormattedCitation":"[2]"},"properties":{"noteIndex":0},"schema":"https://github.com/citation-style-language/schema/raw/master/csl-citation.json"}</w:instrText>
      </w:r>
      <w:r w:rsidR="00713EED">
        <w:rPr>
          <w:sz w:val="22"/>
          <w:szCs w:val="22"/>
        </w:rPr>
        <w:fldChar w:fldCharType="separate"/>
      </w:r>
      <w:r w:rsidR="00713EED" w:rsidRPr="00713EED">
        <w:rPr>
          <w:noProof/>
          <w:sz w:val="22"/>
          <w:szCs w:val="22"/>
        </w:rPr>
        <w:t>[2]</w:t>
      </w:r>
      <w:r w:rsidR="00713EED">
        <w:rPr>
          <w:sz w:val="22"/>
          <w:szCs w:val="22"/>
        </w:rPr>
        <w:fldChar w:fldCharType="end"/>
      </w:r>
      <w:r w:rsidR="00713EED">
        <w:rPr>
          <w:sz w:val="22"/>
          <w:szCs w:val="22"/>
        </w:rPr>
        <w:t xml:space="preserve">.  </w:t>
      </w:r>
      <w:r w:rsidR="6E0BCA42" w:rsidRPr="6E0BCA42">
        <w:rPr>
          <w:sz w:val="22"/>
          <w:szCs w:val="22"/>
        </w:rPr>
        <w:t>It is important to identify and characterize the genetic and environmental factors (smoking, environmental pollution) that modulate longevity in order to understand the basic mechanism of aging. The complex aging process and wide variability between individuals limited the identification of factors affecting aging</w:t>
      </w:r>
      <w:r w:rsidR="00713EED">
        <w:rPr>
          <w:sz w:val="22"/>
          <w:szCs w:val="22"/>
        </w:rPr>
        <w:t xml:space="preserve"> </w:t>
      </w:r>
      <w:r w:rsidR="00713EED">
        <w:rPr>
          <w:sz w:val="22"/>
          <w:szCs w:val="22"/>
        </w:rPr>
        <w:fldChar w:fldCharType="begin" w:fldLock="1"/>
      </w:r>
      <w:r w:rsidR="008E16D3">
        <w:rPr>
          <w:sz w:val="22"/>
          <w:szCs w:val="22"/>
        </w:rPr>
        <w:instrText>ADDIN CSL_CITATION {"citationItems":[{"id":"ITEM-1","itemData":{"DOI":"10.7554/eLife.07847","ISSN":"2050-084X","abstract":"Monocytes are phagocytic effector cells in the blood and precursors of resident and inflammatory tissue macrophages. The aim of the current study was to analyse and compare their contribution to innate immune surveillance of the lung in the steady state with macrophage and dendritic cells (DC). ECFP and EGFP transgenic reporters based upon Csf1r and Cx3cr1 distinguish monocytes from resident mononuclear phagocytes. We used these transgenes to study the migratory properties of monocytes and macrophages by functional imaging on explanted lungs. Migratory monocytes were found to be either patrolling within large vessels of the lung or locating at the interface between lung capillaries and alveoli. This spatial organisation gives to monocytes the property to capture fluorescent particles derived from both vascular and airway routes. We conclude that monocytes participate in steady-state surveillance of the lung, in a way that is complementary to resident macrophages and DC, without differentiating into macrophages.","author":[{"dropping-particle":"","family":"Rodero","given":"Mathieu P","non-dropping-particle":"","parse-names":false,"suffix":""},{"dropping-particle":"","family":"Poupel","given":"Lucie","non-dropping-particle":"","parse-names":false,"suffix":""},{"dropping-particle":"","family":"Loyher","given":"Pierre-Louis","non-dropping-particle":"","parse-names":false,"suffix":""},{"dropping-particle":"","family":"Hamon","given":"Pauline","non-dropping-particle":"","parse-names":false,"suffix":""},{"dropping-particle":"","family":"Licata","given":"Fabrice","non-dropping-particle":"","parse-names":false,"suffix":""},{"dropping-particle":"","family":"Pessel","given":"Charlotte","non-dropping-particle":"","parse-names":false,"suffix":""},{"dropping-particle":"","family":"Hume","given":"David A","non-dropping-particle":"","parse-names":false,"suffix":""},{"dropping-particle":"","family":"Combadière","given":"Christophe","non-dropping-particle":"","parse-names":false,"suffix":""},{"dropping-particle":"","family":"Boissonnas","given":"Alexandre","non-dropping-particle":"","parse-names":false,"suffix":""}],"container-title":"eLife","id":"ITEM-1","issued":{"date-parts":[["2015","7","13"]]},"language":"eng","page":"e07847-e07847","publisher":"eLife Sciences Publications, Ltd","title":"Immune surveillance of the lung by migrating tissue monocytes","type":"article-journal","volume":"4"},"uris":["http://www.mendeley.com/documents/?uuid=24813a63-02e6-4a90-ad99-3343a10b0cdf"]}],"mendeley":{"formattedCitation":"[2]","plainTextFormattedCitation":"[2]","previouslyFormattedCitation":"[2]"},"properties":{"noteIndex":0},"schema":"https://github.com/citation-style-language/schema/raw/master/csl-citation.json"}</w:instrText>
      </w:r>
      <w:r w:rsidR="00713EED">
        <w:rPr>
          <w:sz w:val="22"/>
          <w:szCs w:val="22"/>
        </w:rPr>
        <w:fldChar w:fldCharType="separate"/>
      </w:r>
      <w:r w:rsidR="00713EED" w:rsidRPr="00713EED">
        <w:rPr>
          <w:noProof/>
          <w:sz w:val="22"/>
          <w:szCs w:val="22"/>
        </w:rPr>
        <w:t>[2]</w:t>
      </w:r>
      <w:r w:rsidR="00713EED">
        <w:rPr>
          <w:sz w:val="22"/>
          <w:szCs w:val="22"/>
        </w:rPr>
        <w:fldChar w:fldCharType="end"/>
      </w:r>
      <w:r w:rsidR="00713EED">
        <w:rPr>
          <w:sz w:val="22"/>
          <w:szCs w:val="22"/>
        </w:rPr>
        <w:t xml:space="preserve">. </w:t>
      </w:r>
      <w:r w:rsidR="6E0BCA42" w:rsidRPr="6E0BCA42">
        <w:rPr>
          <w:sz w:val="22"/>
          <w:szCs w:val="22"/>
        </w:rPr>
        <w:t>To date, several theories have been proposed which provided beneficial insights to understand the physiological changes during the aging process. The notable ones are immunologic, inflammation, free radical and mitochondrial. To date several hundred genes have been found to associated with aging.</w:t>
      </w:r>
    </w:p>
    <w:p w14:paraId="1EBD8E38" w14:textId="77777777" w:rsidR="003D662E" w:rsidRDefault="003D662E" w:rsidP="178F9352">
      <w:pPr>
        <w:rPr>
          <w:sz w:val="22"/>
          <w:szCs w:val="22"/>
          <w:highlight w:val="yellow"/>
        </w:rPr>
      </w:pPr>
    </w:p>
    <w:p w14:paraId="5631B1E1" w14:textId="2CDB425B" w:rsidR="003449AB" w:rsidRDefault="38D6AEAE">
      <w:r>
        <w:t>MATERIALS AND METHODS</w:t>
      </w:r>
    </w:p>
    <w:p w14:paraId="728D5C86" w14:textId="34236BC1" w:rsidR="00360DA7" w:rsidRDefault="00360DA7"/>
    <w:p w14:paraId="5367402C" w14:textId="3CA2D0FF" w:rsidR="00360DA7" w:rsidRPr="00360DA7" w:rsidRDefault="00360DA7" w:rsidP="00360DA7">
      <w:r w:rsidRPr="00360DA7">
        <w:t>2.1. Microarray data</w:t>
      </w:r>
      <w:r w:rsidR="00EB205E">
        <w:t xml:space="preserve"> and preprocessing</w:t>
      </w:r>
    </w:p>
    <w:p w14:paraId="3B15C861" w14:textId="77777777" w:rsidR="00360DA7" w:rsidRPr="00360DA7" w:rsidRDefault="00360DA7" w:rsidP="00360DA7"/>
    <w:p w14:paraId="08C31108" w14:textId="033E2CB5" w:rsidR="00EB205E" w:rsidRDefault="00360DA7" w:rsidP="006409E0">
      <w:pPr>
        <w:jc w:val="both"/>
      </w:pPr>
      <w:r w:rsidRPr="00360DA7">
        <w:t xml:space="preserve">Expression data from human bone marrow hematopoietic stem cells were downloaded from the gene expression omnibus (GEO) database  with </w:t>
      </w:r>
      <w:r w:rsidRPr="00360DA7">
        <w:rPr>
          <w:lang w:val="en"/>
        </w:rPr>
        <w:t xml:space="preserve">GSE32719 was used </w:t>
      </w:r>
      <w:r w:rsidR="008E16D3">
        <w:rPr>
          <w:lang w:val="en"/>
        </w:rPr>
        <w:fldChar w:fldCharType="begin" w:fldLock="1"/>
      </w:r>
      <w:r w:rsidR="008E16D3">
        <w:rPr>
          <w:lang w:val="en"/>
        </w:rPr>
        <w:instrText>ADDIN CSL_CITATION {"citationItems":[{"id":"ITEM-1","itemData":{"DOI":"10.1073/pnas.1116110108","ISSN":"00278424","PMID":"22123971","abstract":"In the human hematopoietic system, aging is associated with decreased bone marrow cellularity, decreased adaptive immune system function, and increased incidence of anemia and other hematological disorders and malignancies. Recent studies in mice suggest that changes within the hematopoietic stem cell (HSC) population during aging contribute significantly to the manifestation of these age-associated hematopoietic pathologies. Though the mouse HSC population has been shown to change both quantitatively and functionally with age, changes in the human HSC and progenitor cell populations during aging have been incompletely characterized. To elucidate the properties of an aged human hematopoietic system that may predispose to age-associated hematopoietic dysfunction, we evaluated immunophenotypic HSC and other hematopoietic progenitor populations from healthy, hematologically normal young and elderly human bone marrow samples. We found that aged immunophenotypic human HSC increase in frequency, are less quiescent, and exhibit myeloid-biased differentiation potential compared with young HSC. Gene expression profiling revealed that aged immunophenotypic human HSC transcriptionally up-regulate genes associated with cell cycle, myeloid lineage specification, and myeloid malignancies. These age-associated alterations in the frequency, developmental potential, and gene expression profile of human HSC are similar to those changes observed in mouse HSC, suggesting that hematopoietic aging is an evolutionarily conserved process.","author":[{"dropping-particle":"","family":"Pang","given":"Wendy W.","non-dropping-particle":"","parse-names":false,"suffix":""},{"dropping-particle":"","family":"Price","given":"Elizabeth A.","non-dropping-particle":"","parse-names":false,"suffix":""},{"dropping-particle":"","family":"Sahoo","given":"Debashis","non-dropping-particle":"","parse-names":false,"suffix":""},{"dropping-particle":"","family":"Beerman","given":"Isabel","non-dropping-particle":"","parse-names":false,"suffix":""},{"dropping-particle":"","family":"Maloney","given":"William J.","non-dropping-particle":"","parse-names":false,"suffix":""},{"dropping-particle":"","family":"Rossi","given":"Derrick J.","non-dropping-particle":"","parse-names":false,"suffix":""},{"dropping-particle":"","family":"Schrier","given":"Stanley L.","non-dropping-particle":"","parse-names":false,"suffix":""},{"dropping-particle":"","family":"Weissman","given":"Irving L.","non-dropping-particle":"","parse-names":false,"suffix":""}],"container-title":"Proceedings of the National Academy of Sciences of the United States of America","id":"ITEM-1","issue":"50","issued":{"date-parts":[["2011"]]},"page":"20012-20017","title":"Human bone marrow hematopoietic stem cells are increased in frequency and myeloid-biased with age","type":"article-journal","volume":"108"},"uris":["http://www.mendeley.com/documents/?uuid=5dbcff56-d9fc-4bc9-953e-02b7a7b5508f"]}],"mendeley":{"formattedCitation":"[3]","plainTextFormattedCitation":"[3]","previouslyFormattedCitation":"[3]"},"properties":{"noteIndex":0},"schema":"https://github.com/citation-style-language/schema/raw/master/csl-citation.json"}</w:instrText>
      </w:r>
      <w:r w:rsidR="008E16D3">
        <w:rPr>
          <w:lang w:val="en"/>
        </w:rPr>
        <w:fldChar w:fldCharType="separate"/>
      </w:r>
      <w:r w:rsidR="008E16D3" w:rsidRPr="008E16D3">
        <w:rPr>
          <w:noProof/>
          <w:lang w:val="en"/>
        </w:rPr>
        <w:t>[3]</w:t>
      </w:r>
      <w:r w:rsidR="008E16D3">
        <w:rPr>
          <w:lang w:val="en"/>
        </w:rPr>
        <w:fldChar w:fldCharType="end"/>
      </w:r>
      <w:r w:rsidRPr="00360DA7">
        <w:rPr>
          <w:lang w:val="tr-TR"/>
        </w:rPr>
        <w:t xml:space="preserve">. </w:t>
      </w:r>
      <w:r w:rsidRPr="00360DA7">
        <w:rPr>
          <w:lang w:val="en"/>
        </w:rPr>
        <w:t xml:space="preserve">Genomic information ranging from gene sequences to protein structure predictions were obtained. </w:t>
      </w:r>
      <w:r w:rsidRPr="00360DA7">
        <w:rPr>
          <w:lang w:val="tr-TR"/>
        </w:rPr>
        <w:t xml:space="preserve">As </w:t>
      </w:r>
      <w:proofErr w:type="spellStart"/>
      <w:r w:rsidRPr="00360DA7">
        <w:rPr>
          <w:lang w:val="tr-TR"/>
        </w:rPr>
        <w:t>described</w:t>
      </w:r>
      <w:proofErr w:type="spellEnd"/>
      <w:r w:rsidRPr="00360DA7">
        <w:rPr>
          <w:lang w:val="tr-TR"/>
        </w:rPr>
        <w:t xml:space="preserve"> </w:t>
      </w:r>
      <w:proofErr w:type="spellStart"/>
      <w:r w:rsidRPr="00360DA7">
        <w:rPr>
          <w:lang w:val="tr-TR"/>
        </w:rPr>
        <w:t>by</w:t>
      </w:r>
      <w:proofErr w:type="spellEnd"/>
      <w:r w:rsidRPr="00360DA7">
        <w:rPr>
          <w:lang w:val="tr-TR"/>
        </w:rPr>
        <w:t xml:space="preserve"> </w:t>
      </w:r>
      <w:proofErr w:type="spellStart"/>
      <w:r w:rsidRPr="00360DA7">
        <w:rPr>
          <w:lang w:val="tr-TR"/>
        </w:rPr>
        <w:t>Pang</w:t>
      </w:r>
      <w:proofErr w:type="spellEnd"/>
      <w:r w:rsidRPr="00360DA7">
        <w:rPr>
          <w:lang w:val="tr-TR"/>
        </w:rPr>
        <w:t xml:space="preserve"> et al</w:t>
      </w:r>
      <w:r w:rsidR="008E16D3">
        <w:rPr>
          <w:lang w:val="tr-TR"/>
        </w:rPr>
        <w:t xml:space="preserve"> </w:t>
      </w:r>
      <w:r w:rsidR="008E16D3">
        <w:rPr>
          <w:lang w:val="tr-TR"/>
        </w:rPr>
        <w:fldChar w:fldCharType="begin" w:fldLock="1"/>
      </w:r>
      <w:r w:rsidR="008E16D3">
        <w:rPr>
          <w:lang w:val="tr-TR"/>
        </w:rPr>
        <w:instrText>ADDIN CSL_CITATION {"citationItems":[{"id":"ITEM-1","itemData":{"DOI":"10.1073/pnas.1116110108","ISSN":"00278424","PMID":"22123971","abstract":"In the human hematopoietic system, aging is associated with decreased bone marrow cellularity, decreased adaptive immune system function, and increased incidence of anemia and other hematological disorders and malignancies. Recent studies in mice suggest that changes within the hematopoietic stem cell (HSC) population during aging contribute significantly to the manifestation of these age-associated hematopoietic pathologies. Though the mouse HSC population has been shown to change both quantitatively and functionally with age, changes in the human HSC and progenitor cell populations during aging have been incompletely characterized. To elucidate the properties of an aged human hematopoietic system that may predispose to age-associated hematopoietic dysfunction, we evaluated immunophenotypic HSC and other hematopoietic progenitor populations from healthy, hematologically normal young and elderly human bone marrow samples. We found that aged immunophenotypic human HSC increase in frequency, are less quiescent, and exhibit myeloid-biased differentiation potential compared with young HSC. Gene expression profiling revealed that aged immunophenotypic human HSC transcriptionally up-regulate genes associated with cell cycle, myeloid lineage specification, and myeloid malignancies. These age-associated alterations in the frequency, developmental potential, and gene expression profile of human HSC are similar to those changes observed in mouse HSC, suggesting that hematopoietic aging is an evolutionarily conserved process.","author":[{"dropping-particle":"","family":"Pang","given":"Wendy W.","non-dropping-particle":"","parse-names":false,"suffix":""},{"dropping-particle":"","family":"Price","given":"Elizabeth A.","non-dropping-particle":"","parse-names":false,"suffix":""},{"dropping-particle":"","family":"Sahoo","given":"Debashis","non-dropping-particle":"","parse-names":false,"suffix":""},{"dropping-particle":"","family":"Beerman","given":"Isabel","non-dropping-particle":"","parse-names":false,"suffix":""},{"dropping-particle":"","family":"Maloney","given":"William J.","non-dropping-particle":"","parse-names":false,"suffix":""},{"dropping-particle":"","family":"Rossi","given":"Derrick J.","non-dropping-particle":"","parse-names":false,"suffix":""},{"dropping-particle":"","family":"Schrier","given":"Stanley L.","non-dropping-particle":"","parse-names":false,"suffix":""},{"dropping-particle":"","family":"Weissman","given":"Irving L.","non-dropping-particle":"","parse-names":false,"suffix":""}],"container-title":"Proceedings of the National Academy of Sciences of the United States of America","id":"ITEM-1","issue":"50","issued":{"date-parts":[["2011"]]},"page":"20012-20017","title":"Human bone marrow hematopoietic stem cells are increased in frequency and myeloid-biased with age","type":"article-journal","volume":"108"},"uris":["http://www.mendeley.com/documents/?uuid=5dbcff56-d9fc-4bc9-953e-02b7a7b5508f"]}],"mendeley":{"formattedCitation":"[3]","plainTextFormattedCitation":"[3]","previouslyFormattedCitation":"[3]"},"properties":{"noteIndex":0},"schema":"https://github.com/citation-style-language/schema/raw/master/csl-citation.json"}</w:instrText>
      </w:r>
      <w:r w:rsidR="008E16D3">
        <w:rPr>
          <w:lang w:val="tr-TR"/>
        </w:rPr>
        <w:fldChar w:fldCharType="separate"/>
      </w:r>
      <w:r w:rsidR="008E16D3" w:rsidRPr="008E16D3">
        <w:rPr>
          <w:noProof/>
          <w:lang w:val="tr-TR"/>
        </w:rPr>
        <w:t>[3]</w:t>
      </w:r>
      <w:r w:rsidR="008E16D3">
        <w:rPr>
          <w:lang w:val="tr-TR"/>
        </w:rPr>
        <w:fldChar w:fldCharType="end"/>
      </w:r>
      <w:r w:rsidRPr="00360DA7">
        <w:rPr>
          <w:lang w:val="tr-TR"/>
        </w:rPr>
        <w:t xml:space="preserve">, </w:t>
      </w:r>
      <w:r w:rsidRPr="00360DA7">
        <w:rPr>
          <w:lang w:val="en"/>
        </w:rPr>
        <w:t xml:space="preserve">these data sets contain a total of 50,000 gene expression of </w:t>
      </w:r>
      <w:r w:rsidR="00FC2DCF">
        <w:rPr>
          <w:lang w:val="en"/>
        </w:rPr>
        <w:t xml:space="preserve">healthy </w:t>
      </w:r>
      <w:r w:rsidRPr="00360DA7">
        <w:rPr>
          <w:lang w:val="en"/>
        </w:rPr>
        <w:t>human bone marrow hematopoietic stem cells in groups of 14 young (20–31 years), 5 middle age (42–61), 8 old (65–85) groups</w:t>
      </w:r>
      <w:r w:rsidRPr="00360DA7">
        <w:rPr>
          <w:lang w:val="tr-TR"/>
        </w:rPr>
        <w:t>.</w:t>
      </w:r>
      <w:r w:rsidR="006A3676">
        <w:rPr>
          <w:lang w:val="tr-TR"/>
        </w:rPr>
        <w:t xml:space="preserve"> </w:t>
      </w:r>
      <w:r w:rsidR="008E16D3">
        <w:t xml:space="preserve"> </w:t>
      </w:r>
      <w:r w:rsidR="00744440" w:rsidRPr="00744440">
        <w:t xml:space="preserve">The GSE32719 data set is analyzed by using the </w:t>
      </w:r>
      <w:proofErr w:type="spellStart"/>
      <w:r w:rsidR="00744440" w:rsidRPr="00744440">
        <w:t>GEOquery</w:t>
      </w:r>
      <w:proofErr w:type="spellEnd"/>
      <w:r w:rsidR="00744440" w:rsidRPr="00744440">
        <w:t xml:space="preserve"> package </w:t>
      </w:r>
      <w:r w:rsidR="008E16D3">
        <w:fldChar w:fldCharType="begin" w:fldLock="1"/>
      </w:r>
      <w:r w:rsidR="008E16D3">
        <w:instrText>ADDIN CSL_CITATION {"citationItems":[{"id":"ITEM-1","itemData":{"DOI":"10.1093/bioinformatics/btm254","author":[{"dropping-particle":"","family":"Davis","given":"Sean","non-dropping-particle":"","parse-names":false,"suffix":""},{"dropping-particle":"","family":"Meltzer","given":"Paul","non-dropping-particle":"","parse-names":false,"suffix":""}],"container-title":"Bioinformatics (Oxford, England)","id":"ITEM-1","issued":{"date-parts":[["2007","8","1"]]},"page":"1846-1847","title":"GEOquery: A bridge between the Gene Expression Omnibus (GEO) and BioConductor","type":"article-journal","volume":"23"},"uris":["http://www.mendeley.com/documents/?uuid=29834cda-2699-45fc-95d6-8ffd9dd2232d"]}],"mendeley":{"formattedCitation":"[4]","plainTextFormattedCitation":"[4]","previouslyFormattedCitation":"[4]"},"properties":{"noteIndex":0},"schema":"https://github.com/citation-style-language/schema/raw/master/csl-citation.json"}</w:instrText>
      </w:r>
      <w:r w:rsidR="008E16D3">
        <w:fldChar w:fldCharType="separate"/>
      </w:r>
      <w:r w:rsidR="008E16D3" w:rsidRPr="008E16D3">
        <w:rPr>
          <w:noProof/>
        </w:rPr>
        <w:t>[4]</w:t>
      </w:r>
      <w:r w:rsidR="008E16D3">
        <w:fldChar w:fldCharType="end"/>
      </w:r>
      <w:r w:rsidR="008E16D3">
        <w:t xml:space="preserve"> </w:t>
      </w:r>
      <w:r w:rsidR="00744440" w:rsidRPr="00744440">
        <w:t xml:space="preserve">in Bioconductor </w:t>
      </w:r>
      <w:r w:rsidR="008E16D3">
        <w:fldChar w:fldCharType="begin" w:fldLock="1"/>
      </w:r>
      <w:r w:rsidR="0058769D">
        <w:instrText>ADDIN CSL_CITATION {"citationItems":[{"id":"ITEM-1","itemData":{"DOI":"10.1080/10618600.1996.10474713","ISSN":"1061-8600","author":[{"dropping-particle":"","family":"Ihaka","given":"Ross","non-dropping-particle":"","parse-names":false,"suffix":""},{"dropping-particle":"","family":"Gentleman","given":"Robert","non-dropping-particle":"","parse-names":false,"suffix":""}],"container-title":"Journal of Computational and Graphical Statistics","id":"ITEM-1","issue":"3","issued":{"date-parts":[["1996","9","1"]]},"note":"doi: 10.1080/10618600.1996.10474713","page":"299-314","publisher":"Taylor &amp; Francis","title":"R: A Language for Data Analysis and Graphics","type":"article-journal","volume":"5"},"uris":["http://www.mendeley.com/documents/?uuid=a7a3c1b7-51b9-4753-af3e-78d88ddc4367"]}],"mendeley":{"formattedCitation":"[5]","plainTextFormattedCitation":"[5]","previouslyFormattedCitation":"[5]"},"properties":{"noteIndex":0},"schema":"https://github.com/citation-style-language/schema/raw/master/csl-citation.json"}</w:instrText>
      </w:r>
      <w:r w:rsidR="008E16D3">
        <w:fldChar w:fldCharType="separate"/>
      </w:r>
      <w:r w:rsidR="008E16D3" w:rsidRPr="008E16D3">
        <w:rPr>
          <w:noProof/>
        </w:rPr>
        <w:t>[5]</w:t>
      </w:r>
      <w:r w:rsidR="008E16D3">
        <w:fldChar w:fldCharType="end"/>
      </w:r>
      <w:r w:rsidR="0058769D">
        <w:t xml:space="preserve"> </w:t>
      </w:r>
      <w:r w:rsidR="00744440" w:rsidRPr="00744440">
        <w:t>following standard procedures in R</w:t>
      </w:r>
      <w:r w:rsidR="0058769D">
        <w:t xml:space="preserve"> studio </w:t>
      </w:r>
      <w:r w:rsidR="0058769D">
        <w:fldChar w:fldCharType="begin" w:fldLock="1"/>
      </w:r>
      <w:r w:rsidR="006409E0">
        <w:instrText>ADDIN CSL_CITATION {"citationItems":[{"id":"ITEM-1","itemData":{"author":[{"dropping-particle":"","family":"R Core Team","given":"","non-dropping-particle":"","parse-names":false,"suffix":""}],"id":"ITEM-1","issued":{"date-parts":[["2020"]]},"title":"R: A language and environment for statistical computing and Foundation for Statistical Computing","type":"article"},"uris":["http://www.mendeley.com/documents/?uuid=fa54d561-1213-43f6-a80c-5572448661a0"]}],"mendeley":{"formattedCitation":"[6]","plainTextFormattedCitation":"[6]","previouslyFormattedCitation":"[6]"},"properties":{"noteIndex":0},"schema":"https://github.com/citation-style-language/schema/raw/master/csl-citation.json"}</w:instrText>
      </w:r>
      <w:r w:rsidR="0058769D">
        <w:fldChar w:fldCharType="separate"/>
      </w:r>
      <w:r w:rsidR="0058769D" w:rsidRPr="0058769D">
        <w:rPr>
          <w:noProof/>
        </w:rPr>
        <w:t>[6]</w:t>
      </w:r>
      <w:r w:rsidR="0058769D">
        <w:fldChar w:fldCharType="end"/>
      </w:r>
      <w:r w:rsidR="00744440" w:rsidRPr="00744440">
        <w:t xml:space="preserve">. The other packages we used in R </w:t>
      </w:r>
      <w:r w:rsidR="006409E0">
        <w:t xml:space="preserve">studio </w:t>
      </w:r>
      <w:r w:rsidR="00744440" w:rsidRPr="00744440">
        <w:t xml:space="preserve">are as the following; </w:t>
      </w:r>
      <w:proofErr w:type="spellStart"/>
      <w:r w:rsidR="00744440" w:rsidRPr="00744440">
        <w:t>Biobase</w:t>
      </w:r>
      <w:proofErr w:type="spellEnd"/>
      <w:r w:rsidR="00744440">
        <w:t xml:space="preserve"> </w:t>
      </w:r>
      <w:r w:rsidR="006409E0">
        <w:fldChar w:fldCharType="begin" w:fldLock="1"/>
      </w:r>
      <w:r w:rsidR="006409E0">
        <w:instrText>ADDIN CSL_CITATION {"citationItems":[{"id":"ITEM-1","itemData":{"DOI":"10.1093/bioinformatics/btm254","author":[{"dropping-particle":"","family":"Davis","given":"Sean","non-dropping-particle":"","parse-names":false,"suffix":""},{"dropping-particle":"","family":"Meltzer","given":"Paul","non-dropping-particle":"","parse-names":false,"suffix":""}],"container-title":"Bioinformatics (Oxford, England)","id":"ITEM-1","issued":{"date-parts":[["2007","8","1"]]},"page":"1846-1847","title":"GEOquery: A bridge between the Gene Expression Omnibus (GEO) and BioConductor","type":"article-journal","volume":"23"},"uris":["http://www.mendeley.com/documents/?uuid=29834cda-2699-45fc-95d6-8ffd9dd2232d"]}],"mendeley":{"formattedCitation":"[4]","plainTextFormattedCitation":"[4]","previouslyFormattedCitation":"[4]"},"properties":{"noteIndex":0},"schema":"https://github.com/citation-style-language/schema/raw/master/csl-citation.json"}</w:instrText>
      </w:r>
      <w:r w:rsidR="006409E0">
        <w:fldChar w:fldCharType="separate"/>
      </w:r>
      <w:r w:rsidR="006409E0" w:rsidRPr="006409E0">
        <w:rPr>
          <w:noProof/>
        </w:rPr>
        <w:t>[4]</w:t>
      </w:r>
      <w:r w:rsidR="006409E0">
        <w:fldChar w:fldCharType="end"/>
      </w:r>
      <w:r w:rsidR="006409E0">
        <w:t xml:space="preserve"> </w:t>
      </w:r>
      <w:r w:rsidR="00744440">
        <w:t xml:space="preserve">and </w:t>
      </w:r>
      <w:proofErr w:type="spellStart"/>
      <w:r w:rsidR="00744440">
        <w:t>gplots</w:t>
      </w:r>
      <w:proofErr w:type="spellEnd"/>
      <w:r w:rsidR="00744440">
        <w:t xml:space="preserve"> </w:t>
      </w:r>
      <w:r w:rsidR="006409E0">
        <w:fldChar w:fldCharType="begin" w:fldLock="1"/>
      </w:r>
      <w:r w:rsidR="006409E0">
        <w:instrText>ADDIN CSL_CITATION {"citationItems":[{"id":"ITEM-1","itemData":{"author":[{"dropping-particle":"","family":"Warnes","given":"Gregory R","non-dropping-particle":"","parse-names":false,"suffix":""},{"dropping-particle":"","family":"Bolker","given":"Ben","non-dropping-particle":"","parse-names":false,"suffix":""},{"dropping-particle":"","family":"Bonebakker","given":"Lodewijk","non-dropping-particle":"","parse-names":false,"suffix":""},{"dropping-particle":"","family":"Gentleman","given":"Robert","non-dropping-particle":"","parse-names":false,"suffix":""},{"dropping-particle":"","family":"Huber","given":"Wolfgang","non-dropping-particle":"","parse-names":false,"suffix":""},{"dropping-particle":"","family":"Liaw","given":"Andy","non-dropping-particle":"","parse-names":false,"suffix":""},{"dropping-particle":"","family":"Lumley","given":"Thomas","non-dropping-particle":"","parse-names":false,"suffix":""},{"dropping-particle":"","family":"Maechler","given":"Martin","non-dropping-particle":"","parse-names":false,"suffix":""},{"dropping-particle":"","family":"Magnusson","given":"Arni","non-dropping-particle":"","parse-names":false,"suffix":""},{"dropping-particle":"","family":"Moeller","given":"Steffen","non-dropping-particle":"","parse-names":false,"suffix":""}],"container-title":"R package version","id":"ITEM-1","issue":"4","issued":{"date-parts":[["2009"]]},"page":"1","title":"gplots: Various R programming tools for plotting data","type":"article-journal","volume":"2"},"uris":["http://www.mendeley.com/documents/?uuid=565bd31c-46ee-4051-a0ba-6f79baf427c0"]}],"mendeley":{"formattedCitation":"[7]","plainTextFormattedCitation":"[7]"},"properties":{"noteIndex":0},"schema":"https://github.com/citation-style-language/schema/raw/master/csl-citation.json"}</w:instrText>
      </w:r>
      <w:r w:rsidR="006409E0">
        <w:fldChar w:fldCharType="separate"/>
      </w:r>
      <w:r w:rsidR="006409E0" w:rsidRPr="006409E0">
        <w:rPr>
          <w:noProof/>
        </w:rPr>
        <w:t>[7]</w:t>
      </w:r>
      <w:r w:rsidR="006409E0">
        <w:fldChar w:fldCharType="end"/>
      </w:r>
      <w:r w:rsidR="006409E0">
        <w:t xml:space="preserve"> </w:t>
      </w:r>
      <w:r w:rsidR="00744440">
        <w:t xml:space="preserve">packages. </w:t>
      </w:r>
    </w:p>
    <w:p w14:paraId="15E706E9" w14:textId="5B00D69C" w:rsidR="00EB205E" w:rsidRDefault="00EB205E" w:rsidP="00C70432"/>
    <w:p w14:paraId="693CEA11" w14:textId="31B3651E" w:rsidR="00EB205E" w:rsidRPr="00360DA7" w:rsidRDefault="00EB205E" w:rsidP="00EB205E">
      <w:r w:rsidRPr="00360DA7">
        <w:lastRenderedPageBreak/>
        <w:t>2.</w:t>
      </w:r>
      <w:r>
        <w:t>2</w:t>
      </w:r>
      <w:r w:rsidRPr="00360DA7">
        <w:t xml:space="preserve">. </w:t>
      </w:r>
      <w:r>
        <w:t>Screening of differentially expressed genes</w:t>
      </w:r>
    </w:p>
    <w:p w14:paraId="4A3600D4" w14:textId="56251FAC" w:rsidR="00EB205E" w:rsidRDefault="00EB205E" w:rsidP="00C70432"/>
    <w:p w14:paraId="5C02F5D9" w14:textId="77777777" w:rsidR="00F21712" w:rsidRDefault="00744440" w:rsidP="00C70432">
      <w:pPr>
        <w:rPr>
          <w:color w:val="222222"/>
          <w:shd w:val="clear" w:color="auto" w:fill="FFFFFF"/>
        </w:rPr>
      </w:pPr>
      <w:r>
        <w:t>We s</w:t>
      </w:r>
      <w:r w:rsidRPr="00744440">
        <w:t xml:space="preserve">eparate </w:t>
      </w:r>
      <w:r>
        <w:t>samples</w:t>
      </w:r>
      <w:r w:rsidRPr="00744440">
        <w:t xml:space="preserve"> into three </w:t>
      </w:r>
      <w:r>
        <w:t>conditions provided that young</w:t>
      </w:r>
      <w:r w:rsidR="00EB205E">
        <w:t>-</w:t>
      </w:r>
      <w:r>
        <w:t>old , young</w:t>
      </w:r>
      <w:r w:rsidR="00EB205E">
        <w:t>-</w:t>
      </w:r>
      <w:r>
        <w:t>middle aged , and middle</w:t>
      </w:r>
      <w:r w:rsidR="00EB205E">
        <w:t>-</w:t>
      </w:r>
      <w:r>
        <w:t>old</w:t>
      </w:r>
      <w:r w:rsidR="00EB205E">
        <w:t xml:space="preserve"> aged</w:t>
      </w:r>
      <w:r>
        <w:t xml:space="preserve">. </w:t>
      </w:r>
      <w:r w:rsidR="00C70432" w:rsidRPr="00C70432">
        <w:rPr>
          <w:rFonts w:ascii="Palatino" w:hAnsi="Palatino"/>
          <w:color w:val="222222"/>
          <w:sz w:val="27"/>
          <w:szCs w:val="27"/>
          <w:shd w:val="clear" w:color="auto" w:fill="FFFFFF"/>
        </w:rPr>
        <w:t> </w:t>
      </w:r>
      <w:r w:rsidR="00C70432" w:rsidRPr="00C70432">
        <w:rPr>
          <w:color w:val="222222"/>
          <w:shd w:val="clear" w:color="auto" w:fill="FFFFFF"/>
        </w:rPr>
        <w:t xml:space="preserve">The data set was normalized </w:t>
      </w:r>
      <w:r w:rsidR="00C70432">
        <w:rPr>
          <w:color w:val="222222"/>
          <w:shd w:val="clear" w:color="auto" w:fill="FFFFFF"/>
        </w:rPr>
        <w:t>by computing</w:t>
      </w:r>
      <w:r w:rsidR="00C70432" w:rsidRPr="00C70432">
        <w:rPr>
          <w:color w:val="222222"/>
          <w:shd w:val="clear" w:color="auto" w:fill="FFFFFF"/>
        </w:rPr>
        <w:t xml:space="preserve"> the means of the samples of each condition</w:t>
      </w:r>
      <w:r w:rsidR="00C70432">
        <w:rPr>
          <w:color w:val="222222"/>
          <w:shd w:val="clear" w:color="auto" w:fill="FFFFFF"/>
        </w:rPr>
        <w:t xml:space="preserve"> </w:t>
      </w:r>
      <w:r w:rsidR="00C70432" w:rsidRPr="00C70432">
        <w:rPr>
          <w:color w:val="222222"/>
          <w:shd w:val="clear" w:color="auto" w:fill="FFFFFF"/>
        </w:rPr>
        <w:t xml:space="preserve">in the the R programming language. </w:t>
      </w:r>
      <w:r w:rsidR="00C70432">
        <w:rPr>
          <w:color w:val="222222"/>
          <w:shd w:val="clear" w:color="auto" w:fill="FFFFFF"/>
        </w:rPr>
        <w:t>The process was performed as c</w:t>
      </w:r>
      <w:r w:rsidR="00C70432" w:rsidRPr="00C70432">
        <w:rPr>
          <w:color w:val="222222"/>
          <w:shd w:val="clear" w:color="auto" w:fill="FFFFFF"/>
        </w:rPr>
        <w:t>omput</w:t>
      </w:r>
      <w:r w:rsidR="00C70432">
        <w:rPr>
          <w:color w:val="222222"/>
          <w:shd w:val="clear" w:color="auto" w:fill="FFFFFF"/>
        </w:rPr>
        <w:t>ing</w:t>
      </w:r>
      <w:r w:rsidR="00C70432" w:rsidRPr="00C70432">
        <w:rPr>
          <w:color w:val="222222"/>
          <w:shd w:val="clear" w:color="auto" w:fill="FFFFFF"/>
        </w:rPr>
        <w:t xml:space="preserve"> fold-change (biological significance)</w:t>
      </w:r>
      <w:r w:rsidR="00C70432">
        <w:rPr>
          <w:color w:val="222222"/>
          <w:shd w:val="clear" w:color="auto" w:fill="FFFFFF"/>
        </w:rPr>
        <w:t xml:space="preserve"> d</w:t>
      </w:r>
      <w:r w:rsidR="00C70432" w:rsidRPr="00C70432">
        <w:rPr>
          <w:color w:val="222222"/>
          <w:shd w:val="clear" w:color="auto" w:fill="FFFFFF"/>
        </w:rPr>
        <w:t>ifference between the means of the conditions</w:t>
      </w:r>
      <w:r w:rsidR="00C70432">
        <w:rPr>
          <w:color w:val="222222"/>
          <w:shd w:val="clear" w:color="auto" w:fill="FFFFFF"/>
        </w:rPr>
        <w:t xml:space="preserve">. We </w:t>
      </w:r>
      <w:r w:rsidR="007B6598">
        <w:rPr>
          <w:color w:val="222222"/>
          <w:shd w:val="clear" w:color="auto" w:fill="FFFFFF"/>
        </w:rPr>
        <w:t>finally</w:t>
      </w:r>
      <w:r w:rsidR="00C70432">
        <w:rPr>
          <w:color w:val="222222"/>
          <w:shd w:val="clear" w:color="auto" w:fill="FFFFFF"/>
        </w:rPr>
        <w:t xml:space="preserve"> find</w:t>
      </w:r>
      <w:r w:rsidR="00C70432" w:rsidRPr="00C70432">
        <w:rPr>
          <w:color w:val="222222"/>
          <w:shd w:val="clear" w:color="auto" w:fill="FFFFFF"/>
        </w:rPr>
        <w:t xml:space="preserve"> statistical significance</w:t>
      </w:r>
      <w:r w:rsidR="007B6598">
        <w:rPr>
          <w:color w:val="222222"/>
          <w:shd w:val="clear" w:color="auto" w:fill="FFFFFF"/>
        </w:rPr>
        <w:t xml:space="preserve"> </w:t>
      </w:r>
      <w:r w:rsidR="00C70432" w:rsidRPr="00C70432">
        <w:rPr>
          <w:color w:val="222222"/>
          <w:shd w:val="clear" w:color="auto" w:fill="FFFFFF"/>
        </w:rPr>
        <w:t>using t-test</w:t>
      </w:r>
      <w:r w:rsidR="007B6598">
        <w:rPr>
          <w:color w:val="222222"/>
          <w:shd w:val="clear" w:color="auto" w:fill="FFFFFF"/>
        </w:rPr>
        <w:t xml:space="preserve"> </w:t>
      </w:r>
      <w:r w:rsidR="00C70432">
        <w:rPr>
          <w:color w:val="222222"/>
          <w:shd w:val="clear" w:color="auto" w:fill="FFFFFF"/>
        </w:rPr>
        <w:t>by taking fold cut-off value</w:t>
      </w:r>
      <w:r w:rsidR="007B6598">
        <w:rPr>
          <w:color w:val="222222"/>
          <w:shd w:val="clear" w:color="auto" w:fill="FFFFFF"/>
        </w:rPr>
        <w:t xml:space="preserve"> 0.075</w:t>
      </w:r>
      <w:r w:rsidR="00C70432">
        <w:rPr>
          <w:color w:val="222222"/>
          <w:shd w:val="clear" w:color="auto" w:fill="FFFFFF"/>
        </w:rPr>
        <w:t xml:space="preserve"> young </w:t>
      </w:r>
      <w:r w:rsidR="007B6598">
        <w:rPr>
          <w:color w:val="222222"/>
          <w:shd w:val="clear" w:color="auto" w:fill="FFFFFF"/>
        </w:rPr>
        <w:t xml:space="preserve">and </w:t>
      </w:r>
      <w:r w:rsidR="00C70432">
        <w:rPr>
          <w:color w:val="222222"/>
          <w:shd w:val="clear" w:color="auto" w:fill="FFFFFF"/>
        </w:rPr>
        <w:t xml:space="preserve">old </w:t>
      </w:r>
      <w:r w:rsidR="007B6598">
        <w:rPr>
          <w:color w:val="222222"/>
          <w:shd w:val="clear" w:color="auto" w:fill="FFFFFF"/>
        </w:rPr>
        <w:t xml:space="preserve">(0.05; young-middle and middle-old samples) and </w:t>
      </w:r>
      <w:r w:rsidR="00C70432">
        <w:rPr>
          <w:color w:val="222222"/>
          <w:shd w:val="clear" w:color="auto" w:fill="FFFFFF"/>
        </w:rPr>
        <w:t xml:space="preserve"> </w:t>
      </w:r>
      <w:r w:rsidR="007B6598">
        <w:rPr>
          <w:color w:val="222222"/>
          <w:shd w:val="clear" w:color="auto" w:fill="FFFFFF"/>
        </w:rPr>
        <w:t xml:space="preserve">p-value cutoff value 0.01 for </w:t>
      </w:r>
      <w:r w:rsidR="00F21712">
        <w:rPr>
          <w:color w:val="222222"/>
          <w:shd w:val="clear" w:color="auto" w:fill="FFFFFF"/>
        </w:rPr>
        <w:t>each</w:t>
      </w:r>
      <w:r w:rsidR="007B6598">
        <w:rPr>
          <w:color w:val="222222"/>
          <w:shd w:val="clear" w:color="auto" w:fill="FFFFFF"/>
        </w:rPr>
        <w:t xml:space="preserve"> conditions. The genes are s</w:t>
      </w:r>
      <w:r w:rsidR="007B6598" w:rsidRPr="007B6598">
        <w:rPr>
          <w:color w:val="222222"/>
          <w:shd w:val="clear" w:color="auto" w:fill="FFFFFF"/>
        </w:rPr>
        <w:t>creen</w:t>
      </w:r>
      <w:r w:rsidR="007B6598">
        <w:rPr>
          <w:color w:val="222222"/>
          <w:shd w:val="clear" w:color="auto" w:fill="FFFFFF"/>
        </w:rPr>
        <w:t>ed</w:t>
      </w:r>
      <w:r w:rsidR="007B6598" w:rsidRPr="007B6598">
        <w:rPr>
          <w:color w:val="222222"/>
          <w:shd w:val="clear" w:color="auto" w:fill="FFFFFF"/>
        </w:rPr>
        <w:t xml:space="preserve"> </w:t>
      </w:r>
      <w:r w:rsidR="007B6598">
        <w:rPr>
          <w:color w:val="222222"/>
          <w:shd w:val="clear" w:color="auto" w:fill="FFFFFF"/>
        </w:rPr>
        <w:t xml:space="preserve">based on </w:t>
      </w:r>
      <w:r w:rsidR="007B6598" w:rsidRPr="007B6598">
        <w:rPr>
          <w:color w:val="222222"/>
          <w:shd w:val="clear" w:color="auto" w:fill="FFFFFF"/>
        </w:rPr>
        <w:t>satisf</w:t>
      </w:r>
      <w:r w:rsidR="007B6598">
        <w:rPr>
          <w:color w:val="222222"/>
          <w:shd w:val="clear" w:color="auto" w:fill="FFFFFF"/>
        </w:rPr>
        <w:t>action of</w:t>
      </w:r>
      <w:r w:rsidR="007B6598" w:rsidRPr="007B6598">
        <w:rPr>
          <w:color w:val="222222"/>
          <w:shd w:val="clear" w:color="auto" w:fill="FFFFFF"/>
        </w:rPr>
        <w:t xml:space="preserve"> the filtering criteria</w:t>
      </w:r>
      <w:r w:rsidR="007B6598">
        <w:rPr>
          <w:color w:val="222222"/>
          <w:shd w:val="clear" w:color="auto" w:fill="FFFFFF"/>
        </w:rPr>
        <w:t xml:space="preserve">. We </w:t>
      </w:r>
      <w:r w:rsidR="007B6598" w:rsidRPr="007B6598">
        <w:rPr>
          <w:color w:val="222222"/>
          <w:shd w:val="clear" w:color="auto" w:fill="FFFFFF"/>
        </w:rPr>
        <w:t>highlight the significantly up-regulated and down-regulated differential expressed genes</w:t>
      </w:r>
      <w:r w:rsidR="00EB205E">
        <w:rPr>
          <w:color w:val="222222"/>
          <w:shd w:val="clear" w:color="auto" w:fill="FFFFFF"/>
        </w:rPr>
        <w:t xml:space="preserve"> (DEGs). </w:t>
      </w:r>
    </w:p>
    <w:p w14:paraId="7180BBDB" w14:textId="77777777" w:rsidR="00F21712" w:rsidRDefault="00F21712" w:rsidP="00C70432">
      <w:pPr>
        <w:rPr>
          <w:color w:val="222222"/>
          <w:shd w:val="clear" w:color="auto" w:fill="FFFFFF"/>
        </w:rPr>
      </w:pPr>
    </w:p>
    <w:p w14:paraId="6819606F" w14:textId="79F09617" w:rsidR="00F21712" w:rsidRDefault="00F21712" w:rsidP="00C70432">
      <w:r w:rsidRPr="00360DA7">
        <w:t>2.</w:t>
      </w:r>
      <w:r>
        <w:t>2</w:t>
      </w:r>
      <w:r w:rsidRPr="00360DA7">
        <w:t xml:space="preserve">. </w:t>
      </w:r>
      <w:r>
        <w:t>Annotation of differentially expressed genes</w:t>
      </w:r>
    </w:p>
    <w:p w14:paraId="1DBAECF7" w14:textId="77777777" w:rsidR="00F21712" w:rsidRPr="00F21712" w:rsidRDefault="00F21712" w:rsidP="00C70432"/>
    <w:p w14:paraId="64FBC0E1" w14:textId="39B59D72" w:rsidR="00FC2DCF" w:rsidRPr="00FC2DCF" w:rsidRDefault="00C70432" w:rsidP="00EB0D0A">
      <w:pPr>
        <w:pStyle w:val="NormalWeb"/>
        <w:jc w:val="both"/>
        <w:rPr>
          <w:rFonts w:ascii="AdvOTaa662bf9" w:hAnsi="AdvOTaa662bf9"/>
          <w:sz w:val="20"/>
          <w:szCs w:val="20"/>
        </w:rPr>
      </w:pPr>
      <w:r w:rsidRPr="00C70432">
        <w:rPr>
          <w:color w:val="222222"/>
          <w:shd w:val="clear" w:color="auto" w:fill="FFFFFF"/>
        </w:rPr>
        <w:t>Expression measurements</w:t>
      </w:r>
      <w:r w:rsidR="00EB205E">
        <w:rPr>
          <w:color w:val="222222"/>
          <w:shd w:val="clear" w:color="auto" w:fill="FFFFFF"/>
        </w:rPr>
        <w:t xml:space="preserve"> annotations</w:t>
      </w:r>
      <w:r w:rsidRPr="00C70432">
        <w:rPr>
          <w:color w:val="222222"/>
          <w:shd w:val="clear" w:color="auto" w:fill="FFFFFF"/>
        </w:rPr>
        <w:t xml:space="preserve"> for </w:t>
      </w:r>
      <w:r w:rsidR="00EB205E">
        <w:rPr>
          <w:color w:val="222222"/>
          <w:shd w:val="clear" w:color="auto" w:fill="FFFFFF"/>
        </w:rPr>
        <w:t xml:space="preserve">up-regulated and down regulated DEGs for each conditions </w:t>
      </w:r>
      <w:r w:rsidRPr="00C70432">
        <w:rPr>
          <w:color w:val="222222"/>
          <w:shd w:val="clear" w:color="auto" w:fill="FFFFFF"/>
        </w:rPr>
        <w:t>probes mapp</w:t>
      </w:r>
      <w:r>
        <w:rPr>
          <w:color w:val="222222"/>
          <w:shd w:val="clear" w:color="auto" w:fill="FFFFFF"/>
        </w:rPr>
        <w:t>ed</w:t>
      </w:r>
      <w:r w:rsidRPr="00C70432">
        <w:rPr>
          <w:color w:val="222222"/>
          <w:shd w:val="clear" w:color="auto" w:fill="FFFFFF"/>
        </w:rPr>
        <w:t xml:space="preserve"> to</w:t>
      </w:r>
      <w:r>
        <w:rPr>
          <w:color w:val="222222"/>
          <w:shd w:val="clear" w:color="auto" w:fill="FFFFFF"/>
        </w:rPr>
        <w:t xml:space="preserve"> </w:t>
      </w:r>
      <w:r w:rsidRPr="00C70432">
        <w:rPr>
          <w:color w:val="222222"/>
          <w:shd w:val="clear" w:color="auto" w:fill="FFFFFF"/>
        </w:rPr>
        <w:t>gene</w:t>
      </w:r>
      <w:r>
        <w:rPr>
          <w:color w:val="222222"/>
          <w:shd w:val="clear" w:color="auto" w:fill="FFFFFF"/>
        </w:rPr>
        <w:t xml:space="preserve"> names using Ensemble </w:t>
      </w:r>
      <w:proofErr w:type="spellStart"/>
      <w:r>
        <w:rPr>
          <w:color w:val="222222"/>
          <w:shd w:val="clear" w:color="auto" w:fill="FFFFFF"/>
        </w:rPr>
        <w:t>Biomart</w:t>
      </w:r>
      <w:proofErr w:type="spellEnd"/>
      <w:r>
        <w:rPr>
          <w:color w:val="222222"/>
          <w:shd w:val="clear" w:color="auto" w:fill="FFFFFF"/>
        </w:rPr>
        <w:t xml:space="preserve"> server</w:t>
      </w:r>
      <w:r w:rsidR="002F547A">
        <w:rPr>
          <w:color w:val="222222"/>
          <w:shd w:val="clear" w:color="auto" w:fill="FFFFFF"/>
        </w:rPr>
        <w:t xml:space="preserve"> </w:t>
      </w:r>
      <w:r w:rsidR="00EB0D0A">
        <w:rPr>
          <w:color w:val="222222"/>
          <w:shd w:val="clear" w:color="auto" w:fill="FFFFFF"/>
        </w:rPr>
        <w:fldChar w:fldCharType="begin" w:fldLock="1"/>
      </w:r>
      <w:r w:rsidR="006409E0">
        <w:rPr>
          <w:color w:val="222222"/>
          <w:shd w:val="clear" w:color="auto" w:fill="FFFFFF"/>
        </w:rPr>
        <w:instrText>ADDIN CSL_CITATION {"citationItems":[{"id":"ITEM-1","itemData":{"DOI":"10.1093/nar/gkz966","ISSN":"0305-1048","abstract":"The Ensembl (https://www.ensembl.org) is a system for generating and distributing genome annotation such as genes, variation, regulation and comparative genomics across the vertebrate subphylum and key model organisms. The Ensembl annotation pipeline is capable of integrating experimental and reference data from multiple providers into a single integrated resource. Here, we present 94 newly annotated and re-annotated genomes, bringing the total number of genomes offered by Ensembl to 227. This represents the single largest expansion of the resource since its inception. We also detail our continued efforts to improve human annotation, developments in our epigenome analysis and display, a new tool for imputing causal genes from genome-wide association studies and visualisation of variation within a 3D protein model. Finally, we present information on our new website. Both software and data are made available without restriction via our website, online tools platform and programmatic interfaces (available under an Apache 2.0 license) and data updates made available four times a year.","author":[{"dropping-particle":"","family":"Yates","given":"Andrew D","non-dropping-particle":"","parse-names":false,"suffix":""},{"dropping-particle":"","family":"Achuthan","given":"Premanand","non-dropping-particle":"","parse-names":false,"suffix":""},{"dropping-particle":"","family":"Akanni","given":"Wasiu","non-dropping-particle":"","parse-names":false,"suffix":""},{"dropping-particle":"","family":"Allen","given":"James","non-dropping-particle":"","parse-names":false,"suffix":""},{"dropping-particle":"","family":"Allen","given":"Jamie","non-dropping-particle":"","parse-names":false,"suffix":""},{"dropping-particle":"","family":"Alvarez-Jarreta","given":"Jorge","non-dropping-particle":"","parse-names":false,"suffix":""},{"dropping-particle":"","family":"Amode","given":"M Ridwan","non-dropping-particle":"","parse-names":false,"suffix":""},{"dropping-particle":"","family":"Armean","given":"Irina M","non-dropping-particle":"","parse-names":false,"suffix":""},{"dropping-particle":"","family":"Azov","given":"Andrey G","non-dropping-particle":"","parse-names":false,"suffix":""},{"dropping-particle":"","family":"Bennett","given":"Ruth","non-dropping-particle":"","parse-names":false,"suffix":""},{"dropping-particle":"","family":"Bhai","given":"Jyothish","non-dropping-particle":"","parse-names":false,"suffix":""},{"dropping-particle":"","family":"Billis","given":"Konstantinos","non-dropping-particle":"","parse-names":false,"suffix":""},{"dropping-particle":"","family":"Boddu","given":"Sanjay","non-dropping-particle":"","parse-names":false,"suffix":""},{"dropping-particle":"","family":"Marugán","given":"José Carlos","non-dropping-particle":"","parse-names":false,"suffix":""},{"dropping-particle":"","family":"Cummins","given":"Carla","non-dropping-particle":"","parse-names":false,"suffix":""},{"dropping-particle":"","family":"Davidson","given":"Claire","non-dropping-particle":"","parse-names":false,"suffix":""},{"dropping-particle":"","family":"Dodiya","given":"Kamalkumar","non-dropping-particle":"","parse-names":false,"suffix":""},{"dropping-particle":"","family":"Fatima","given":"Reham","non-dropping-particle":"","parse-names":false,"suffix":""},{"dropping-particle":"","family":"Gall","given":"Astrid","non-dropping-particle":"","parse-names":false,"suffix":""},{"dropping-particle":"","family":"Giron","given":"Carlos Garcia","non-dropping-particle":"","parse-names":false,"suffix":""},{"dropping-particle":"","family":"Gil","given":"Laurent","non-dropping-particle":"","parse-names":false,"suffix":""},{"dropping-particle":"","family":"Grego","given":"Tiago","non-dropping-particle":"","parse-names":false,"suffix":""},{"dropping-particle":"","family":"Haggerty","given":"Leanne","non-dropping-particle":"","parse-names":false,"suffix":""},{"dropping-particle":"","family":"Haskell","given":"Erin","non-dropping-particle":"","parse-names":false,"suffix":""},{"dropping-particle":"","family":"Hourlier","given":"Thibaut","non-dropping-particle":"","parse-names":false,"suffix":""},{"dropping-particle":"","family":"Izuogu","given":"Osagie G","non-dropping-particle":"","parse-names":false,"suffix":""},{"dropping-particle":"","family":"Janacek","given":"Sophie H","non-dropping-particle":"","parse-names":false,"suffix":""},{"dropping-particle":"","family":"Juettemann","given":"Thomas","non-dropping-particle":"","parse-names":false,"suffix":""},{"dropping-particle":"","family":"Kay","given":"Mike","non-dropping-particle":"","parse-names":false,"suffix":""},{"dropping-particle":"","family":"Lavidas","given":"Ilias","non-dropping-particle":"","parse-names":false,"suffix":""},{"dropping-particle":"","family":"Le","given":"Tuan","non-dropping-particle":"","parse-names":false,"suffix":""},{"dropping-particle":"","family":"Lemos","given":"Diana","non-dropping-particle":"","parse-names":false,"suffix":""},{"dropping-particle":"","family":"Martinez","given":"Jose Gonzalez","non-dropping-particle":"","parse-names":false,"suffix":""},{"dropping-particle":"","family":"Maurel","given":"Thomas","non-dropping-particle":"","parse-names":false,"suffix":""},{"dropping-particle":"","family":"McDowall","given":"Mark","non-dropping-particle":"","parse-names":false,"suffix":""},{"dropping-particle":"","family":"McMahon","given":"Aoife","non-dropping-particle":"","parse-names":false,"suffix":""},{"dropping-particle":"","family":"Mohanan","given":"Shamika","non-dropping-particle":"","parse-names":false,"suffix":""},{"dropping-particle":"","family":"Moore","given":"Benjamin","non-dropping-particle":"","parse-names":false,"suffix":""},{"dropping-particle":"","family":"Nuhn","given":"Michael","non-dropping-particle":"","parse-names":false,"suffix":""},{"dropping-particle":"","family":"Oheh","given":"Denye N","non-dropping-particle":"","parse-names":false,"suffix":""},{"dropping-particle":"","family":"Parker","given":"Anne","non-dropping-particle":"","parse-names":false,"suffix":""},{"dropping-particle":"","family":"Parton","given":"Andrew","non-dropping-particle":"","parse-names":false,"suffix":""},{"dropping-particle":"","family":"Patricio","given":"Mateus","non-dropping-particle":"","parse-names":false,"suffix":""},{"dropping-particle":"","family":"Sakthivel","given":"Manoj Pandian","non-dropping-particle":"","parse-names":false,"suffix":""},{"dropping-particle":"","family":"Abdul Salam","given":"Ahamed Imran","non-dropping-particle":"","parse-names":false,"suffix":""},{"dropping-particle":"","family":"Schmitt","given":"Bianca M","non-dropping-particle":"","parse-names":false,"suffix":""},{"dropping-particle":"","family":"Schuilenburg","given":"Helen","non-dropping-particle":"","parse-names":false,"suffix":""},{"dropping-particle":"","family":"Sheppard","given":"Dan","non-dropping-particle":"","parse-names":false,"suffix":""},{"dropping-particle":"","family":"Sycheva","given":"Mira","non-dropping-particle":"","parse-names":false,"suffix":""},{"dropping-particle":"","family":"Szuba","given":"Marek","non-dropping-particle":"","parse-names":false,"suffix":""},{"dropping-particle":"","family":"Taylor","given":"Kieron","non-dropping-particle":"","parse-names":false,"suffix":""},{"dropping-particle":"","family":"Thormann","given":"Anja","non-dropping-particle":"","parse-names":false,"suffix":""},{"dropping-particle":"","family":"Threadgold","given":"Glen","non-dropping-particle":"","parse-names":false,"suffix":""},{"dropping-particle":"","family":"Vullo","given":"Alessandro","non-dropping-particle":"","parse-names":false,"suffix":""},{"dropping-particle":"","family":"Walts","given":"Brandon","non-dropping-particle":"","parse-names":false,"suffix":""},{"dropping-particle":"","family":"Winterbottom","given":"Andrea","non-dropping-particle":"","parse-names":false,"suffix":""},{"dropping-particle":"","family":"Zadissa","given":"Amonida","non-dropping-particle":"","parse-names":false,"suffix":""},{"dropping-particle":"","family":"Chakiachvili","given":"Marc","non-dropping-particle":"","parse-names":false,"suffix":""},{"dropping-particle":"","family":"Flint","given":"Bethany","non-dropping-particle":"","parse-names":false,"suffix":""},{"dropping-particle":"","family":"Frankish","given":"Adam","non-dropping-particle":"","parse-names":false,"suffix":""},{"dropping-particle":"","family":"Hunt","given":"Sarah E","non-dropping-particle":"","parse-names":false,"suffix":""},{"dropping-particle":"","family":"IIsley","given":"Garth","non-dropping-particle":"","parse-names":false,"suffix":""},{"dropping-particle":"","family":"Kostadima","given":"Myrto","non-dropping-particle":"","parse-names":false,"suffix":""},{"dropping-particle":"","family":"Langridge","given":"Nick","non-dropping-particle":"","parse-names":false,"suffix":""},{"dropping-particle":"","family":"Loveland","given":"Jane E","non-dropping-particle":"","parse-names":false,"suffix":""},{"dropping-particle":"","family":"Martin","given":"Fergal J","non-dropping-particle":"","parse-names":false,"suffix":""},{"dropping-particle":"","family":"Morales","given":"Joannella","non-dropping-particle":"","parse-names":false,"suffix":""},{"dropping-particle":"","family":"Mudge","given":"Jonathan M","non-dropping-particle":"","parse-names":false,"suffix":""},{"dropping-particle":"","family":"Muffato","given":"Matthieu","non-dropping-particle":"","parse-names":false,"suffix":""},{"dropping-particle":"","family":"Perry","given":"Emily","non-dropping-particle":"","parse-names":false,"suffix":""},{"dropping-particle":"","family":"Ruffier","given":"Magali","non-dropping-particle":"","parse-names":false,"suffix":""},{"dropping-particle":"","family":"Trevanion","given":"Stephen J","non-dropping-particle":"","parse-names":false,"suffix":""},{"dropping-particle":"","family":"Cunningham","given":"Fiona","non-dropping-particle":"","parse-names":false,"suffix":""},{"dropping-particle":"","family":"Howe","given":"Kevin L","non-dropping-particle":"","parse-names":false,"suffix":""},{"dropping-particle":"","family":"Zerbino","given":"Daniel R","non-dropping-particle":"","parse-names":false,"suffix":""},{"dropping-particle":"","family":"Flicek","given":"Paul","non-dropping-particle":"","parse-names":false,"suffix":""}],"container-title":"Nucleic Acids Research","id":"ITEM-1","issue":"D1","issued":{"date-parts":[["2019","11","6"]]},"page":"D682-D688","title":"Ensembl 2020","type":"article-journal","volume":"48"},"uris":["http://www.mendeley.com/documents/?uuid=562943dd-4da3-4fd9-9141-cb2de8339db8"]}],"mendeley":{"formattedCitation":"[8]","plainTextFormattedCitation":"[8]","previouslyFormattedCitation":"[7]"},"properties":{"noteIndex":0},"schema":"https://github.com/citation-style-language/schema/raw/master/csl-citation.json"}</w:instrText>
      </w:r>
      <w:r w:rsidR="00EB0D0A">
        <w:rPr>
          <w:color w:val="222222"/>
          <w:shd w:val="clear" w:color="auto" w:fill="FFFFFF"/>
        </w:rPr>
        <w:fldChar w:fldCharType="separate"/>
      </w:r>
      <w:r w:rsidR="006409E0" w:rsidRPr="006409E0">
        <w:rPr>
          <w:noProof/>
          <w:color w:val="222222"/>
          <w:shd w:val="clear" w:color="auto" w:fill="FFFFFF"/>
        </w:rPr>
        <w:t>[8]</w:t>
      </w:r>
      <w:r w:rsidR="00EB0D0A">
        <w:rPr>
          <w:color w:val="222222"/>
          <w:shd w:val="clear" w:color="auto" w:fill="FFFFFF"/>
        </w:rPr>
        <w:fldChar w:fldCharType="end"/>
      </w:r>
      <w:r w:rsidR="00EB0D0A">
        <w:rPr>
          <w:color w:val="222222"/>
          <w:shd w:val="clear" w:color="auto" w:fill="FFFFFF"/>
        </w:rPr>
        <w:t xml:space="preserve">. </w:t>
      </w:r>
      <w:r w:rsidR="00FC2DCF">
        <w:rPr>
          <w:color w:val="222222"/>
          <w:shd w:val="clear" w:color="auto" w:fill="FFFFFF"/>
        </w:rPr>
        <w:t xml:space="preserve">We choose the database Ensemble Genes 100, filtered by genes and uniport id </w:t>
      </w:r>
      <w:r>
        <w:rPr>
          <w:color w:val="222222"/>
          <w:shd w:val="clear" w:color="auto" w:fill="FFFFFF"/>
        </w:rPr>
        <w:t xml:space="preserve"> </w:t>
      </w:r>
      <w:r w:rsidR="00FC2DCF">
        <w:rPr>
          <w:color w:val="222222"/>
          <w:shd w:val="clear" w:color="auto" w:fill="FFFFFF"/>
        </w:rPr>
        <w:t xml:space="preserve">with the related </w:t>
      </w:r>
      <w:proofErr w:type="spellStart"/>
      <w:r w:rsidR="00FC2DCF">
        <w:rPr>
          <w:color w:val="222222"/>
          <w:shd w:val="clear" w:color="auto" w:fill="FFFFFF"/>
        </w:rPr>
        <w:t>Affy</w:t>
      </w:r>
      <w:proofErr w:type="spellEnd"/>
      <w:r w:rsidR="00FC2DCF">
        <w:rPr>
          <w:color w:val="222222"/>
          <w:shd w:val="clear" w:color="auto" w:fill="FFFFFF"/>
        </w:rPr>
        <w:t xml:space="preserve"> ids.  </w:t>
      </w:r>
      <w:r w:rsidR="00F21712" w:rsidRPr="00F21712">
        <w:rPr>
          <w:rFonts w:ascii="AdvOTaa662bf9" w:hAnsi="AdvOTaa662bf9"/>
          <w:sz w:val="20"/>
          <w:szCs w:val="20"/>
        </w:rPr>
        <w:t xml:space="preserve">All characterized genes were carefully </w:t>
      </w:r>
      <w:r w:rsidR="00F21712">
        <w:rPr>
          <w:rFonts w:ascii="AdvOTaa662bf9" w:hAnsi="AdvOTaa662bf9"/>
          <w:sz w:val="20"/>
          <w:szCs w:val="20"/>
        </w:rPr>
        <w:t>investigated</w:t>
      </w:r>
      <w:r w:rsidR="00F21712" w:rsidRPr="00F21712">
        <w:rPr>
          <w:rFonts w:ascii="AdvOTaa662bf9" w:hAnsi="AdvOTaa662bf9"/>
          <w:sz w:val="20"/>
          <w:szCs w:val="20"/>
        </w:rPr>
        <w:t xml:space="preserve"> and additional components like the Universal Protein resource, and physical properties Gene Ontology (GO) and annotation types were derived using </w:t>
      </w:r>
      <w:r w:rsidR="00FC2DCF" w:rsidRPr="00FC2DCF">
        <w:rPr>
          <w:rFonts w:ascii="AdvOTaa662bf9" w:hAnsi="AdvOTaa662bf9"/>
          <w:b/>
          <w:bCs/>
          <w:i/>
          <w:iCs/>
          <w:sz w:val="20"/>
          <w:szCs w:val="20"/>
        </w:rPr>
        <w:t>G</w:t>
      </w:r>
      <w:r w:rsidR="00FC2DCF" w:rsidRPr="00FC2DCF">
        <w:rPr>
          <w:rFonts w:ascii="AdvOTaa662bf9" w:hAnsi="AdvOTaa662bf9"/>
          <w:i/>
          <w:iCs/>
          <w:sz w:val="20"/>
          <w:szCs w:val="20"/>
        </w:rPr>
        <w:t>ene </w:t>
      </w:r>
      <w:r w:rsidR="00FC2DCF" w:rsidRPr="00FC2DCF">
        <w:rPr>
          <w:rFonts w:ascii="AdvOTaa662bf9" w:hAnsi="AdvOTaa662bf9"/>
          <w:b/>
          <w:bCs/>
          <w:i/>
          <w:iCs/>
          <w:sz w:val="20"/>
          <w:szCs w:val="20"/>
        </w:rPr>
        <w:t>O</w:t>
      </w:r>
      <w:r w:rsidR="00FC2DCF" w:rsidRPr="00FC2DCF">
        <w:rPr>
          <w:rFonts w:ascii="AdvOTaa662bf9" w:hAnsi="AdvOTaa662bf9"/>
          <w:i/>
          <w:iCs/>
          <w:sz w:val="20"/>
          <w:szCs w:val="20"/>
        </w:rPr>
        <w:t xml:space="preserve">ntology </w:t>
      </w:r>
      <w:proofErr w:type="spellStart"/>
      <w:r w:rsidR="00FC2DCF">
        <w:rPr>
          <w:rFonts w:ascii="AdvOTaa662bf9" w:hAnsi="AdvOTaa662bf9"/>
          <w:i/>
          <w:iCs/>
          <w:sz w:val="20"/>
          <w:szCs w:val="20"/>
        </w:rPr>
        <w:t>E</w:t>
      </w:r>
      <w:r w:rsidR="00FC2DCF" w:rsidRPr="00FC2DCF">
        <w:rPr>
          <w:rFonts w:ascii="AdvOTaa662bf9" w:hAnsi="AdvOTaa662bf9"/>
          <w:i/>
          <w:iCs/>
          <w:sz w:val="20"/>
          <w:szCs w:val="20"/>
        </w:rPr>
        <w:t>n</w:t>
      </w:r>
      <w:r w:rsidR="00FC2DCF" w:rsidRPr="00FC2DCF">
        <w:rPr>
          <w:rFonts w:ascii="AdvOTaa662bf9" w:hAnsi="AdvOTaa662bf9"/>
          <w:b/>
          <w:bCs/>
          <w:i/>
          <w:iCs/>
          <w:sz w:val="20"/>
          <w:szCs w:val="20"/>
        </w:rPr>
        <w:t>RI</w:t>
      </w:r>
      <w:r w:rsidR="00FC2DCF" w:rsidRPr="00FC2DCF">
        <w:rPr>
          <w:rFonts w:ascii="AdvOTaa662bf9" w:hAnsi="AdvOTaa662bf9"/>
          <w:i/>
          <w:iCs/>
          <w:sz w:val="20"/>
          <w:szCs w:val="20"/>
        </w:rPr>
        <w:t>chment</w:t>
      </w:r>
      <w:proofErr w:type="spellEnd"/>
      <w:r w:rsidR="00FC2DCF" w:rsidRPr="00FC2DCF">
        <w:rPr>
          <w:rFonts w:ascii="AdvOTaa662bf9" w:hAnsi="AdvOTaa662bf9"/>
          <w:i/>
          <w:iCs/>
          <w:sz w:val="20"/>
          <w:szCs w:val="20"/>
        </w:rPr>
        <w:t xml:space="preserve"> </w:t>
      </w:r>
      <w:proofErr w:type="spellStart"/>
      <w:r w:rsidR="00FC2DCF" w:rsidRPr="00FC2DCF">
        <w:rPr>
          <w:rFonts w:ascii="AdvOTaa662bf9" w:hAnsi="AdvOTaa662bf9"/>
          <w:i/>
          <w:iCs/>
          <w:sz w:val="20"/>
          <w:szCs w:val="20"/>
        </w:rPr>
        <w:t>ana</w:t>
      </w:r>
      <w:r w:rsidR="00FC2DCF" w:rsidRPr="00FC2DCF">
        <w:rPr>
          <w:rFonts w:ascii="AdvOTaa662bf9" w:hAnsi="AdvOTaa662bf9"/>
          <w:b/>
          <w:bCs/>
          <w:i/>
          <w:iCs/>
          <w:sz w:val="20"/>
          <w:szCs w:val="20"/>
        </w:rPr>
        <w:t>L</w:t>
      </w:r>
      <w:r w:rsidR="00FC2DCF" w:rsidRPr="00FC2DCF">
        <w:rPr>
          <w:rFonts w:ascii="AdvOTaa662bf9" w:hAnsi="AdvOTaa662bf9"/>
          <w:i/>
          <w:iCs/>
          <w:sz w:val="20"/>
          <w:szCs w:val="20"/>
        </w:rPr>
        <w:t>ysis</w:t>
      </w:r>
      <w:proofErr w:type="spellEnd"/>
      <w:r w:rsidR="00FC2DCF" w:rsidRPr="00FC2DCF">
        <w:rPr>
          <w:rFonts w:ascii="AdvOTaa662bf9" w:hAnsi="AdvOTaa662bf9"/>
          <w:i/>
          <w:iCs/>
          <w:sz w:val="20"/>
          <w:szCs w:val="20"/>
        </w:rPr>
        <w:t xml:space="preserve"> and </w:t>
      </w:r>
      <w:proofErr w:type="spellStart"/>
      <w:r w:rsidR="00FC2DCF">
        <w:rPr>
          <w:rFonts w:ascii="AdvOTaa662bf9" w:hAnsi="AdvOTaa662bf9"/>
          <w:i/>
          <w:iCs/>
          <w:sz w:val="20"/>
          <w:szCs w:val="20"/>
        </w:rPr>
        <w:t>V</w:t>
      </w:r>
      <w:r w:rsidR="00FC2DCF" w:rsidRPr="00FC2DCF">
        <w:rPr>
          <w:rFonts w:ascii="AdvOTaa662bf9" w:hAnsi="AdvOTaa662bf9"/>
          <w:i/>
          <w:iCs/>
          <w:sz w:val="20"/>
          <w:szCs w:val="20"/>
        </w:rPr>
        <w:t>isua</w:t>
      </w:r>
      <w:r w:rsidR="00FC2DCF" w:rsidRPr="00FC2DCF">
        <w:rPr>
          <w:rFonts w:ascii="AdvOTaa662bf9" w:hAnsi="AdvOTaa662bf9"/>
          <w:b/>
          <w:bCs/>
          <w:i/>
          <w:iCs/>
          <w:sz w:val="20"/>
          <w:szCs w:val="20"/>
        </w:rPr>
        <w:t>L</w:t>
      </w:r>
      <w:r w:rsidR="00FC2DCF" w:rsidRPr="00FC2DCF">
        <w:rPr>
          <w:rFonts w:ascii="AdvOTaa662bf9" w:hAnsi="AdvOTaa662bf9"/>
          <w:i/>
          <w:iCs/>
          <w:sz w:val="20"/>
          <w:szCs w:val="20"/>
        </w:rPr>
        <w:t>iz</w:t>
      </w:r>
      <w:r w:rsidR="00FC2DCF" w:rsidRPr="00FC2DCF">
        <w:rPr>
          <w:rFonts w:ascii="AdvOTaa662bf9" w:hAnsi="AdvOTaa662bf9"/>
          <w:b/>
          <w:bCs/>
          <w:i/>
          <w:iCs/>
          <w:sz w:val="20"/>
          <w:szCs w:val="20"/>
        </w:rPr>
        <w:t>A</w:t>
      </w:r>
      <w:r w:rsidR="00FC2DCF" w:rsidRPr="00FC2DCF">
        <w:rPr>
          <w:rFonts w:ascii="AdvOTaa662bf9" w:hAnsi="AdvOTaa662bf9"/>
          <w:i/>
          <w:iCs/>
          <w:sz w:val="20"/>
          <w:szCs w:val="20"/>
        </w:rPr>
        <w:t>tion</w:t>
      </w:r>
      <w:proofErr w:type="spellEnd"/>
      <w:r w:rsidR="00FC2DCF" w:rsidRPr="00FC2DCF">
        <w:rPr>
          <w:rFonts w:ascii="AdvOTaa662bf9" w:hAnsi="AdvOTaa662bf9"/>
          <w:i/>
          <w:iCs/>
          <w:sz w:val="20"/>
          <w:szCs w:val="20"/>
        </w:rPr>
        <w:t xml:space="preserve"> </w:t>
      </w:r>
      <w:r w:rsidR="00FC2DCF">
        <w:rPr>
          <w:rFonts w:ascii="AdvOTaa662bf9" w:hAnsi="AdvOTaa662bf9"/>
          <w:i/>
          <w:iCs/>
          <w:sz w:val="20"/>
          <w:szCs w:val="20"/>
        </w:rPr>
        <w:t>T</w:t>
      </w:r>
      <w:r w:rsidR="00FC2DCF" w:rsidRPr="00FC2DCF">
        <w:rPr>
          <w:rFonts w:ascii="AdvOTaa662bf9" w:hAnsi="AdvOTaa662bf9"/>
          <w:i/>
          <w:iCs/>
          <w:sz w:val="20"/>
          <w:szCs w:val="20"/>
        </w:rPr>
        <w:t>ool</w:t>
      </w:r>
      <w:r w:rsidR="00FC2DCF">
        <w:rPr>
          <w:rFonts w:ascii="AdvOTaa662bf9" w:hAnsi="AdvOTaa662bf9"/>
          <w:i/>
          <w:iCs/>
          <w:sz w:val="20"/>
          <w:szCs w:val="20"/>
        </w:rPr>
        <w:t xml:space="preserve"> (Gorilla) </w:t>
      </w:r>
      <w:bookmarkStart w:id="0" w:name="_GoBack"/>
      <w:bookmarkEnd w:id="0"/>
    </w:p>
    <w:p w14:paraId="64790E3E" w14:textId="15853FAB" w:rsidR="00F21712" w:rsidRPr="00F21712" w:rsidRDefault="00F21712" w:rsidP="00F21712">
      <w:pPr>
        <w:pStyle w:val="NormalWeb"/>
      </w:pPr>
    </w:p>
    <w:p w14:paraId="26EE4C7A" w14:textId="01AD155E" w:rsidR="00C70432" w:rsidRDefault="00C70432" w:rsidP="00C70432">
      <w:pPr>
        <w:rPr>
          <w:color w:val="222222"/>
          <w:shd w:val="clear" w:color="auto" w:fill="FFFFFF"/>
        </w:rPr>
      </w:pPr>
      <w:r>
        <w:rPr>
          <w:color w:val="222222"/>
          <w:shd w:val="clear" w:color="auto" w:fill="FFFFFF"/>
        </w:rPr>
        <w:t xml:space="preserve"> </w:t>
      </w:r>
    </w:p>
    <w:p w14:paraId="1188DD46" w14:textId="13EDDF33" w:rsidR="00EB205E" w:rsidRDefault="00EB0D0A" w:rsidP="00C70432">
      <w:pPr>
        <w:rPr>
          <w:color w:val="222222"/>
          <w:shd w:val="clear" w:color="auto" w:fill="FFFFFF"/>
        </w:rPr>
      </w:pPr>
      <w:r>
        <w:rPr>
          <w:color w:val="222222"/>
          <w:shd w:val="clear" w:color="auto" w:fill="FFFFFF"/>
        </w:rPr>
        <w:t>REFERENCES</w:t>
      </w:r>
    </w:p>
    <w:p w14:paraId="27987621" w14:textId="1EF89839" w:rsidR="00EB0D0A" w:rsidRDefault="00EB0D0A" w:rsidP="00C70432">
      <w:pPr>
        <w:rPr>
          <w:color w:val="222222"/>
          <w:shd w:val="clear" w:color="auto" w:fill="FFFFFF"/>
        </w:rPr>
      </w:pPr>
    </w:p>
    <w:p w14:paraId="4C611A8A" w14:textId="05A9CD3A" w:rsidR="006409E0" w:rsidRPr="006409E0" w:rsidRDefault="00EB0D0A" w:rsidP="006409E0">
      <w:pPr>
        <w:widowControl w:val="0"/>
        <w:autoSpaceDE w:val="0"/>
        <w:autoSpaceDN w:val="0"/>
        <w:adjustRightInd w:val="0"/>
        <w:ind w:left="640" w:hanging="640"/>
        <w:rPr>
          <w:noProof/>
        </w:rPr>
      </w:pPr>
      <w:r>
        <w:rPr>
          <w:color w:val="222222"/>
          <w:shd w:val="clear" w:color="auto" w:fill="FFFFFF"/>
        </w:rPr>
        <w:fldChar w:fldCharType="begin" w:fldLock="1"/>
      </w:r>
      <w:r>
        <w:rPr>
          <w:color w:val="222222"/>
          <w:shd w:val="clear" w:color="auto" w:fill="FFFFFF"/>
        </w:rPr>
        <w:instrText xml:space="preserve">ADDIN Mendeley Bibliography CSL_BIBLIOGRAPHY </w:instrText>
      </w:r>
      <w:r>
        <w:rPr>
          <w:color w:val="222222"/>
          <w:shd w:val="clear" w:color="auto" w:fill="FFFFFF"/>
        </w:rPr>
        <w:fldChar w:fldCharType="separate"/>
      </w:r>
      <w:r w:rsidR="006409E0" w:rsidRPr="006409E0">
        <w:rPr>
          <w:noProof/>
        </w:rPr>
        <w:t>[1]</w:t>
      </w:r>
      <w:r w:rsidR="006409E0" w:rsidRPr="006409E0">
        <w:rPr>
          <w:noProof/>
        </w:rPr>
        <w:tab/>
        <w:t xml:space="preserve">M. Fraga and M. Esteller, “Fraga, M. F. &amp; Esteller, M. Epigenetics and aging: the targets and the marks. Trends Genet. 23, 413-418,” </w:t>
      </w:r>
      <w:r w:rsidR="006409E0" w:rsidRPr="006409E0">
        <w:rPr>
          <w:i/>
          <w:iCs/>
          <w:noProof/>
        </w:rPr>
        <w:t>Trends Genet.</w:t>
      </w:r>
      <w:r w:rsidR="006409E0" w:rsidRPr="006409E0">
        <w:rPr>
          <w:noProof/>
        </w:rPr>
        <w:t>, vol. 23, pp. 413–418, Sep. 2007, doi: 10.1016/j.tig.2007.05.008.</w:t>
      </w:r>
    </w:p>
    <w:p w14:paraId="4443FCAB" w14:textId="77777777" w:rsidR="006409E0" w:rsidRPr="006409E0" w:rsidRDefault="006409E0" w:rsidP="006409E0">
      <w:pPr>
        <w:widowControl w:val="0"/>
        <w:autoSpaceDE w:val="0"/>
        <w:autoSpaceDN w:val="0"/>
        <w:adjustRightInd w:val="0"/>
        <w:ind w:left="640" w:hanging="640"/>
        <w:rPr>
          <w:noProof/>
        </w:rPr>
      </w:pPr>
      <w:r w:rsidRPr="006409E0">
        <w:rPr>
          <w:noProof/>
        </w:rPr>
        <w:t>[2]</w:t>
      </w:r>
      <w:r w:rsidRPr="006409E0">
        <w:rPr>
          <w:noProof/>
        </w:rPr>
        <w:tab/>
        <w:t xml:space="preserve">M. P. Rodero </w:t>
      </w:r>
      <w:r w:rsidRPr="006409E0">
        <w:rPr>
          <w:i/>
          <w:iCs/>
          <w:noProof/>
        </w:rPr>
        <w:t>et al.</w:t>
      </w:r>
      <w:r w:rsidRPr="006409E0">
        <w:rPr>
          <w:noProof/>
        </w:rPr>
        <w:t xml:space="preserve">, “Immune surveillance of the lung by migrating tissue monocytes,” </w:t>
      </w:r>
      <w:r w:rsidRPr="006409E0">
        <w:rPr>
          <w:i/>
          <w:iCs/>
          <w:noProof/>
        </w:rPr>
        <w:t>Elife</w:t>
      </w:r>
      <w:r w:rsidRPr="006409E0">
        <w:rPr>
          <w:noProof/>
        </w:rPr>
        <w:t>, vol. 4, pp. e07847–e07847, Jul. 2015, doi: 10.7554/eLife.07847.</w:t>
      </w:r>
    </w:p>
    <w:p w14:paraId="7F411278" w14:textId="77777777" w:rsidR="006409E0" w:rsidRPr="006409E0" w:rsidRDefault="006409E0" w:rsidP="006409E0">
      <w:pPr>
        <w:widowControl w:val="0"/>
        <w:autoSpaceDE w:val="0"/>
        <w:autoSpaceDN w:val="0"/>
        <w:adjustRightInd w:val="0"/>
        <w:ind w:left="640" w:hanging="640"/>
        <w:rPr>
          <w:noProof/>
        </w:rPr>
      </w:pPr>
      <w:r w:rsidRPr="006409E0">
        <w:rPr>
          <w:noProof/>
        </w:rPr>
        <w:t>[3]</w:t>
      </w:r>
      <w:r w:rsidRPr="006409E0">
        <w:rPr>
          <w:noProof/>
        </w:rPr>
        <w:tab/>
        <w:t xml:space="preserve">W. W. Pang </w:t>
      </w:r>
      <w:r w:rsidRPr="006409E0">
        <w:rPr>
          <w:i/>
          <w:iCs/>
          <w:noProof/>
        </w:rPr>
        <w:t>et al.</w:t>
      </w:r>
      <w:r w:rsidRPr="006409E0">
        <w:rPr>
          <w:noProof/>
        </w:rPr>
        <w:t xml:space="preserve">, “Human bone marrow hematopoietic stem cells are increased in frequency and myeloid-biased with age,” </w:t>
      </w:r>
      <w:r w:rsidRPr="006409E0">
        <w:rPr>
          <w:i/>
          <w:iCs/>
          <w:noProof/>
        </w:rPr>
        <w:t>Proc. Natl. Acad. Sci. U. S. A.</w:t>
      </w:r>
      <w:r w:rsidRPr="006409E0">
        <w:rPr>
          <w:noProof/>
        </w:rPr>
        <w:t>, vol. 108, no. 50, pp. 20012–20017, 2011, doi: 10.1073/pnas.1116110108.</w:t>
      </w:r>
    </w:p>
    <w:p w14:paraId="7E6E8A70" w14:textId="77777777" w:rsidR="006409E0" w:rsidRPr="006409E0" w:rsidRDefault="006409E0" w:rsidP="006409E0">
      <w:pPr>
        <w:widowControl w:val="0"/>
        <w:autoSpaceDE w:val="0"/>
        <w:autoSpaceDN w:val="0"/>
        <w:adjustRightInd w:val="0"/>
        <w:ind w:left="640" w:hanging="640"/>
        <w:rPr>
          <w:noProof/>
        </w:rPr>
      </w:pPr>
      <w:r w:rsidRPr="006409E0">
        <w:rPr>
          <w:noProof/>
        </w:rPr>
        <w:t>[4]</w:t>
      </w:r>
      <w:r w:rsidRPr="006409E0">
        <w:rPr>
          <w:noProof/>
        </w:rPr>
        <w:tab/>
        <w:t xml:space="preserve">S. Davis and P. Meltzer, “GEOquery: A bridge between the Gene Expression Omnibus (GEO) and BioConductor,” </w:t>
      </w:r>
      <w:r w:rsidRPr="006409E0">
        <w:rPr>
          <w:i/>
          <w:iCs/>
          <w:noProof/>
        </w:rPr>
        <w:t>Bioinformatics</w:t>
      </w:r>
      <w:r w:rsidRPr="006409E0">
        <w:rPr>
          <w:noProof/>
        </w:rPr>
        <w:t>, vol. 23, pp. 1846–1847, Aug. 2007, doi: 10.1093/bioinformatics/btm254.</w:t>
      </w:r>
    </w:p>
    <w:p w14:paraId="71C1ECD6" w14:textId="77777777" w:rsidR="006409E0" w:rsidRPr="006409E0" w:rsidRDefault="006409E0" w:rsidP="006409E0">
      <w:pPr>
        <w:widowControl w:val="0"/>
        <w:autoSpaceDE w:val="0"/>
        <w:autoSpaceDN w:val="0"/>
        <w:adjustRightInd w:val="0"/>
        <w:ind w:left="640" w:hanging="640"/>
        <w:rPr>
          <w:noProof/>
        </w:rPr>
      </w:pPr>
      <w:r w:rsidRPr="006409E0">
        <w:rPr>
          <w:noProof/>
        </w:rPr>
        <w:t>[5]</w:t>
      </w:r>
      <w:r w:rsidRPr="006409E0">
        <w:rPr>
          <w:noProof/>
        </w:rPr>
        <w:tab/>
        <w:t xml:space="preserve">R. Ihaka and R. Gentleman, “R: A Language for Data Analysis and Graphics,” </w:t>
      </w:r>
      <w:r w:rsidRPr="006409E0">
        <w:rPr>
          <w:i/>
          <w:iCs/>
          <w:noProof/>
        </w:rPr>
        <w:t>J. Comput. Graph. Stat.</w:t>
      </w:r>
      <w:r w:rsidRPr="006409E0">
        <w:rPr>
          <w:noProof/>
        </w:rPr>
        <w:t>, vol. 5, no. 3, pp. 299–314, Sep. 1996, doi: 10.1080/10618600.1996.10474713.</w:t>
      </w:r>
    </w:p>
    <w:p w14:paraId="37A7BB37" w14:textId="77777777" w:rsidR="006409E0" w:rsidRPr="006409E0" w:rsidRDefault="006409E0" w:rsidP="006409E0">
      <w:pPr>
        <w:widowControl w:val="0"/>
        <w:autoSpaceDE w:val="0"/>
        <w:autoSpaceDN w:val="0"/>
        <w:adjustRightInd w:val="0"/>
        <w:ind w:left="640" w:hanging="640"/>
        <w:rPr>
          <w:noProof/>
        </w:rPr>
      </w:pPr>
      <w:r w:rsidRPr="006409E0">
        <w:rPr>
          <w:noProof/>
        </w:rPr>
        <w:t>[6]</w:t>
      </w:r>
      <w:r w:rsidRPr="006409E0">
        <w:rPr>
          <w:noProof/>
        </w:rPr>
        <w:tab/>
        <w:t>R Core Team, “R: A language and environment for statistical computing and Foundation for Statistical Computing.” 2020.</w:t>
      </w:r>
    </w:p>
    <w:p w14:paraId="38C5EEFE" w14:textId="77777777" w:rsidR="006409E0" w:rsidRPr="006409E0" w:rsidRDefault="006409E0" w:rsidP="006409E0">
      <w:pPr>
        <w:widowControl w:val="0"/>
        <w:autoSpaceDE w:val="0"/>
        <w:autoSpaceDN w:val="0"/>
        <w:adjustRightInd w:val="0"/>
        <w:ind w:left="640" w:hanging="640"/>
        <w:rPr>
          <w:noProof/>
        </w:rPr>
      </w:pPr>
      <w:r w:rsidRPr="006409E0">
        <w:rPr>
          <w:noProof/>
        </w:rPr>
        <w:t>[7]</w:t>
      </w:r>
      <w:r w:rsidRPr="006409E0">
        <w:rPr>
          <w:noProof/>
        </w:rPr>
        <w:tab/>
        <w:t xml:space="preserve">G. R. Warnes </w:t>
      </w:r>
      <w:r w:rsidRPr="006409E0">
        <w:rPr>
          <w:i/>
          <w:iCs/>
          <w:noProof/>
        </w:rPr>
        <w:t>et al.</w:t>
      </w:r>
      <w:r w:rsidRPr="006409E0">
        <w:rPr>
          <w:noProof/>
        </w:rPr>
        <w:t xml:space="preserve">, “gplots: Various R programming tools for plotting data,” </w:t>
      </w:r>
      <w:r w:rsidRPr="006409E0">
        <w:rPr>
          <w:i/>
          <w:iCs/>
          <w:noProof/>
        </w:rPr>
        <w:t>R Packag. version</w:t>
      </w:r>
      <w:r w:rsidRPr="006409E0">
        <w:rPr>
          <w:noProof/>
        </w:rPr>
        <w:t>, vol. 2, no. 4, p. 1, 2009.</w:t>
      </w:r>
    </w:p>
    <w:p w14:paraId="1C6E6117" w14:textId="77777777" w:rsidR="006409E0" w:rsidRPr="006409E0" w:rsidRDefault="006409E0" w:rsidP="006409E0">
      <w:pPr>
        <w:widowControl w:val="0"/>
        <w:autoSpaceDE w:val="0"/>
        <w:autoSpaceDN w:val="0"/>
        <w:adjustRightInd w:val="0"/>
        <w:ind w:left="640" w:hanging="640"/>
        <w:rPr>
          <w:noProof/>
        </w:rPr>
      </w:pPr>
      <w:r w:rsidRPr="006409E0">
        <w:rPr>
          <w:noProof/>
        </w:rPr>
        <w:t>[8]</w:t>
      </w:r>
      <w:r w:rsidRPr="006409E0">
        <w:rPr>
          <w:noProof/>
        </w:rPr>
        <w:tab/>
        <w:t xml:space="preserve">A. D. Yates </w:t>
      </w:r>
      <w:r w:rsidRPr="006409E0">
        <w:rPr>
          <w:i/>
          <w:iCs/>
          <w:noProof/>
        </w:rPr>
        <w:t>et al.</w:t>
      </w:r>
      <w:r w:rsidRPr="006409E0">
        <w:rPr>
          <w:noProof/>
        </w:rPr>
        <w:t xml:space="preserve">, “Ensembl 2020,” </w:t>
      </w:r>
      <w:r w:rsidRPr="006409E0">
        <w:rPr>
          <w:i/>
          <w:iCs/>
          <w:noProof/>
        </w:rPr>
        <w:t>Nucleic Acids Res.</w:t>
      </w:r>
      <w:r w:rsidRPr="006409E0">
        <w:rPr>
          <w:noProof/>
        </w:rPr>
        <w:t>, vol. 48, no. D1, pp. D682–D688, Nov. 2019, doi: 10.1093/nar/gkz966.</w:t>
      </w:r>
    </w:p>
    <w:p w14:paraId="41F47A14" w14:textId="0765F662" w:rsidR="00EB0D0A" w:rsidRDefault="00EB0D0A" w:rsidP="006409E0">
      <w:pPr>
        <w:widowControl w:val="0"/>
        <w:autoSpaceDE w:val="0"/>
        <w:autoSpaceDN w:val="0"/>
        <w:adjustRightInd w:val="0"/>
        <w:ind w:left="640" w:hanging="640"/>
        <w:rPr>
          <w:color w:val="222222"/>
          <w:shd w:val="clear" w:color="auto" w:fill="FFFFFF"/>
        </w:rPr>
      </w:pPr>
      <w:r>
        <w:rPr>
          <w:color w:val="222222"/>
          <w:shd w:val="clear" w:color="auto" w:fill="FFFFFF"/>
        </w:rPr>
        <w:fldChar w:fldCharType="end"/>
      </w:r>
    </w:p>
    <w:p w14:paraId="17070332" w14:textId="77777777" w:rsidR="00EB205E" w:rsidRPr="00C70432" w:rsidRDefault="00EB205E" w:rsidP="00C70432">
      <w:pPr>
        <w:rPr>
          <w:color w:val="222222"/>
          <w:shd w:val="clear" w:color="auto" w:fill="FFFFFF"/>
        </w:rPr>
      </w:pPr>
    </w:p>
    <w:p w14:paraId="0104BC98" w14:textId="45EBA881" w:rsidR="00744440" w:rsidRPr="00744440" w:rsidRDefault="00744440" w:rsidP="00744440">
      <w:pPr>
        <w:pStyle w:val="NormalWeb"/>
      </w:pPr>
    </w:p>
    <w:p w14:paraId="325D73A2" w14:textId="1BFF7B17" w:rsidR="00360DA7" w:rsidRPr="00360DA7" w:rsidRDefault="00360DA7" w:rsidP="00360DA7"/>
    <w:p w14:paraId="4DE99451" w14:textId="77777777" w:rsidR="00360DA7" w:rsidRDefault="00360DA7"/>
    <w:sectPr w:rsidR="00360DA7" w:rsidSect="007C6B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F2A20" w14:textId="77777777" w:rsidR="00527C03" w:rsidRDefault="00527C03">
      <w:r>
        <w:separator/>
      </w:r>
    </w:p>
  </w:endnote>
  <w:endnote w:type="continuationSeparator" w:id="0">
    <w:p w14:paraId="00F1A8DB" w14:textId="77777777" w:rsidR="00527C03" w:rsidRDefault="0052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AdvOTaa662bf9">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0D0A2CA" w14:paraId="5662E952" w14:textId="77777777" w:rsidTr="20D0A2CA">
      <w:tc>
        <w:tcPr>
          <w:tcW w:w="3120" w:type="dxa"/>
        </w:tcPr>
        <w:p w14:paraId="1251D193" w14:textId="21EB5804" w:rsidR="20D0A2CA" w:rsidRDefault="20D0A2CA" w:rsidP="20D0A2CA">
          <w:pPr>
            <w:pStyle w:val="Header"/>
            <w:ind w:left="-115"/>
          </w:pPr>
        </w:p>
      </w:tc>
      <w:tc>
        <w:tcPr>
          <w:tcW w:w="3120" w:type="dxa"/>
        </w:tcPr>
        <w:p w14:paraId="724148DF" w14:textId="14B2312C" w:rsidR="20D0A2CA" w:rsidRDefault="20D0A2CA" w:rsidP="20D0A2CA">
          <w:pPr>
            <w:pStyle w:val="Header"/>
            <w:jc w:val="center"/>
          </w:pPr>
        </w:p>
      </w:tc>
      <w:tc>
        <w:tcPr>
          <w:tcW w:w="3120" w:type="dxa"/>
        </w:tcPr>
        <w:p w14:paraId="77BF4D71" w14:textId="1FDD9519" w:rsidR="20D0A2CA" w:rsidRDefault="20D0A2CA" w:rsidP="20D0A2CA">
          <w:pPr>
            <w:pStyle w:val="Header"/>
            <w:ind w:right="-115"/>
            <w:jc w:val="right"/>
          </w:pPr>
        </w:p>
      </w:tc>
    </w:tr>
  </w:tbl>
  <w:p w14:paraId="1C308FEA" w14:textId="222A9FF6" w:rsidR="20D0A2CA" w:rsidRDefault="20D0A2CA" w:rsidP="20D0A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73F20" w14:textId="77777777" w:rsidR="00527C03" w:rsidRDefault="00527C03">
      <w:r>
        <w:separator/>
      </w:r>
    </w:p>
  </w:footnote>
  <w:footnote w:type="continuationSeparator" w:id="0">
    <w:p w14:paraId="068BB2B7" w14:textId="77777777" w:rsidR="00527C03" w:rsidRDefault="00527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0D0A2CA" w14:paraId="230FF1BD" w14:textId="77777777" w:rsidTr="20D0A2CA">
      <w:tc>
        <w:tcPr>
          <w:tcW w:w="3120" w:type="dxa"/>
        </w:tcPr>
        <w:p w14:paraId="5A315B54" w14:textId="1A2B952B" w:rsidR="20D0A2CA" w:rsidRDefault="20D0A2CA" w:rsidP="20D0A2CA">
          <w:pPr>
            <w:pStyle w:val="Header"/>
            <w:ind w:left="-115"/>
          </w:pPr>
        </w:p>
      </w:tc>
      <w:tc>
        <w:tcPr>
          <w:tcW w:w="3120" w:type="dxa"/>
        </w:tcPr>
        <w:p w14:paraId="0300DF08" w14:textId="556DD677" w:rsidR="20D0A2CA" w:rsidRDefault="20D0A2CA" w:rsidP="20D0A2CA">
          <w:pPr>
            <w:pStyle w:val="Header"/>
            <w:jc w:val="center"/>
          </w:pPr>
        </w:p>
      </w:tc>
      <w:tc>
        <w:tcPr>
          <w:tcW w:w="3120" w:type="dxa"/>
        </w:tcPr>
        <w:p w14:paraId="6A7CB4D3" w14:textId="0BCFE654" w:rsidR="20D0A2CA" w:rsidRDefault="20D0A2CA" w:rsidP="20D0A2CA">
          <w:pPr>
            <w:pStyle w:val="Header"/>
            <w:ind w:right="-115"/>
            <w:jc w:val="right"/>
          </w:pPr>
        </w:p>
      </w:tc>
    </w:tr>
  </w:tbl>
  <w:p w14:paraId="7ADE59F6" w14:textId="3AE7F639" w:rsidR="20D0A2CA" w:rsidRDefault="20D0A2CA" w:rsidP="20D0A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B9"/>
    <w:rsid w:val="00012DB5"/>
    <w:rsid w:val="000B30DC"/>
    <w:rsid w:val="001542EE"/>
    <w:rsid w:val="001A0DFB"/>
    <w:rsid w:val="001C4828"/>
    <w:rsid w:val="002765A7"/>
    <w:rsid w:val="002F547A"/>
    <w:rsid w:val="003449AB"/>
    <w:rsid w:val="00360DA7"/>
    <w:rsid w:val="00397414"/>
    <w:rsid w:val="003D662E"/>
    <w:rsid w:val="003E711D"/>
    <w:rsid w:val="00471728"/>
    <w:rsid w:val="00475F36"/>
    <w:rsid w:val="004910EA"/>
    <w:rsid w:val="004F553F"/>
    <w:rsid w:val="00503A49"/>
    <w:rsid w:val="00527C03"/>
    <w:rsid w:val="0058769D"/>
    <w:rsid w:val="006409E0"/>
    <w:rsid w:val="006A3676"/>
    <w:rsid w:val="007054AD"/>
    <w:rsid w:val="00713EED"/>
    <w:rsid w:val="00744440"/>
    <w:rsid w:val="007B6598"/>
    <w:rsid w:val="007C6B39"/>
    <w:rsid w:val="007F5675"/>
    <w:rsid w:val="00842426"/>
    <w:rsid w:val="008933B9"/>
    <w:rsid w:val="00894756"/>
    <w:rsid w:val="008E16D3"/>
    <w:rsid w:val="00991BB8"/>
    <w:rsid w:val="00A06BED"/>
    <w:rsid w:val="00A8087A"/>
    <w:rsid w:val="00A87F37"/>
    <w:rsid w:val="00AC3B0E"/>
    <w:rsid w:val="00AF4D79"/>
    <w:rsid w:val="00C33BCF"/>
    <w:rsid w:val="00C35D37"/>
    <w:rsid w:val="00C70432"/>
    <w:rsid w:val="00CA68E2"/>
    <w:rsid w:val="00CF1802"/>
    <w:rsid w:val="00E23D91"/>
    <w:rsid w:val="00E66A63"/>
    <w:rsid w:val="00EB0D0A"/>
    <w:rsid w:val="00EB205E"/>
    <w:rsid w:val="00F21712"/>
    <w:rsid w:val="00FC2DCF"/>
    <w:rsid w:val="16307548"/>
    <w:rsid w:val="178F9352"/>
    <w:rsid w:val="20D0A2CA"/>
    <w:rsid w:val="24635D36"/>
    <w:rsid w:val="36CC68BB"/>
    <w:rsid w:val="38D6AEAE"/>
    <w:rsid w:val="6E0BC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D5D0B"/>
  <w15:chartTrackingRefBased/>
  <w15:docId w15:val="{2F17D7FF-C48A-3C40-8027-3DF6FA2B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3B9"/>
    <w:rPr>
      <w:color w:val="0563C1" w:themeColor="hyperlink"/>
      <w:u w:val="single"/>
    </w:rPr>
  </w:style>
  <w:style w:type="paragraph" w:customStyle="1" w:styleId="AbsHead">
    <w:name w:val="AbsHead"/>
    <w:link w:val="AbsHeadChar"/>
    <w:autoRedefine/>
    <w:qFormat/>
    <w:rsid w:val="008933B9"/>
    <w:pPr>
      <w:spacing w:before="120" w:after="80"/>
    </w:pPr>
    <w:rPr>
      <w:rFonts w:ascii="Times New Roman" w:hAnsi="Times New Roman" w:cs="Times New Roman"/>
      <w:b/>
      <w:lang w:val="fr-FR"/>
      <w14:ligatures w14:val="standard"/>
    </w:rPr>
  </w:style>
  <w:style w:type="character" w:customStyle="1" w:styleId="AbsHeadChar">
    <w:name w:val="AbsHead Char"/>
    <w:basedOn w:val="DefaultParagraphFont"/>
    <w:link w:val="AbsHead"/>
    <w:rsid w:val="008933B9"/>
    <w:rPr>
      <w:rFonts w:ascii="Times New Roman" w:hAnsi="Times New Roman" w:cs="Times New Roman"/>
      <w:b/>
      <w:lang w:val="fr-FR"/>
      <w14:ligatures w14:val="standard"/>
    </w:rPr>
  </w:style>
  <w:style w:type="paragraph" w:styleId="NoSpacing">
    <w:name w:val="No Spacing"/>
    <w:uiPriority w:val="1"/>
    <w:qFormat/>
    <w:rsid w:val="008933B9"/>
    <w:rPr>
      <w:sz w:val="22"/>
      <w:szCs w:val="22"/>
    </w:rPr>
  </w:style>
  <w:style w:type="paragraph" w:customStyle="1" w:styleId="Els-Author">
    <w:name w:val="Els-Author"/>
    <w:next w:val="Normal"/>
    <w:autoRedefine/>
    <w:rsid w:val="008933B9"/>
    <w:pPr>
      <w:keepNext/>
      <w:tabs>
        <w:tab w:val="left" w:pos="6640"/>
      </w:tabs>
      <w:suppressAutoHyphens/>
      <w:spacing w:after="180" w:line="300" w:lineRule="exact"/>
      <w:jc w:val="center"/>
    </w:pPr>
    <w:rPr>
      <w:rFonts w:ascii="Times New Roman" w:eastAsia="SimSun" w:hAnsi="Times New Roman" w:cs="Times New Roman"/>
      <w:i/>
      <w:noProof/>
    </w:rPr>
  </w:style>
  <w:style w:type="character" w:styleId="CommentReference">
    <w:name w:val="annotation reference"/>
    <w:basedOn w:val="DefaultParagraphFont"/>
    <w:uiPriority w:val="99"/>
    <w:semiHidden/>
    <w:unhideWhenUsed/>
    <w:rsid w:val="003449AB"/>
    <w:rPr>
      <w:sz w:val="16"/>
      <w:szCs w:val="16"/>
    </w:rPr>
  </w:style>
  <w:style w:type="paragraph" w:styleId="CommentText">
    <w:name w:val="annotation text"/>
    <w:basedOn w:val="Normal"/>
    <w:link w:val="CommentTextChar"/>
    <w:uiPriority w:val="99"/>
    <w:semiHidden/>
    <w:unhideWhenUsed/>
    <w:rsid w:val="003449AB"/>
    <w:rPr>
      <w:sz w:val="20"/>
      <w:szCs w:val="20"/>
    </w:rPr>
  </w:style>
  <w:style w:type="character" w:customStyle="1" w:styleId="CommentTextChar">
    <w:name w:val="Comment Text Char"/>
    <w:basedOn w:val="DefaultParagraphFont"/>
    <w:link w:val="CommentText"/>
    <w:uiPriority w:val="99"/>
    <w:semiHidden/>
    <w:rsid w:val="003449A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449AB"/>
    <w:rPr>
      <w:b/>
      <w:bCs/>
    </w:rPr>
  </w:style>
  <w:style w:type="character" w:customStyle="1" w:styleId="CommentSubjectChar">
    <w:name w:val="Comment Subject Char"/>
    <w:basedOn w:val="CommentTextChar"/>
    <w:link w:val="CommentSubject"/>
    <w:uiPriority w:val="99"/>
    <w:semiHidden/>
    <w:rsid w:val="003449A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449AB"/>
    <w:rPr>
      <w:sz w:val="18"/>
      <w:szCs w:val="18"/>
    </w:rPr>
  </w:style>
  <w:style w:type="character" w:customStyle="1" w:styleId="BalloonTextChar">
    <w:name w:val="Balloon Text Char"/>
    <w:basedOn w:val="DefaultParagraphFont"/>
    <w:link w:val="BalloonText"/>
    <w:uiPriority w:val="99"/>
    <w:semiHidden/>
    <w:rsid w:val="003449AB"/>
    <w:rPr>
      <w:rFonts w:ascii="Times New Roman" w:eastAsia="Times New Roman" w:hAnsi="Times New Roman" w:cs="Times New Roman"/>
      <w:sz w:val="18"/>
      <w:szCs w:val="18"/>
    </w:rPr>
  </w:style>
  <w:style w:type="paragraph" w:styleId="NormalWeb">
    <w:name w:val="Normal (Web)"/>
    <w:basedOn w:val="Normal"/>
    <w:uiPriority w:val="99"/>
    <w:semiHidden/>
    <w:unhideWhenUsed/>
    <w:rsid w:val="003D662E"/>
    <w:pPr>
      <w:spacing w:before="100" w:beforeAutospacing="1" w:after="100" w:afterAutospacing="1"/>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9987">
      <w:bodyDiv w:val="1"/>
      <w:marLeft w:val="0"/>
      <w:marRight w:val="0"/>
      <w:marTop w:val="0"/>
      <w:marBottom w:val="0"/>
      <w:divBdr>
        <w:top w:val="none" w:sz="0" w:space="0" w:color="auto"/>
        <w:left w:val="none" w:sz="0" w:space="0" w:color="auto"/>
        <w:bottom w:val="none" w:sz="0" w:space="0" w:color="auto"/>
        <w:right w:val="none" w:sz="0" w:space="0" w:color="auto"/>
      </w:divBdr>
      <w:divsChild>
        <w:div w:id="287705078">
          <w:marLeft w:val="0"/>
          <w:marRight w:val="0"/>
          <w:marTop w:val="0"/>
          <w:marBottom w:val="0"/>
          <w:divBdr>
            <w:top w:val="none" w:sz="0" w:space="0" w:color="auto"/>
            <w:left w:val="none" w:sz="0" w:space="0" w:color="auto"/>
            <w:bottom w:val="none" w:sz="0" w:space="0" w:color="auto"/>
            <w:right w:val="none" w:sz="0" w:space="0" w:color="auto"/>
          </w:divBdr>
          <w:divsChild>
            <w:div w:id="1874532694">
              <w:marLeft w:val="0"/>
              <w:marRight w:val="0"/>
              <w:marTop w:val="0"/>
              <w:marBottom w:val="0"/>
              <w:divBdr>
                <w:top w:val="none" w:sz="0" w:space="0" w:color="auto"/>
                <w:left w:val="none" w:sz="0" w:space="0" w:color="auto"/>
                <w:bottom w:val="none" w:sz="0" w:space="0" w:color="auto"/>
                <w:right w:val="none" w:sz="0" w:space="0" w:color="auto"/>
              </w:divBdr>
              <w:divsChild>
                <w:div w:id="10836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29246">
      <w:bodyDiv w:val="1"/>
      <w:marLeft w:val="0"/>
      <w:marRight w:val="0"/>
      <w:marTop w:val="0"/>
      <w:marBottom w:val="0"/>
      <w:divBdr>
        <w:top w:val="none" w:sz="0" w:space="0" w:color="auto"/>
        <w:left w:val="none" w:sz="0" w:space="0" w:color="auto"/>
        <w:bottom w:val="none" w:sz="0" w:space="0" w:color="auto"/>
        <w:right w:val="none" w:sz="0" w:space="0" w:color="auto"/>
      </w:divBdr>
      <w:divsChild>
        <w:div w:id="99763819">
          <w:marLeft w:val="0"/>
          <w:marRight w:val="0"/>
          <w:marTop w:val="0"/>
          <w:marBottom w:val="0"/>
          <w:divBdr>
            <w:top w:val="none" w:sz="0" w:space="0" w:color="auto"/>
            <w:left w:val="none" w:sz="0" w:space="0" w:color="auto"/>
            <w:bottom w:val="none" w:sz="0" w:space="0" w:color="auto"/>
            <w:right w:val="none" w:sz="0" w:space="0" w:color="auto"/>
          </w:divBdr>
          <w:divsChild>
            <w:div w:id="1018316545">
              <w:marLeft w:val="0"/>
              <w:marRight w:val="0"/>
              <w:marTop w:val="0"/>
              <w:marBottom w:val="0"/>
              <w:divBdr>
                <w:top w:val="none" w:sz="0" w:space="0" w:color="auto"/>
                <w:left w:val="none" w:sz="0" w:space="0" w:color="auto"/>
                <w:bottom w:val="none" w:sz="0" w:space="0" w:color="auto"/>
                <w:right w:val="none" w:sz="0" w:space="0" w:color="auto"/>
              </w:divBdr>
              <w:divsChild>
                <w:div w:id="15596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52275">
      <w:bodyDiv w:val="1"/>
      <w:marLeft w:val="0"/>
      <w:marRight w:val="0"/>
      <w:marTop w:val="0"/>
      <w:marBottom w:val="0"/>
      <w:divBdr>
        <w:top w:val="none" w:sz="0" w:space="0" w:color="auto"/>
        <w:left w:val="none" w:sz="0" w:space="0" w:color="auto"/>
        <w:bottom w:val="none" w:sz="0" w:space="0" w:color="auto"/>
        <w:right w:val="none" w:sz="0" w:space="0" w:color="auto"/>
      </w:divBdr>
    </w:div>
    <w:div w:id="1256399414">
      <w:bodyDiv w:val="1"/>
      <w:marLeft w:val="0"/>
      <w:marRight w:val="0"/>
      <w:marTop w:val="0"/>
      <w:marBottom w:val="0"/>
      <w:divBdr>
        <w:top w:val="none" w:sz="0" w:space="0" w:color="auto"/>
        <w:left w:val="none" w:sz="0" w:space="0" w:color="auto"/>
        <w:bottom w:val="none" w:sz="0" w:space="0" w:color="auto"/>
        <w:right w:val="none" w:sz="0" w:space="0" w:color="auto"/>
      </w:divBdr>
    </w:div>
    <w:div w:id="1689715477">
      <w:bodyDiv w:val="1"/>
      <w:marLeft w:val="0"/>
      <w:marRight w:val="0"/>
      <w:marTop w:val="0"/>
      <w:marBottom w:val="0"/>
      <w:divBdr>
        <w:top w:val="none" w:sz="0" w:space="0" w:color="auto"/>
        <w:left w:val="none" w:sz="0" w:space="0" w:color="auto"/>
        <w:bottom w:val="none" w:sz="0" w:space="0" w:color="auto"/>
        <w:right w:val="none" w:sz="0" w:space="0" w:color="auto"/>
      </w:divBdr>
      <w:divsChild>
        <w:div w:id="2007976694">
          <w:marLeft w:val="0"/>
          <w:marRight w:val="0"/>
          <w:marTop w:val="0"/>
          <w:marBottom w:val="0"/>
          <w:divBdr>
            <w:top w:val="none" w:sz="0" w:space="0" w:color="auto"/>
            <w:left w:val="none" w:sz="0" w:space="0" w:color="auto"/>
            <w:bottom w:val="none" w:sz="0" w:space="0" w:color="auto"/>
            <w:right w:val="none" w:sz="0" w:space="0" w:color="auto"/>
          </w:divBdr>
          <w:divsChild>
            <w:div w:id="303510098">
              <w:marLeft w:val="0"/>
              <w:marRight w:val="0"/>
              <w:marTop w:val="0"/>
              <w:marBottom w:val="0"/>
              <w:divBdr>
                <w:top w:val="none" w:sz="0" w:space="0" w:color="auto"/>
                <w:left w:val="none" w:sz="0" w:space="0" w:color="auto"/>
                <w:bottom w:val="none" w:sz="0" w:space="0" w:color="auto"/>
                <w:right w:val="none" w:sz="0" w:space="0" w:color="auto"/>
              </w:divBdr>
              <w:divsChild>
                <w:div w:id="850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1245">
      <w:bodyDiv w:val="1"/>
      <w:marLeft w:val="0"/>
      <w:marRight w:val="0"/>
      <w:marTop w:val="0"/>
      <w:marBottom w:val="0"/>
      <w:divBdr>
        <w:top w:val="none" w:sz="0" w:space="0" w:color="auto"/>
        <w:left w:val="none" w:sz="0" w:space="0" w:color="auto"/>
        <w:bottom w:val="none" w:sz="0" w:space="0" w:color="auto"/>
        <w:right w:val="none" w:sz="0" w:space="0" w:color="auto"/>
      </w:divBdr>
      <w:divsChild>
        <w:div w:id="1577933676">
          <w:marLeft w:val="0"/>
          <w:marRight w:val="0"/>
          <w:marTop w:val="0"/>
          <w:marBottom w:val="0"/>
          <w:divBdr>
            <w:top w:val="none" w:sz="0" w:space="0" w:color="auto"/>
            <w:left w:val="none" w:sz="0" w:space="0" w:color="auto"/>
            <w:bottom w:val="none" w:sz="0" w:space="0" w:color="auto"/>
            <w:right w:val="none" w:sz="0" w:space="0" w:color="auto"/>
          </w:divBdr>
          <w:divsChild>
            <w:div w:id="2044212804">
              <w:marLeft w:val="0"/>
              <w:marRight w:val="0"/>
              <w:marTop w:val="0"/>
              <w:marBottom w:val="0"/>
              <w:divBdr>
                <w:top w:val="none" w:sz="0" w:space="0" w:color="auto"/>
                <w:left w:val="none" w:sz="0" w:space="0" w:color="auto"/>
                <w:bottom w:val="none" w:sz="0" w:space="0" w:color="auto"/>
                <w:right w:val="none" w:sz="0" w:space="0" w:color="auto"/>
              </w:divBdr>
              <w:divsChild>
                <w:div w:id="1700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ine.guven@duzce.edu.t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{39F02236-01B7-4A4C-BF6B-11B268FCBB75}</b:Guid>
    <b:RefOrder>1</b:RefOrder>
  </b:Source>
</b:Sources>
</file>

<file path=customXml/itemProps1.xml><?xml version="1.0" encoding="utf-8"?>
<ds:datastoreItem xmlns:ds="http://schemas.openxmlformats.org/officeDocument/2006/customXml" ds:itemID="{40A5EB6F-19D4-1143-AAEA-65A81125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5364</Words>
  <Characters>30578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Guven, Emine</dc:creator>
  <cp:keywords/>
  <dc:description/>
  <cp:lastModifiedBy>emine isceviren</cp:lastModifiedBy>
  <cp:revision>3</cp:revision>
  <dcterms:created xsi:type="dcterms:W3CDTF">2020-08-19T12:13:00Z</dcterms:created>
  <dcterms:modified xsi:type="dcterms:W3CDTF">2020-08-19T12:51:00Z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735e81d1-655b-358f-8107-3cf809625000</vt:lpwstr>
  </property>
</Properties>
</file>