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F29B7" w14:textId="196EC3DF" w:rsidR="00376E96" w:rsidRPr="00CB4414" w:rsidRDefault="00376E96" w:rsidP="00376E96">
      <w:pPr>
        <w:pStyle w:val="Heading2"/>
        <w:rPr>
          <w:b/>
          <w:sz w:val="18"/>
          <w:szCs w:val="18"/>
        </w:rPr>
      </w:pPr>
      <w:r w:rsidRPr="00CB4414">
        <w:rPr>
          <w:b/>
          <w:sz w:val="18"/>
          <w:szCs w:val="18"/>
        </w:rPr>
        <w:t>1.Materials and Methods</w:t>
      </w:r>
    </w:p>
    <w:p w14:paraId="330D1F19" w14:textId="77777777" w:rsidR="00376E96" w:rsidRPr="00CB4414" w:rsidRDefault="00376E96" w:rsidP="00376E96">
      <w:pPr>
        <w:rPr>
          <w:sz w:val="18"/>
          <w:szCs w:val="18"/>
        </w:rPr>
      </w:pPr>
    </w:p>
    <w:p w14:paraId="46500ACD" w14:textId="722DE4C7" w:rsidR="00376E96" w:rsidRPr="00CB4414" w:rsidRDefault="00376E96" w:rsidP="00376E96">
      <w:pPr>
        <w:pStyle w:val="Heading2"/>
        <w:rPr>
          <w:sz w:val="18"/>
          <w:szCs w:val="18"/>
        </w:rPr>
      </w:pPr>
      <w:r w:rsidRPr="00CB4414">
        <w:rPr>
          <w:sz w:val="18"/>
          <w:szCs w:val="18"/>
        </w:rPr>
        <w:t>1.1 Differentially Expresses Genes</w:t>
      </w:r>
    </w:p>
    <w:p w14:paraId="5A52BC42" w14:textId="77777777" w:rsidR="00376E96" w:rsidRPr="00CB4414" w:rsidRDefault="00376E96" w:rsidP="00376E96">
      <w:pPr>
        <w:rPr>
          <w:sz w:val="18"/>
          <w:szCs w:val="18"/>
        </w:rPr>
      </w:pPr>
    </w:p>
    <w:p w14:paraId="758A71AD" w14:textId="5A03FB33" w:rsidR="00376E96" w:rsidRPr="00CB4414" w:rsidRDefault="00A556D2" w:rsidP="00981D78">
      <w:pPr>
        <w:rPr>
          <w:sz w:val="18"/>
          <w:szCs w:val="18"/>
        </w:rPr>
      </w:pPr>
      <w:r w:rsidRPr="00CB4414">
        <w:rPr>
          <w:sz w:val="18"/>
          <w:szCs w:val="18"/>
        </w:rPr>
        <w:t>With gene expression result</w:t>
      </w:r>
      <w:r w:rsidR="00B35828" w:rsidRPr="00CB4414">
        <w:rPr>
          <w:sz w:val="18"/>
          <w:szCs w:val="18"/>
        </w:rPr>
        <w:t xml:space="preserve"> of the GSE32719 data set</w:t>
      </w:r>
      <w:r w:rsidRPr="00CB4414">
        <w:rPr>
          <w:sz w:val="18"/>
          <w:szCs w:val="18"/>
        </w:rPr>
        <w:t>, we detect Differentially Expressed Gene (</w:t>
      </w:r>
      <w:r w:rsidRPr="00CB4414">
        <w:rPr>
          <w:b/>
          <w:bCs/>
          <w:iCs/>
          <w:sz w:val="18"/>
          <w:szCs w:val="18"/>
        </w:rPr>
        <w:t>DEG</w:t>
      </w:r>
      <w:r w:rsidRPr="00CB4414">
        <w:rPr>
          <w:sz w:val="18"/>
          <w:szCs w:val="18"/>
        </w:rPr>
        <w:t xml:space="preserve">) between conditions from </w:t>
      </w:r>
      <w:r w:rsidR="00B35828" w:rsidRPr="00CB4414">
        <w:rPr>
          <w:sz w:val="18"/>
          <w:szCs w:val="18"/>
        </w:rPr>
        <w:t>young-old</w:t>
      </w:r>
      <w:r w:rsidRPr="00CB4414">
        <w:rPr>
          <w:sz w:val="18"/>
          <w:szCs w:val="18"/>
        </w:rPr>
        <w:t xml:space="preserve"> </w:t>
      </w:r>
      <w:r w:rsidR="00B35828" w:rsidRPr="00CB4414">
        <w:rPr>
          <w:sz w:val="18"/>
          <w:szCs w:val="18"/>
        </w:rPr>
        <w:t>and</w:t>
      </w:r>
      <w:r w:rsidRPr="00CB4414">
        <w:rPr>
          <w:sz w:val="18"/>
          <w:szCs w:val="18"/>
        </w:rPr>
        <w:t xml:space="preserve"> </w:t>
      </w:r>
      <w:r w:rsidR="00B35828" w:rsidRPr="00CB4414">
        <w:rPr>
          <w:sz w:val="18"/>
          <w:szCs w:val="18"/>
        </w:rPr>
        <w:t>young</w:t>
      </w:r>
      <w:r w:rsidRPr="00CB4414">
        <w:rPr>
          <w:sz w:val="18"/>
          <w:szCs w:val="18"/>
        </w:rPr>
        <w:t>-</w:t>
      </w:r>
      <w:r w:rsidR="00B35828" w:rsidRPr="00CB4414">
        <w:rPr>
          <w:sz w:val="18"/>
          <w:szCs w:val="18"/>
        </w:rPr>
        <w:t>middle aged</w:t>
      </w:r>
      <w:r w:rsidR="00376E96" w:rsidRPr="00CB4414">
        <w:rPr>
          <w:sz w:val="18"/>
          <w:szCs w:val="18"/>
        </w:rPr>
        <w:t xml:space="preserve"> </w:t>
      </w:r>
      <w:r w:rsidR="00B35828" w:rsidRPr="00CB4414">
        <w:rPr>
          <w:sz w:val="18"/>
          <w:szCs w:val="18"/>
        </w:rPr>
        <w:t>sample</w:t>
      </w:r>
      <w:r w:rsidR="00376E96" w:rsidRPr="00CB4414">
        <w:rPr>
          <w:sz w:val="18"/>
          <w:szCs w:val="18"/>
        </w:rPr>
        <w:t xml:space="preserve">s. </w:t>
      </w:r>
      <w:r w:rsidR="003C4733" w:rsidRPr="00CB4414">
        <w:rPr>
          <w:sz w:val="18"/>
          <w:szCs w:val="18"/>
        </w:rPr>
        <w:t xml:space="preserve">We </w:t>
      </w:r>
      <w:r w:rsidR="00B35828" w:rsidRPr="00CB4414">
        <w:rPr>
          <w:sz w:val="18"/>
          <w:szCs w:val="18"/>
        </w:rPr>
        <w:t>find</w:t>
      </w:r>
      <w:r w:rsidR="003C4733" w:rsidRPr="00CB4414">
        <w:rPr>
          <w:sz w:val="18"/>
          <w:szCs w:val="18"/>
        </w:rPr>
        <w:t xml:space="preserve"> the </w:t>
      </w:r>
      <w:r w:rsidR="00B35828" w:rsidRPr="00CB4414">
        <w:rPr>
          <w:sz w:val="18"/>
          <w:szCs w:val="18"/>
        </w:rPr>
        <w:t xml:space="preserve">up-regulated and down-regulated differentially </w:t>
      </w:r>
      <w:r w:rsidR="003C4733" w:rsidRPr="00CB4414">
        <w:rPr>
          <w:sz w:val="18"/>
          <w:szCs w:val="18"/>
        </w:rPr>
        <w:t>expressed gene</w:t>
      </w:r>
      <w:r w:rsidR="00B35828" w:rsidRPr="00CB4414">
        <w:rPr>
          <w:sz w:val="18"/>
          <w:szCs w:val="18"/>
        </w:rPr>
        <w:t>s</w:t>
      </w:r>
      <w:r w:rsidR="003C4733" w:rsidRPr="00CB4414">
        <w:rPr>
          <w:sz w:val="18"/>
          <w:szCs w:val="18"/>
        </w:rPr>
        <w:t xml:space="preserve"> between conditions</w:t>
      </w:r>
      <w:r w:rsidR="00B35828" w:rsidRPr="00CB4414">
        <w:rPr>
          <w:sz w:val="18"/>
          <w:szCs w:val="18"/>
        </w:rPr>
        <w:t>.</w:t>
      </w:r>
    </w:p>
    <w:p w14:paraId="0E7AAB4C" w14:textId="77777777" w:rsidR="00376E96" w:rsidRPr="00CB4414" w:rsidRDefault="00376E96" w:rsidP="00981D78">
      <w:pPr>
        <w:rPr>
          <w:sz w:val="18"/>
          <w:szCs w:val="18"/>
        </w:rPr>
      </w:pPr>
    </w:p>
    <w:p w14:paraId="130A3650" w14:textId="1D8CB91F" w:rsidR="00376E96" w:rsidRPr="00CB4414" w:rsidRDefault="00376E96" w:rsidP="00376E96">
      <w:pPr>
        <w:rPr>
          <w:sz w:val="18"/>
          <w:szCs w:val="18"/>
        </w:rPr>
      </w:pPr>
      <w:r w:rsidRPr="00CB4414">
        <w:rPr>
          <w:sz w:val="18"/>
          <w:szCs w:val="18"/>
        </w:rPr>
        <w:t xml:space="preserve">We also investigate up and down regulated gene expressions between </w:t>
      </w:r>
      <w:r w:rsidR="00D93577" w:rsidRPr="00CB4414">
        <w:rPr>
          <w:b/>
          <w:sz w:val="18"/>
          <w:szCs w:val="18"/>
        </w:rPr>
        <w:t>young-old, young-middle</w:t>
      </w:r>
      <w:r w:rsidR="00D93577" w:rsidRPr="00CB4414">
        <w:rPr>
          <w:sz w:val="18"/>
          <w:szCs w:val="18"/>
        </w:rPr>
        <w:t>, and</w:t>
      </w:r>
      <w:r w:rsidR="00D93577" w:rsidRPr="00CB4414">
        <w:rPr>
          <w:b/>
          <w:sz w:val="18"/>
          <w:szCs w:val="18"/>
        </w:rPr>
        <w:t xml:space="preserve"> middle-old</w:t>
      </w:r>
      <w:r w:rsidRPr="00CB4414">
        <w:rPr>
          <w:sz w:val="18"/>
          <w:szCs w:val="18"/>
        </w:rPr>
        <w:t xml:space="preserve"> conditions.</w:t>
      </w:r>
    </w:p>
    <w:p w14:paraId="2A04684C" w14:textId="1AAEC340" w:rsidR="00981D78" w:rsidRPr="00CB4414" w:rsidRDefault="00376E96" w:rsidP="00981D78">
      <w:pPr>
        <w:rPr>
          <w:sz w:val="18"/>
          <w:szCs w:val="18"/>
        </w:rPr>
      </w:pPr>
      <w:r w:rsidRPr="00CB4414">
        <w:rPr>
          <w:sz w:val="18"/>
          <w:szCs w:val="18"/>
        </w:rPr>
        <w:t xml:space="preserve">We detected </w:t>
      </w:r>
      <w:r w:rsidR="00D93577" w:rsidRPr="00CB4414">
        <w:rPr>
          <w:sz w:val="18"/>
          <w:szCs w:val="18"/>
        </w:rPr>
        <w:t>17</w:t>
      </w:r>
      <w:r w:rsidRPr="00CB4414">
        <w:rPr>
          <w:sz w:val="18"/>
          <w:szCs w:val="18"/>
        </w:rPr>
        <w:t xml:space="preserve"> differentially expressed genes of down regulation, whereas we find </w:t>
      </w:r>
      <w:r w:rsidR="00D93577" w:rsidRPr="00CB4414">
        <w:rPr>
          <w:sz w:val="18"/>
          <w:szCs w:val="18"/>
        </w:rPr>
        <w:t>19</w:t>
      </w:r>
      <w:r w:rsidRPr="00CB4414">
        <w:rPr>
          <w:sz w:val="18"/>
          <w:szCs w:val="18"/>
        </w:rPr>
        <w:t xml:space="preserve"> up-regulated genes between high and low conditions.</w:t>
      </w:r>
    </w:p>
    <w:p w14:paraId="09D25B48" w14:textId="77777777" w:rsidR="00376E96" w:rsidRPr="00CB4414" w:rsidRDefault="00376E96" w:rsidP="00981D78">
      <w:pPr>
        <w:rPr>
          <w:sz w:val="18"/>
          <w:szCs w:val="18"/>
        </w:rPr>
      </w:pPr>
    </w:p>
    <w:p w14:paraId="526A8955" w14:textId="77777777" w:rsidR="003A617C" w:rsidRPr="00CB4414" w:rsidRDefault="003A617C" w:rsidP="00981D78">
      <w:pPr>
        <w:rPr>
          <w:sz w:val="18"/>
          <w:szCs w:val="18"/>
        </w:rPr>
      </w:pPr>
    </w:p>
    <w:p w14:paraId="5C235FC3" w14:textId="77777777" w:rsidR="003A617C" w:rsidRPr="00CB4414" w:rsidRDefault="003A617C" w:rsidP="00981D78">
      <w:pPr>
        <w:rPr>
          <w:sz w:val="18"/>
          <w:szCs w:val="1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17C" w:rsidRPr="00CB4414" w14:paraId="0A73D096" w14:textId="77777777" w:rsidTr="003A6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F0FBF4" w14:textId="20FC4C06" w:rsidR="003A617C" w:rsidRPr="00CB4414" w:rsidRDefault="003A617C" w:rsidP="00981D78">
            <w:pPr>
              <w:rPr>
                <w:sz w:val="18"/>
                <w:szCs w:val="18"/>
              </w:rPr>
            </w:pPr>
            <w:r w:rsidRPr="00CB4414">
              <w:rPr>
                <w:sz w:val="18"/>
                <w:szCs w:val="18"/>
              </w:rPr>
              <w:t xml:space="preserve">Conditions Compared </w:t>
            </w:r>
          </w:p>
        </w:tc>
        <w:tc>
          <w:tcPr>
            <w:tcW w:w="3117" w:type="dxa"/>
          </w:tcPr>
          <w:p w14:paraId="04FE8F34" w14:textId="36CE0434" w:rsidR="003A617C" w:rsidRPr="00CB4414" w:rsidRDefault="003A617C" w:rsidP="00981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4414">
              <w:rPr>
                <w:sz w:val="18"/>
                <w:szCs w:val="18"/>
              </w:rPr>
              <w:t>down-regulated</w:t>
            </w:r>
          </w:p>
        </w:tc>
        <w:tc>
          <w:tcPr>
            <w:tcW w:w="3117" w:type="dxa"/>
          </w:tcPr>
          <w:p w14:paraId="34C87D18" w14:textId="1B1AD91F" w:rsidR="003A617C" w:rsidRPr="00CB4414" w:rsidRDefault="003A617C" w:rsidP="00981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4414">
              <w:rPr>
                <w:sz w:val="18"/>
                <w:szCs w:val="18"/>
              </w:rPr>
              <w:t>up-regulated</w:t>
            </w:r>
          </w:p>
        </w:tc>
      </w:tr>
      <w:tr w:rsidR="003A617C" w:rsidRPr="00CB4414" w14:paraId="1C95D7E3" w14:textId="77777777" w:rsidTr="003A6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15B192" w14:textId="18A09A7F" w:rsidR="003A617C" w:rsidRPr="00CB4414" w:rsidRDefault="00D93577" w:rsidP="00981D78">
            <w:pPr>
              <w:rPr>
                <w:sz w:val="18"/>
                <w:szCs w:val="18"/>
              </w:rPr>
            </w:pPr>
            <w:r w:rsidRPr="00CB4414">
              <w:rPr>
                <w:sz w:val="18"/>
                <w:szCs w:val="18"/>
              </w:rPr>
              <w:t>young-old</w:t>
            </w:r>
            <w:r w:rsidR="003A617C" w:rsidRPr="00CB4414">
              <w:rPr>
                <w:sz w:val="18"/>
                <w:szCs w:val="18"/>
              </w:rPr>
              <w:t xml:space="preserve"> </w:t>
            </w:r>
          </w:p>
        </w:tc>
        <w:tc>
          <w:tcPr>
            <w:tcW w:w="3117" w:type="dxa"/>
          </w:tcPr>
          <w:p w14:paraId="1349EA2C" w14:textId="3DC0DF2E" w:rsidR="003A617C" w:rsidRPr="00CB4414" w:rsidRDefault="00D93577" w:rsidP="0098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4414">
              <w:rPr>
                <w:sz w:val="18"/>
                <w:szCs w:val="18"/>
              </w:rPr>
              <w:t>9</w:t>
            </w:r>
          </w:p>
        </w:tc>
        <w:tc>
          <w:tcPr>
            <w:tcW w:w="3117" w:type="dxa"/>
          </w:tcPr>
          <w:p w14:paraId="15A957B1" w14:textId="6597BC3A" w:rsidR="003A617C" w:rsidRPr="00CB4414" w:rsidRDefault="00B33CD0" w:rsidP="0098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4414">
              <w:rPr>
                <w:sz w:val="18"/>
                <w:szCs w:val="18"/>
              </w:rPr>
              <w:t>21</w:t>
            </w:r>
          </w:p>
        </w:tc>
      </w:tr>
      <w:tr w:rsidR="003A617C" w:rsidRPr="00CB4414" w14:paraId="76B76FE9" w14:textId="77777777" w:rsidTr="003A6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87F299" w14:textId="4E273AE6" w:rsidR="003A617C" w:rsidRPr="00CB4414" w:rsidRDefault="00D93577" w:rsidP="00981D78">
            <w:pPr>
              <w:rPr>
                <w:sz w:val="18"/>
                <w:szCs w:val="18"/>
              </w:rPr>
            </w:pPr>
            <w:r w:rsidRPr="00CB4414">
              <w:rPr>
                <w:sz w:val="18"/>
                <w:szCs w:val="18"/>
              </w:rPr>
              <w:t>young-</w:t>
            </w:r>
            <w:r w:rsidR="003A617C" w:rsidRPr="00CB4414">
              <w:rPr>
                <w:sz w:val="18"/>
                <w:szCs w:val="18"/>
              </w:rPr>
              <w:t>middle</w:t>
            </w:r>
          </w:p>
        </w:tc>
        <w:tc>
          <w:tcPr>
            <w:tcW w:w="3117" w:type="dxa"/>
          </w:tcPr>
          <w:p w14:paraId="6972B295" w14:textId="15B99C23" w:rsidR="003A617C" w:rsidRPr="00CB4414" w:rsidRDefault="0017366B" w:rsidP="0098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4414">
              <w:rPr>
                <w:sz w:val="18"/>
                <w:szCs w:val="18"/>
              </w:rPr>
              <w:t>15</w:t>
            </w:r>
          </w:p>
        </w:tc>
        <w:tc>
          <w:tcPr>
            <w:tcW w:w="3117" w:type="dxa"/>
          </w:tcPr>
          <w:p w14:paraId="7039DBF0" w14:textId="3F9F0BD7" w:rsidR="003A617C" w:rsidRPr="00CB4414" w:rsidRDefault="0017366B" w:rsidP="0098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4414">
              <w:rPr>
                <w:sz w:val="18"/>
                <w:szCs w:val="18"/>
              </w:rPr>
              <w:t>51</w:t>
            </w:r>
          </w:p>
        </w:tc>
      </w:tr>
      <w:tr w:rsidR="003A617C" w:rsidRPr="00CB4414" w14:paraId="6ED4799A" w14:textId="77777777" w:rsidTr="003A6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4D22DF" w14:textId="2FF4C65C" w:rsidR="003A617C" w:rsidRPr="00CB4414" w:rsidRDefault="00D93577" w:rsidP="00981D78">
            <w:pPr>
              <w:rPr>
                <w:sz w:val="18"/>
                <w:szCs w:val="18"/>
              </w:rPr>
            </w:pPr>
            <w:r w:rsidRPr="00CB4414">
              <w:rPr>
                <w:sz w:val="18"/>
                <w:szCs w:val="18"/>
              </w:rPr>
              <w:t>middle-old</w:t>
            </w:r>
          </w:p>
        </w:tc>
        <w:tc>
          <w:tcPr>
            <w:tcW w:w="3117" w:type="dxa"/>
          </w:tcPr>
          <w:p w14:paraId="083FAE24" w14:textId="6CDD956D" w:rsidR="003A617C" w:rsidRPr="00CB4414" w:rsidRDefault="00D93577" w:rsidP="0098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4414">
              <w:rPr>
                <w:sz w:val="18"/>
                <w:szCs w:val="18"/>
              </w:rPr>
              <w:t>-</w:t>
            </w:r>
          </w:p>
        </w:tc>
        <w:tc>
          <w:tcPr>
            <w:tcW w:w="3117" w:type="dxa"/>
          </w:tcPr>
          <w:p w14:paraId="0E084890" w14:textId="4D233CDE" w:rsidR="003A617C" w:rsidRPr="00CB4414" w:rsidRDefault="00D93577" w:rsidP="0098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4414">
              <w:rPr>
                <w:sz w:val="18"/>
                <w:szCs w:val="18"/>
              </w:rPr>
              <w:t>-</w:t>
            </w:r>
          </w:p>
        </w:tc>
      </w:tr>
    </w:tbl>
    <w:p w14:paraId="541DAC88" w14:textId="69E51C08" w:rsidR="003A617C" w:rsidRPr="00CB4414" w:rsidRDefault="003A617C" w:rsidP="00981D78">
      <w:pPr>
        <w:rPr>
          <w:sz w:val="18"/>
          <w:szCs w:val="18"/>
        </w:rPr>
      </w:pPr>
      <w:r w:rsidRPr="00CB4414">
        <w:rPr>
          <w:b/>
          <w:sz w:val="18"/>
          <w:szCs w:val="18"/>
        </w:rPr>
        <w:t>Table:</w:t>
      </w:r>
      <w:r w:rsidRPr="00CB4414">
        <w:rPr>
          <w:sz w:val="18"/>
          <w:szCs w:val="18"/>
        </w:rPr>
        <w:t xml:space="preserve"> Summary of differentially expressed genes by conditions.</w:t>
      </w:r>
    </w:p>
    <w:p w14:paraId="1170BE71" w14:textId="77777777" w:rsidR="003A617C" w:rsidRPr="00CB4414" w:rsidRDefault="003A617C" w:rsidP="00981D78">
      <w:pPr>
        <w:rPr>
          <w:sz w:val="18"/>
          <w:szCs w:val="18"/>
        </w:rPr>
      </w:pPr>
    </w:p>
    <w:p w14:paraId="2D46B125" w14:textId="77777777" w:rsidR="003A617C" w:rsidRPr="00CB4414" w:rsidRDefault="003A617C" w:rsidP="00981D78">
      <w:pPr>
        <w:rPr>
          <w:sz w:val="18"/>
          <w:szCs w:val="18"/>
        </w:rPr>
      </w:pPr>
    </w:p>
    <w:p w14:paraId="5833A7F9" w14:textId="77777777" w:rsidR="003A617C" w:rsidRPr="00CB4414" w:rsidRDefault="003A617C" w:rsidP="00981D78">
      <w:pPr>
        <w:rPr>
          <w:sz w:val="18"/>
          <w:szCs w:val="18"/>
        </w:rPr>
      </w:pPr>
    </w:p>
    <w:p w14:paraId="2600D224" w14:textId="1234B1AE" w:rsidR="00A556D2" w:rsidRPr="00CB4414" w:rsidRDefault="00A556D2" w:rsidP="00A556D2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18"/>
          <w:szCs w:val="18"/>
        </w:rPr>
      </w:pPr>
    </w:p>
    <w:p w14:paraId="493E3773" w14:textId="5AE4D35B" w:rsidR="00AC36EC" w:rsidRPr="00CB4414" w:rsidRDefault="00AC36EC" w:rsidP="00EF7A41">
      <w:pPr>
        <w:pStyle w:val="Heading2"/>
        <w:rPr>
          <w:sz w:val="18"/>
          <w:szCs w:val="18"/>
        </w:rPr>
      </w:pPr>
      <w:r w:rsidRPr="00CB4414">
        <w:rPr>
          <w:sz w:val="18"/>
          <w:szCs w:val="18"/>
        </w:rPr>
        <w:t>1.2 Gene Ontology Enrichment Analysis</w:t>
      </w:r>
    </w:p>
    <w:p w14:paraId="795C097C" w14:textId="77777777" w:rsidR="00AC36EC" w:rsidRPr="00CB4414" w:rsidRDefault="00AC36EC" w:rsidP="00981D7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p w14:paraId="39ABB2BC" w14:textId="66AA44AB" w:rsidR="00AC36EC" w:rsidRPr="00CB4414" w:rsidRDefault="00AC36EC" w:rsidP="00AC36EC">
      <w:pPr>
        <w:widowControl w:val="0"/>
        <w:autoSpaceDE w:val="0"/>
        <w:autoSpaceDN w:val="0"/>
        <w:adjustRightInd w:val="0"/>
        <w:rPr>
          <w:bCs/>
          <w:sz w:val="18"/>
          <w:szCs w:val="18"/>
        </w:rPr>
      </w:pPr>
      <w:r w:rsidRPr="00CB4414">
        <w:rPr>
          <w:sz w:val="18"/>
          <w:szCs w:val="18"/>
        </w:rPr>
        <w:t>After detecting the differentially over</w:t>
      </w:r>
      <w:r w:rsidR="001A194D" w:rsidRPr="00CB4414">
        <w:rPr>
          <w:sz w:val="18"/>
          <w:szCs w:val="18"/>
        </w:rPr>
        <w:t xml:space="preserve"> </w:t>
      </w:r>
      <w:r w:rsidRPr="00CB4414">
        <w:rPr>
          <w:sz w:val="18"/>
          <w:szCs w:val="18"/>
        </w:rPr>
        <w:t>(up) and under</w:t>
      </w:r>
      <w:r w:rsidR="001A194D" w:rsidRPr="00CB4414">
        <w:rPr>
          <w:sz w:val="18"/>
          <w:szCs w:val="18"/>
        </w:rPr>
        <w:t xml:space="preserve"> </w:t>
      </w:r>
      <w:r w:rsidRPr="00CB4414">
        <w:rPr>
          <w:sz w:val="18"/>
          <w:szCs w:val="18"/>
        </w:rPr>
        <w:t>(down) expressed genes between conditions including high and low groups</w:t>
      </w:r>
      <w:r w:rsidRPr="00CB4414">
        <w:rPr>
          <w:b/>
          <w:sz w:val="18"/>
          <w:szCs w:val="18"/>
        </w:rPr>
        <w:t xml:space="preserve">, </w:t>
      </w:r>
      <w:proofErr w:type="spellStart"/>
      <w:r w:rsidRPr="00CB4414">
        <w:rPr>
          <w:b/>
          <w:bCs/>
          <w:sz w:val="18"/>
          <w:szCs w:val="18"/>
        </w:rPr>
        <w:t>GOrilla</w:t>
      </w:r>
      <w:proofErr w:type="spellEnd"/>
      <w:r w:rsidRPr="00CB4414">
        <w:rPr>
          <w:bCs/>
          <w:sz w:val="18"/>
          <w:szCs w:val="18"/>
        </w:rPr>
        <w:t xml:space="preserve"> is used to identify and visualize enriched GO terms in ranked lists of genes (Eden et al, 2009 &amp; Eden et al 2007). </w:t>
      </w:r>
      <w:r w:rsidR="00EF7A41" w:rsidRPr="00CB4414">
        <w:rPr>
          <w:bCs/>
          <w:sz w:val="18"/>
          <w:szCs w:val="18"/>
        </w:rPr>
        <w:t xml:space="preserve">We do the enrichment analyses for genes in the intersection of all up </w:t>
      </w:r>
      <w:r w:rsidR="001A194D" w:rsidRPr="00CB4414">
        <w:rPr>
          <w:bCs/>
          <w:sz w:val="18"/>
          <w:szCs w:val="18"/>
        </w:rPr>
        <w:t xml:space="preserve">and </w:t>
      </w:r>
      <w:r w:rsidR="00EF7A41" w:rsidRPr="00CB4414">
        <w:rPr>
          <w:bCs/>
          <w:sz w:val="18"/>
          <w:szCs w:val="18"/>
        </w:rPr>
        <w:t xml:space="preserve">down-regulated groups. We further analyze up and down- regulated genes between high and low conditions. We have used approximately 21,000 genes as a background gene reference with two-rank listed analyses in </w:t>
      </w:r>
      <w:proofErr w:type="spellStart"/>
      <w:r w:rsidR="00EF7A41" w:rsidRPr="00CB4414">
        <w:rPr>
          <w:bCs/>
          <w:sz w:val="18"/>
          <w:szCs w:val="18"/>
        </w:rPr>
        <w:t>GOrilla</w:t>
      </w:r>
      <w:proofErr w:type="spellEnd"/>
      <w:r w:rsidR="00EF7A41" w:rsidRPr="00CB4414">
        <w:rPr>
          <w:bCs/>
          <w:sz w:val="18"/>
          <w:szCs w:val="18"/>
        </w:rPr>
        <w:t>.</w:t>
      </w:r>
    </w:p>
    <w:p w14:paraId="4A7C2852" w14:textId="77777777" w:rsidR="00AC36EC" w:rsidRPr="00CB4414" w:rsidRDefault="00AC36EC" w:rsidP="00AC36EC">
      <w:pPr>
        <w:widowControl w:val="0"/>
        <w:autoSpaceDE w:val="0"/>
        <w:autoSpaceDN w:val="0"/>
        <w:adjustRightInd w:val="0"/>
        <w:rPr>
          <w:bCs/>
          <w:sz w:val="18"/>
          <w:szCs w:val="18"/>
        </w:rPr>
      </w:pPr>
    </w:p>
    <w:p w14:paraId="2BFE8F1C" w14:textId="77777777" w:rsidR="00EF7A41" w:rsidRPr="00CB4414" w:rsidRDefault="00AC36EC" w:rsidP="00AC36EC">
      <w:pPr>
        <w:rPr>
          <w:color w:val="000000"/>
          <w:sz w:val="18"/>
          <w:szCs w:val="18"/>
        </w:rPr>
      </w:pPr>
      <w:r w:rsidRPr="00CB4414">
        <w:rPr>
          <w:b/>
          <w:bCs/>
          <w:color w:val="000000"/>
          <w:sz w:val="18"/>
          <w:szCs w:val="18"/>
        </w:rPr>
        <w:t>Gorilla has calculated the 'P-value'</w:t>
      </w:r>
      <w:r w:rsidRPr="00CB4414">
        <w:rPr>
          <w:color w:val="000000"/>
          <w:sz w:val="18"/>
          <w:szCs w:val="18"/>
        </w:rPr>
        <w:t xml:space="preserve"> which is the enrichment p-value computed according to the </w:t>
      </w:r>
      <w:proofErr w:type="spellStart"/>
      <w:r w:rsidRPr="00CB4414">
        <w:rPr>
          <w:color w:val="000000"/>
          <w:sz w:val="18"/>
          <w:szCs w:val="18"/>
        </w:rPr>
        <w:t>mHG</w:t>
      </w:r>
      <w:proofErr w:type="spellEnd"/>
      <w:r w:rsidRPr="00CB4414">
        <w:rPr>
          <w:color w:val="000000"/>
          <w:sz w:val="18"/>
          <w:szCs w:val="18"/>
        </w:rPr>
        <w:t xml:space="preserve"> or HG model. This p-value is not corrected for multiple testing of 14548 GO terms.</w:t>
      </w:r>
      <w:r w:rsidRPr="00CB4414">
        <w:rPr>
          <w:color w:val="000000"/>
          <w:sz w:val="18"/>
          <w:szCs w:val="18"/>
        </w:rPr>
        <w:br/>
      </w:r>
      <w:bookmarkStart w:id="0" w:name="fdr_info"/>
      <w:bookmarkEnd w:id="0"/>
      <w:r w:rsidRPr="00CB4414">
        <w:rPr>
          <w:color w:val="000000"/>
          <w:sz w:val="18"/>
          <w:szCs w:val="18"/>
        </w:rPr>
        <w:br/>
      </w:r>
      <w:r w:rsidR="00EF7A41" w:rsidRPr="00CB4414">
        <w:rPr>
          <w:b/>
          <w:bCs/>
          <w:color w:val="000000"/>
          <w:sz w:val="18"/>
          <w:szCs w:val="18"/>
        </w:rPr>
        <w:t xml:space="preserve">The calculated q-value is called </w:t>
      </w:r>
      <w:r w:rsidRPr="00CB4414">
        <w:rPr>
          <w:b/>
          <w:bCs/>
          <w:color w:val="000000"/>
          <w:sz w:val="18"/>
          <w:szCs w:val="18"/>
        </w:rPr>
        <w:t>'FDR q-value'</w:t>
      </w:r>
      <w:r w:rsidRPr="00CB4414">
        <w:rPr>
          <w:color w:val="000000"/>
          <w:sz w:val="18"/>
          <w:szCs w:val="18"/>
        </w:rPr>
        <w:t> </w:t>
      </w:r>
      <w:r w:rsidR="00EF7A41" w:rsidRPr="00CB4414">
        <w:rPr>
          <w:color w:val="000000"/>
          <w:sz w:val="18"/>
          <w:szCs w:val="18"/>
        </w:rPr>
        <w:t xml:space="preserve">which </w:t>
      </w:r>
      <w:r w:rsidRPr="00CB4414">
        <w:rPr>
          <w:color w:val="000000"/>
          <w:sz w:val="18"/>
          <w:szCs w:val="18"/>
        </w:rPr>
        <w:t xml:space="preserve">is the correction of the above p-value for multiple testing using the </w:t>
      </w:r>
      <w:proofErr w:type="spellStart"/>
      <w:r w:rsidRPr="00CB4414">
        <w:rPr>
          <w:color w:val="000000"/>
          <w:sz w:val="18"/>
          <w:szCs w:val="18"/>
        </w:rPr>
        <w:t>Benjamini</w:t>
      </w:r>
      <w:proofErr w:type="spellEnd"/>
      <w:r w:rsidRPr="00CB4414">
        <w:rPr>
          <w:color w:val="000000"/>
          <w:sz w:val="18"/>
          <w:szCs w:val="18"/>
        </w:rPr>
        <w:t xml:space="preserve"> and Hochberg (1995) method. </w:t>
      </w:r>
    </w:p>
    <w:p w14:paraId="40503D66" w14:textId="1F47B801" w:rsidR="00EF7A41" w:rsidRPr="00CB4414" w:rsidRDefault="00EF7A41" w:rsidP="00AC36EC">
      <w:pPr>
        <w:rPr>
          <w:color w:val="000000"/>
          <w:sz w:val="18"/>
          <w:szCs w:val="18"/>
        </w:rPr>
      </w:pPr>
      <w:r w:rsidRPr="00CB4414">
        <w:rPr>
          <w:color w:val="000000"/>
          <w:sz w:val="18"/>
          <w:szCs w:val="18"/>
        </w:rPr>
        <w:t>F</w:t>
      </w:r>
      <w:r w:rsidR="00AC36EC" w:rsidRPr="00CB4414">
        <w:rPr>
          <w:color w:val="000000"/>
          <w:sz w:val="18"/>
          <w:szCs w:val="18"/>
        </w:rPr>
        <w:t xml:space="preserve">or the </w:t>
      </w:r>
      <w:proofErr w:type="spellStart"/>
      <w:r w:rsidR="00AC36EC" w:rsidRPr="00CB4414">
        <w:rPr>
          <w:color w:val="000000"/>
          <w:sz w:val="18"/>
          <w:szCs w:val="18"/>
        </w:rPr>
        <w:t>i</w:t>
      </w:r>
      <w:r w:rsidR="00AC36EC" w:rsidRPr="00CB4414">
        <w:rPr>
          <w:color w:val="000000"/>
          <w:sz w:val="18"/>
          <w:szCs w:val="18"/>
          <w:vertAlign w:val="superscript"/>
        </w:rPr>
        <w:t>th</w:t>
      </w:r>
      <w:proofErr w:type="spellEnd"/>
      <w:r w:rsidR="00AC36EC" w:rsidRPr="00CB4414">
        <w:rPr>
          <w:color w:val="000000"/>
          <w:sz w:val="18"/>
          <w:szCs w:val="18"/>
        </w:rPr>
        <w:t> term (ranked according to p-value) the FDR q-value is</w:t>
      </w:r>
      <w:r w:rsidRPr="00CB4414">
        <w:rPr>
          <w:color w:val="000000"/>
          <w:sz w:val="18"/>
          <w:szCs w:val="18"/>
        </w:rPr>
        <w:t>,</w:t>
      </w:r>
    </w:p>
    <w:p w14:paraId="5AAEFC74" w14:textId="77777777" w:rsidR="00262C08" w:rsidRPr="00CB4414" w:rsidRDefault="00262C08" w:rsidP="00AC36EC">
      <w:pPr>
        <w:rPr>
          <w:color w:val="000000"/>
          <w:sz w:val="18"/>
          <w:szCs w:val="18"/>
        </w:rPr>
      </w:pPr>
    </w:p>
    <w:p w14:paraId="60D53011" w14:textId="77777777" w:rsidR="00355C35" w:rsidRPr="00CB4414" w:rsidRDefault="00262C08" w:rsidP="00AC36EC">
      <w:pPr>
        <w:rPr>
          <w:color w:val="000000"/>
          <w:sz w:val="18"/>
          <w:szCs w:val="18"/>
        </w:rPr>
      </w:pPr>
      <m:oMathPara>
        <m:oMath>
          <m:r>
            <w:rPr>
              <w:rFonts w:ascii="Cambria Math" w:hAnsi="Cambria Math"/>
              <w:color w:val="000000"/>
              <w:sz w:val="18"/>
              <w:szCs w:val="18"/>
            </w:rPr>
            <m:t>(p-value . number of GO terms)/i</m:t>
          </m:r>
          <m:r>
            <m:rPr>
              <m:sty m:val="p"/>
            </m:rPr>
            <w:rPr>
              <w:rFonts w:ascii="Courier New" w:hAnsi="Courier New" w:cs="Courier New"/>
              <w:color w:val="000000"/>
              <w:sz w:val="18"/>
              <w:szCs w:val="18"/>
            </w:rPr>
            <w:br/>
          </m:r>
        </m:oMath>
        <w:bookmarkStart w:id="1" w:name="enrich_info"/>
        <w:bookmarkEnd w:id="1"/>
        <m:oMath>
          <m:r>
            <m:rPr>
              <m:sty m:val="p"/>
            </m:rPr>
            <w:rPr>
              <w:rFonts w:ascii="Courier New" w:hAnsi="Courier New" w:cs="Courier New"/>
              <w:color w:val="000000"/>
              <w:sz w:val="18"/>
              <w:szCs w:val="18"/>
            </w:rPr>
            <w:br/>
          </m:r>
        </m:oMath>
      </m:oMathPara>
      <w:r w:rsidR="00EF7A41" w:rsidRPr="00CB4414">
        <w:rPr>
          <w:b/>
          <w:bCs/>
          <w:color w:val="000000"/>
          <w:sz w:val="18"/>
          <w:szCs w:val="18"/>
        </w:rPr>
        <w:t xml:space="preserve">The value for </w:t>
      </w:r>
      <w:r w:rsidR="00145143" w:rsidRPr="00CB4414">
        <w:rPr>
          <w:b/>
          <w:bCs/>
          <w:color w:val="000000"/>
          <w:sz w:val="18"/>
          <w:szCs w:val="18"/>
        </w:rPr>
        <w:t>E</w:t>
      </w:r>
      <w:r w:rsidR="00AC36EC" w:rsidRPr="00CB4414">
        <w:rPr>
          <w:b/>
          <w:bCs/>
          <w:color w:val="000000"/>
          <w:sz w:val="18"/>
          <w:szCs w:val="18"/>
        </w:rPr>
        <w:t>nrichment (N, B, n, b)</w:t>
      </w:r>
      <w:r w:rsidR="00AC36EC" w:rsidRPr="00CB4414">
        <w:rPr>
          <w:color w:val="000000"/>
          <w:sz w:val="18"/>
          <w:szCs w:val="18"/>
        </w:rPr>
        <w:t> is defined as follows:</w:t>
      </w:r>
    </w:p>
    <w:p w14:paraId="4C0CC2AE" w14:textId="6DA1DAE2" w:rsidR="00EF7A41" w:rsidRPr="00CB4414" w:rsidRDefault="00AC36EC" w:rsidP="00AC36EC">
      <w:pPr>
        <w:rPr>
          <w:color w:val="000000"/>
          <w:sz w:val="18"/>
          <w:szCs w:val="18"/>
        </w:rPr>
      </w:pPr>
      <w:r w:rsidRPr="00CB4414">
        <w:rPr>
          <w:color w:val="000000"/>
          <w:sz w:val="18"/>
          <w:szCs w:val="18"/>
        </w:rPr>
        <w:t>N - is the total number of genes</w:t>
      </w:r>
      <w:r w:rsidRPr="00CB4414">
        <w:rPr>
          <w:color w:val="000000"/>
          <w:sz w:val="18"/>
          <w:szCs w:val="18"/>
        </w:rPr>
        <w:br/>
        <w:t>B - is the total number of genes associated with a specific GO term</w:t>
      </w:r>
      <w:r w:rsidRPr="00CB4414">
        <w:rPr>
          <w:color w:val="000000"/>
          <w:sz w:val="18"/>
          <w:szCs w:val="18"/>
        </w:rPr>
        <w:br/>
        <w:t>n - is the number of genes in the top of the user's input list or in the target set when appropriate</w:t>
      </w:r>
      <w:r w:rsidRPr="00CB4414">
        <w:rPr>
          <w:color w:val="000000"/>
          <w:sz w:val="18"/>
          <w:szCs w:val="18"/>
        </w:rPr>
        <w:br/>
        <w:t>b - is the number of genes in the intersection</w:t>
      </w:r>
    </w:p>
    <w:p w14:paraId="75909C0F" w14:textId="77777777" w:rsidR="00262C08" w:rsidRPr="00CB4414" w:rsidRDefault="00262C08" w:rsidP="00AC36EC">
      <w:pPr>
        <w:rPr>
          <w:color w:val="000000"/>
          <w:sz w:val="18"/>
          <w:szCs w:val="18"/>
        </w:rPr>
      </w:pPr>
    </w:p>
    <w:p w14:paraId="47BFE0DD" w14:textId="44247650" w:rsidR="00262C08" w:rsidRPr="00CB4414" w:rsidRDefault="00262C08" w:rsidP="00AC36EC">
      <w:pPr>
        <w:rPr>
          <w:color w:val="000000"/>
          <w:sz w:val="18"/>
          <w:szCs w:val="18"/>
        </w:rPr>
      </w:pPr>
      <m:oMathPara>
        <m:oMath>
          <m:r>
            <w:rPr>
              <w:rFonts w:ascii="Cambria Math" w:hAnsi="Cambria Math"/>
              <w:color w:val="000000"/>
              <w:sz w:val="18"/>
              <w:szCs w:val="18"/>
            </w:rPr>
            <m:t>Enrichment=(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b</m:t>
              </m:r>
            </m:num>
            <m:den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z w:val="18"/>
              <w:szCs w:val="18"/>
            </w:rPr>
            <m:t>)/(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B</m:t>
              </m:r>
            </m:num>
            <m:den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z w:val="18"/>
              <w:szCs w:val="18"/>
            </w:rPr>
            <m:t>)</m:t>
          </m:r>
        </m:oMath>
      </m:oMathPara>
    </w:p>
    <w:p w14:paraId="2343278A" w14:textId="18A0D4A1" w:rsidR="00AC36EC" w:rsidRPr="00CB4414" w:rsidRDefault="00AC36EC" w:rsidP="00AC36EC">
      <w:pPr>
        <w:rPr>
          <w:color w:val="000000"/>
          <w:sz w:val="18"/>
          <w:szCs w:val="18"/>
        </w:rPr>
      </w:pPr>
      <w:r w:rsidRPr="00CB4414">
        <w:rPr>
          <w:rFonts w:ascii="Courier New" w:hAnsi="Courier New" w:cs="Courier New"/>
          <w:color w:val="000000"/>
          <w:sz w:val="18"/>
          <w:szCs w:val="18"/>
        </w:rPr>
        <w:br/>
      </w:r>
      <w:bookmarkStart w:id="2" w:name="genes_info"/>
      <w:bookmarkEnd w:id="2"/>
      <w:r w:rsidRPr="00CB4414">
        <w:rPr>
          <w:rFonts w:ascii="Courier New" w:hAnsi="Courier New" w:cs="Courier New"/>
          <w:color w:val="000000"/>
          <w:sz w:val="18"/>
          <w:szCs w:val="18"/>
        </w:rPr>
        <w:br/>
      </w:r>
      <w:r w:rsidRPr="00CB4414">
        <w:rPr>
          <w:b/>
          <w:bCs/>
          <w:color w:val="000000"/>
          <w:sz w:val="18"/>
          <w:szCs w:val="18"/>
        </w:rPr>
        <w:t>Genes:</w:t>
      </w:r>
      <w:r w:rsidRPr="00CB4414">
        <w:rPr>
          <w:color w:val="000000"/>
          <w:sz w:val="18"/>
          <w:szCs w:val="18"/>
        </w:rPr>
        <w:t> For each GO term you can see the list of associated genes that appear in the optimal top of the list.</w:t>
      </w:r>
      <w:r w:rsidRPr="00CB4414">
        <w:rPr>
          <w:color w:val="000000"/>
          <w:sz w:val="18"/>
          <w:szCs w:val="18"/>
        </w:rPr>
        <w:br/>
        <w:t>Each gene name is specified by gene symbol followed by a short description of the gene </w:t>
      </w:r>
    </w:p>
    <w:p w14:paraId="7FDFD3C5" w14:textId="77777777" w:rsidR="00A83B04" w:rsidRPr="00CB4414" w:rsidRDefault="00A83B04" w:rsidP="00AC36EC">
      <w:pPr>
        <w:rPr>
          <w:color w:val="000000"/>
          <w:sz w:val="18"/>
          <w:szCs w:val="18"/>
        </w:rPr>
      </w:pPr>
    </w:p>
    <w:p w14:paraId="48CC1D42" w14:textId="77777777" w:rsidR="00A83B04" w:rsidRPr="00CB4414" w:rsidRDefault="00A83B04" w:rsidP="00AC36EC">
      <w:pPr>
        <w:rPr>
          <w:sz w:val="18"/>
          <w:szCs w:val="18"/>
        </w:rPr>
      </w:pPr>
    </w:p>
    <w:p w14:paraId="178D26E6" w14:textId="4CA787C9" w:rsidR="00AC36EC" w:rsidRPr="00CB4414" w:rsidRDefault="00AC36EC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733B0E57" w14:textId="77777777" w:rsidR="004D4666" w:rsidRPr="00CB4414" w:rsidRDefault="004D4666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3BA21A0A" w14:textId="77777777" w:rsidR="004D4666" w:rsidRPr="00CB4414" w:rsidRDefault="004D4666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50699736" w14:textId="77777777" w:rsidR="0056618D" w:rsidRPr="00CB4414" w:rsidRDefault="0056618D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481B54CC" w14:textId="77777777" w:rsidR="0056618D" w:rsidRPr="00CB4414" w:rsidRDefault="0056618D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6"/>
        <w:gridCol w:w="1483"/>
        <w:gridCol w:w="1150"/>
        <w:gridCol w:w="1190"/>
        <w:gridCol w:w="1250"/>
        <w:gridCol w:w="626"/>
        <w:gridCol w:w="544"/>
        <w:gridCol w:w="399"/>
        <w:gridCol w:w="343"/>
        <w:gridCol w:w="2224"/>
      </w:tblGrid>
      <w:tr w:rsidR="00CB4414" w:rsidRPr="00CB4414" w14:paraId="33F49C3C" w14:textId="77777777" w:rsidTr="00CB4414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BD1F3D3" w14:textId="77777777" w:rsidR="005D0A21" w:rsidRPr="005D0A21" w:rsidRDefault="005D0A21" w:rsidP="005D0A2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lastRenderedPageBreak/>
              <w:t>GO Term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6083B5E6" w14:textId="77777777" w:rsidR="005D0A21" w:rsidRPr="005D0A21" w:rsidRDefault="005D0A21" w:rsidP="005D0A2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37E62700" w14:textId="77777777" w:rsidR="005D0A21" w:rsidRPr="005D0A21" w:rsidRDefault="005D0A21" w:rsidP="005D0A2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P-value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372FACD" w14:textId="77777777" w:rsidR="005D0A21" w:rsidRPr="005D0A21" w:rsidRDefault="005D0A21" w:rsidP="005D0A2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FDR q-value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D0C4F1C" w14:textId="77777777" w:rsidR="005D0A21" w:rsidRPr="005D0A21" w:rsidRDefault="005D0A21" w:rsidP="005D0A2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Enrichment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C43A756" w14:textId="77777777" w:rsidR="005D0A21" w:rsidRPr="005D0A21" w:rsidRDefault="005D0A21" w:rsidP="005D0A2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14:paraId="6A7750A0" w14:textId="77777777" w:rsidR="005D0A21" w:rsidRPr="005D0A21" w:rsidRDefault="005D0A21" w:rsidP="005D0A2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shd w:val="clear" w:color="auto" w:fill="auto"/>
            <w:noWrap/>
            <w:vAlign w:val="bottom"/>
            <w:hideMark/>
          </w:tcPr>
          <w:p w14:paraId="7E5D07C7" w14:textId="77777777" w:rsidR="005D0A21" w:rsidRPr="005D0A21" w:rsidRDefault="005D0A21" w:rsidP="005D0A2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52004E95" w14:textId="77777777" w:rsidR="005D0A21" w:rsidRPr="005D0A21" w:rsidRDefault="005D0A21" w:rsidP="005D0A2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b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14:paraId="70D39C8B" w14:textId="10A1052F" w:rsidR="005D0A21" w:rsidRPr="005D0A21" w:rsidRDefault="005D0A21" w:rsidP="005D0A2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G</w:t>
            </w:r>
            <w:r w:rsidR="00F70873" w:rsidRPr="00CB4414">
              <w:rPr>
                <w:b/>
                <w:color w:val="000000"/>
                <w:sz w:val="18"/>
                <w:szCs w:val="18"/>
              </w:rPr>
              <w:t>enes</w:t>
            </w:r>
          </w:p>
        </w:tc>
      </w:tr>
      <w:tr w:rsidR="00CB4414" w:rsidRPr="00CB4414" w14:paraId="128D0712" w14:textId="77777777" w:rsidTr="00CB4414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  <w:hideMark/>
          </w:tcPr>
          <w:p w14:paraId="4A1A8C1B" w14:textId="77777777" w:rsidR="00F70873" w:rsidRPr="005D0A21" w:rsidRDefault="00F70873" w:rsidP="005D0A2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GO:0048545</w:t>
            </w:r>
          </w:p>
        </w:tc>
        <w:tc>
          <w:tcPr>
            <w:tcW w:w="1483" w:type="dxa"/>
            <w:shd w:val="clear" w:color="auto" w:fill="D0CECE" w:themeFill="background2" w:themeFillShade="E6"/>
            <w:noWrap/>
            <w:vAlign w:val="bottom"/>
            <w:hideMark/>
          </w:tcPr>
          <w:p w14:paraId="777DB2C5" w14:textId="77777777" w:rsidR="00F70873" w:rsidRPr="005D0A21" w:rsidRDefault="00F70873" w:rsidP="005D0A2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response to steroid hormone</w:t>
            </w:r>
          </w:p>
        </w:tc>
        <w:tc>
          <w:tcPr>
            <w:tcW w:w="1150" w:type="dxa"/>
            <w:shd w:val="clear" w:color="auto" w:fill="D0CECE" w:themeFill="background2" w:themeFillShade="E6"/>
            <w:noWrap/>
            <w:vAlign w:val="bottom"/>
            <w:hideMark/>
          </w:tcPr>
          <w:p w14:paraId="2C4038B0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5.51E-05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  <w:hideMark/>
          </w:tcPr>
          <w:p w14:paraId="36CB7B00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2.92E-01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  <w:hideMark/>
          </w:tcPr>
          <w:p w14:paraId="373A7848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  <w:hideMark/>
          </w:tcPr>
          <w:p w14:paraId="59252E5B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  <w:hideMark/>
          </w:tcPr>
          <w:p w14:paraId="02704EDA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  <w:hideMark/>
          </w:tcPr>
          <w:p w14:paraId="298DA2FD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  <w:hideMark/>
          </w:tcPr>
          <w:p w14:paraId="39B29AAE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24" w:type="dxa"/>
            <w:shd w:val="clear" w:color="auto" w:fill="D0CECE" w:themeFill="background2" w:themeFillShade="E6"/>
            <w:noWrap/>
            <w:vAlign w:val="bottom"/>
            <w:hideMark/>
          </w:tcPr>
          <w:p w14:paraId="13E4DCBB" w14:textId="074F1A42" w:rsidR="00F70873" w:rsidRPr="005D0A21" w:rsidRDefault="00F70873" w:rsidP="005D0A2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LOX  , CASP9 , FLT3 </w:t>
            </w:r>
            <w:r w:rsidRPr="00CB441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SPP1 </w:t>
            </w:r>
          </w:p>
        </w:tc>
      </w:tr>
      <w:tr w:rsidR="00CB4414" w:rsidRPr="00CB4414" w14:paraId="7E4B96E5" w14:textId="77777777" w:rsidTr="00CB4414">
        <w:trPr>
          <w:trHeight w:val="309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754F762" w14:textId="77777777" w:rsidR="00F70873" w:rsidRPr="005D0A21" w:rsidRDefault="00F70873" w:rsidP="005D0A2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GO:0014070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21A34D22" w14:textId="77777777" w:rsidR="00F70873" w:rsidRPr="005D0A21" w:rsidRDefault="00F70873" w:rsidP="005D0A2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response to organic cyclic compound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0D2E5B9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6.60E-05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05C3B1EB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1.75E-01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F8D3154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10.19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6AA3CC2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14:paraId="6BE99EC3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shd w:val="clear" w:color="auto" w:fill="auto"/>
            <w:noWrap/>
            <w:vAlign w:val="bottom"/>
            <w:hideMark/>
          </w:tcPr>
          <w:p w14:paraId="7C7C9932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530E04D4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14:paraId="5BDC27FC" w14:textId="55D2BDD0" w:rsidR="00F70873" w:rsidRPr="005D0A21" w:rsidRDefault="00F70873" w:rsidP="005D0A2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LOX  </w:t>
            </w:r>
            <w:r w:rsidRPr="00CB441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CASP9 , ADA, FLT3 </w:t>
            </w:r>
            <w:r w:rsidRPr="00CB441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SPP1</w:t>
            </w:r>
          </w:p>
        </w:tc>
      </w:tr>
      <w:tr w:rsidR="00CB4414" w:rsidRPr="00CB4414" w14:paraId="08624356" w14:textId="77777777" w:rsidTr="00CB4414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  <w:hideMark/>
          </w:tcPr>
          <w:p w14:paraId="34E8D46A" w14:textId="77777777" w:rsidR="00F70873" w:rsidRPr="005D0A21" w:rsidRDefault="00F70873" w:rsidP="005D0A2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GO:1901361</w:t>
            </w:r>
          </w:p>
        </w:tc>
        <w:tc>
          <w:tcPr>
            <w:tcW w:w="1483" w:type="dxa"/>
            <w:shd w:val="clear" w:color="auto" w:fill="D0CECE" w:themeFill="background2" w:themeFillShade="E6"/>
            <w:noWrap/>
            <w:vAlign w:val="bottom"/>
            <w:hideMark/>
          </w:tcPr>
          <w:p w14:paraId="6329BED9" w14:textId="77777777" w:rsidR="00F70873" w:rsidRPr="005D0A21" w:rsidRDefault="00F70873" w:rsidP="005D0A2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organic cyclic compound catabolic process</w:t>
            </w:r>
          </w:p>
        </w:tc>
        <w:tc>
          <w:tcPr>
            <w:tcW w:w="1150" w:type="dxa"/>
            <w:shd w:val="clear" w:color="auto" w:fill="D0CECE" w:themeFill="background2" w:themeFillShade="E6"/>
            <w:noWrap/>
            <w:vAlign w:val="bottom"/>
            <w:hideMark/>
          </w:tcPr>
          <w:p w14:paraId="538B6A97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3.15E-04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  <w:hideMark/>
          </w:tcPr>
          <w:p w14:paraId="268501F1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5.57E-01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  <w:hideMark/>
          </w:tcPr>
          <w:p w14:paraId="57A84148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10.86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  <w:hideMark/>
          </w:tcPr>
          <w:p w14:paraId="6CDD52FA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  <w:hideMark/>
          </w:tcPr>
          <w:p w14:paraId="01C52946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  <w:hideMark/>
          </w:tcPr>
          <w:p w14:paraId="03CD1E00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  <w:hideMark/>
          </w:tcPr>
          <w:p w14:paraId="6F04A8FC" w14:textId="77777777" w:rsidR="00F70873" w:rsidRPr="005D0A21" w:rsidRDefault="00F70873" w:rsidP="005D0A2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24" w:type="dxa"/>
            <w:shd w:val="clear" w:color="auto" w:fill="D0CECE" w:themeFill="background2" w:themeFillShade="E6"/>
            <w:noWrap/>
            <w:vAlign w:val="bottom"/>
            <w:hideMark/>
          </w:tcPr>
          <w:p w14:paraId="20D3CB38" w14:textId="50F9EA10" w:rsidR="00F70873" w:rsidRPr="005D0A21" w:rsidRDefault="00F70873" w:rsidP="005D0A2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AGO3 , FAH , ADA  , SPP1 </w:t>
            </w:r>
          </w:p>
        </w:tc>
      </w:tr>
      <w:tr w:rsidR="00CB4414" w:rsidRPr="00CB4414" w14:paraId="291C2663" w14:textId="77777777" w:rsidTr="00CB4414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</w:tcPr>
          <w:p w14:paraId="2E89155E" w14:textId="0795AE6C" w:rsidR="00F70873" w:rsidRPr="00CB4414" w:rsidRDefault="00F70873" w:rsidP="00F7087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GO:1901575</w:t>
            </w:r>
          </w:p>
        </w:tc>
        <w:tc>
          <w:tcPr>
            <w:tcW w:w="1483" w:type="dxa"/>
            <w:shd w:val="clear" w:color="auto" w:fill="auto"/>
            <w:noWrap/>
            <w:vAlign w:val="bottom"/>
          </w:tcPr>
          <w:p w14:paraId="5C0590B0" w14:textId="145115EE" w:rsidR="00F70873" w:rsidRPr="00CB4414" w:rsidRDefault="00F70873" w:rsidP="00F7087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organic substance catabolic process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5C8C8C19" w14:textId="05C31898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3.43E-04</w:t>
            </w:r>
          </w:p>
        </w:tc>
        <w:tc>
          <w:tcPr>
            <w:tcW w:w="1190" w:type="dxa"/>
            <w:shd w:val="clear" w:color="auto" w:fill="auto"/>
            <w:noWrap/>
            <w:vAlign w:val="bottom"/>
          </w:tcPr>
          <w:p w14:paraId="16E784F5" w14:textId="28933698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4.54E-01</w:t>
            </w:r>
          </w:p>
        </w:tc>
        <w:tc>
          <w:tcPr>
            <w:tcW w:w="1250" w:type="dxa"/>
            <w:shd w:val="clear" w:color="auto" w:fill="auto"/>
            <w:noWrap/>
            <w:vAlign w:val="bottom"/>
          </w:tcPr>
          <w:p w14:paraId="4AE477BB" w14:textId="32A2219D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5.64</w:t>
            </w:r>
          </w:p>
        </w:tc>
        <w:tc>
          <w:tcPr>
            <w:tcW w:w="626" w:type="dxa"/>
            <w:shd w:val="clear" w:color="auto" w:fill="auto"/>
            <w:noWrap/>
            <w:vAlign w:val="bottom"/>
          </w:tcPr>
          <w:p w14:paraId="39D21AC6" w14:textId="10F046F3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544" w:type="dxa"/>
            <w:shd w:val="clear" w:color="auto" w:fill="auto"/>
            <w:noWrap/>
            <w:vAlign w:val="bottom"/>
          </w:tcPr>
          <w:p w14:paraId="4C59EF9A" w14:textId="6CDE939E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99" w:type="dxa"/>
            <w:shd w:val="clear" w:color="auto" w:fill="auto"/>
            <w:noWrap/>
            <w:vAlign w:val="bottom"/>
          </w:tcPr>
          <w:p w14:paraId="3149C056" w14:textId="31D20F35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3" w:type="dxa"/>
            <w:shd w:val="clear" w:color="auto" w:fill="auto"/>
            <w:noWrap/>
            <w:vAlign w:val="bottom"/>
          </w:tcPr>
          <w:p w14:paraId="75647177" w14:textId="629E3300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24" w:type="dxa"/>
            <w:shd w:val="clear" w:color="auto" w:fill="auto"/>
            <w:noWrap/>
            <w:vAlign w:val="bottom"/>
          </w:tcPr>
          <w:p w14:paraId="2961D459" w14:textId="5866F919" w:rsidR="00F70873" w:rsidRPr="00CB4414" w:rsidRDefault="00F70873" w:rsidP="00F70873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b/>
                <w:sz w:val="18"/>
                <w:szCs w:val="18"/>
                <w:u w:val="single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AGO3 </w:t>
            </w:r>
            <w:r w:rsidRPr="00CB441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FUT2 , FAH , ADA , GLA  , SPP</w:t>
            </w:r>
            <w:r w:rsidRPr="00CB441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CB4414" w:rsidRPr="00CB4414" w14:paraId="6B000B60" w14:textId="77777777" w:rsidTr="00CB4414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  <w:hideMark/>
          </w:tcPr>
          <w:p w14:paraId="3B5F71FE" w14:textId="77777777" w:rsidR="00F70873" w:rsidRPr="005D0A21" w:rsidRDefault="00F70873" w:rsidP="00F7087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GO:0071407</w:t>
            </w:r>
          </w:p>
        </w:tc>
        <w:tc>
          <w:tcPr>
            <w:tcW w:w="1483" w:type="dxa"/>
            <w:shd w:val="clear" w:color="auto" w:fill="D0CECE" w:themeFill="background2" w:themeFillShade="E6"/>
            <w:noWrap/>
            <w:vAlign w:val="bottom"/>
            <w:hideMark/>
          </w:tcPr>
          <w:p w14:paraId="57A4E9ED" w14:textId="77777777" w:rsidR="00F70873" w:rsidRPr="005D0A21" w:rsidRDefault="00F70873" w:rsidP="00F7087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cellular response to organic cyclic compound</w:t>
            </w:r>
          </w:p>
        </w:tc>
        <w:tc>
          <w:tcPr>
            <w:tcW w:w="1150" w:type="dxa"/>
            <w:shd w:val="clear" w:color="auto" w:fill="D0CECE" w:themeFill="background2" w:themeFillShade="E6"/>
            <w:noWrap/>
            <w:vAlign w:val="bottom"/>
            <w:hideMark/>
          </w:tcPr>
          <w:p w14:paraId="6CAEFBF7" w14:textId="77777777" w:rsidR="00F70873" w:rsidRPr="005D0A21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7.90E-04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  <w:hideMark/>
          </w:tcPr>
          <w:p w14:paraId="10052EE4" w14:textId="77777777" w:rsidR="00F70873" w:rsidRPr="005D0A21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8.39E-01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  <w:hideMark/>
          </w:tcPr>
          <w:p w14:paraId="31E4938E" w14:textId="77777777" w:rsidR="00F70873" w:rsidRPr="005D0A21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14.67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  <w:hideMark/>
          </w:tcPr>
          <w:p w14:paraId="28FD874E" w14:textId="77777777" w:rsidR="00F70873" w:rsidRPr="005D0A21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  <w:hideMark/>
          </w:tcPr>
          <w:p w14:paraId="213C7136" w14:textId="77777777" w:rsidR="00F70873" w:rsidRPr="005D0A21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  <w:hideMark/>
          </w:tcPr>
          <w:p w14:paraId="26CFEF19" w14:textId="77777777" w:rsidR="00F70873" w:rsidRPr="005D0A21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  <w:hideMark/>
          </w:tcPr>
          <w:p w14:paraId="12145AB1" w14:textId="77777777" w:rsidR="00F70873" w:rsidRPr="005D0A21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24" w:type="dxa"/>
            <w:shd w:val="clear" w:color="auto" w:fill="D0CECE" w:themeFill="background2" w:themeFillShade="E6"/>
            <w:noWrap/>
            <w:vAlign w:val="bottom"/>
            <w:hideMark/>
          </w:tcPr>
          <w:p w14:paraId="31E7EC27" w14:textId="77DA663E" w:rsidR="00F70873" w:rsidRPr="005D0A21" w:rsidRDefault="00F70873" w:rsidP="00F7087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CASP9  </w:t>
            </w:r>
            <w:r w:rsidRPr="00CB441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FLT3  , SPP1 </w:t>
            </w:r>
          </w:p>
        </w:tc>
      </w:tr>
      <w:tr w:rsidR="00CB4414" w:rsidRPr="00CB4414" w14:paraId="155D3BDB" w14:textId="77777777" w:rsidTr="00CB4414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BC162E6" w14:textId="77777777" w:rsidR="00F70873" w:rsidRPr="005D0A21" w:rsidRDefault="00F70873" w:rsidP="00F7087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GO:0044282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14:paraId="44FC09AA" w14:textId="77777777" w:rsidR="00F70873" w:rsidRPr="005D0A21" w:rsidRDefault="00F70873" w:rsidP="00F7087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small molecule catabolic process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40B9F32" w14:textId="77777777" w:rsidR="00F70873" w:rsidRPr="005D0A21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7.90E-04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CE6EBE0" w14:textId="77777777" w:rsidR="00F70873" w:rsidRPr="005D0A21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6.99E-01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1F3B861" w14:textId="77777777" w:rsidR="00F70873" w:rsidRPr="005D0A21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14.67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DF5506E" w14:textId="77777777" w:rsidR="00F70873" w:rsidRPr="005D0A21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14:paraId="271B7B15" w14:textId="77777777" w:rsidR="00F70873" w:rsidRPr="005D0A21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shd w:val="clear" w:color="auto" w:fill="auto"/>
            <w:noWrap/>
            <w:vAlign w:val="bottom"/>
            <w:hideMark/>
          </w:tcPr>
          <w:p w14:paraId="644D966A" w14:textId="77777777" w:rsidR="00F70873" w:rsidRPr="005D0A21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0F904CC8" w14:textId="77777777" w:rsidR="00F70873" w:rsidRPr="005D0A21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14:paraId="2DDE5A31" w14:textId="37B3F704" w:rsidR="00F70873" w:rsidRPr="005D0A21" w:rsidRDefault="00F70873" w:rsidP="00F7087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FUT2 , FAH , ADA </w:t>
            </w:r>
          </w:p>
        </w:tc>
      </w:tr>
      <w:tr w:rsidR="00CB4414" w:rsidRPr="00CB4414" w14:paraId="0BE463D0" w14:textId="77777777" w:rsidTr="00CB4414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</w:tcPr>
          <w:p w14:paraId="05C1E721" w14:textId="5AEC983A" w:rsidR="00F70873" w:rsidRPr="00CB4414" w:rsidRDefault="00F70873" w:rsidP="00F7087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GO:0042127</w:t>
            </w:r>
          </w:p>
        </w:tc>
        <w:tc>
          <w:tcPr>
            <w:tcW w:w="1483" w:type="dxa"/>
            <w:shd w:val="clear" w:color="auto" w:fill="D0CECE" w:themeFill="background2" w:themeFillShade="E6"/>
            <w:noWrap/>
            <w:vAlign w:val="bottom"/>
          </w:tcPr>
          <w:p w14:paraId="7ACC89B8" w14:textId="4198CB4D" w:rsidR="00F70873" w:rsidRPr="00CB4414" w:rsidRDefault="00F70873" w:rsidP="00F7087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regulation of cell proliferation</w:t>
            </w:r>
          </w:p>
        </w:tc>
        <w:tc>
          <w:tcPr>
            <w:tcW w:w="1150" w:type="dxa"/>
            <w:shd w:val="clear" w:color="auto" w:fill="D0CECE" w:themeFill="background2" w:themeFillShade="E6"/>
            <w:noWrap/>
            <w:vAlign w:val="bottom"/>
          </w:tcPr>
          <w:p w14:paraId="13CC428B" w14:textId="1DBC27D6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9.15E-04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</w:tcPr>
          <w:p w14:paraId="1E219B26" w14:textId="5650EE92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6.93E-01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</w:tcPr>
          <w:p w14:paraId="0A49D3AE" w14:textId="79DD28DC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4.73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</w:tcPr>
          <w:p w14:paraId="4D4A69A4" w14:textId="34756740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</w:tcPr>
          <w:p w14:paraId="3AC39198" w14:textId="1706C850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</w:tcPr>
          <w:p w14:paraId="7BB545F6" w14:textId="7A3F522B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</w:tcPr>
          <w:p w14:paraId="7449F516" w14:textId="6A4022CC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24" w:type="dxa"/>
            <w:shd w:val="clear" w:color="auto" w:fill="D0CECE" w:themeFill="background2" w:themeFillShade="E6"/>
            <w:noWrap/>
            <w:vAlign w:val="bottom"/>
          </w:tcPr>
          <w:p w14:paraId="544C3D9C" w14:textId="3983CA98" w:rsidR="00F70873" w:rsidRPr="00CB4414" w:rsidRDefault="00F70873" w:rsidP="00F7087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AGO3  , FUT2  , HPGDS  , ADA  , FLT3  , NMB  </w:t>
            </w:r>
          </w:p>
        </w:tc>
      </w:tr>
      <w:tr w:rsidR="00CB4414" w:rsidRPr="00CB4414" w14:paraId="5ACE0C8F" w14:textId="77777777" w:rsidTr="00CB4414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</w:tcPr>
          <w:p w14:paraId="7ACBE61C" w14:textId="50CF926E" w:rsidR="00F70873" w:rsidRPr="00CB4414" w:rsidRDefault="00F70873" w:rsidP="00F7087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GO:0009056</w:t>
            </w:r>
          </w:p>
        </w:tc>
        <w:tc>
          <w:tcPr>
            <w:tcW w:w="1483" w:type="dxa"/>
            <w:shd w:val="clear" w:color="auto" w:fill="auto"/>
            <w:noWrap/>
            <w:vAlign w:val="bottom"/>
          </w:tcPr>
          <w:p w14:paraId="7B47CA30" w14:textId="46315E74" w:rsidR="00F70873" w:rsidRPr="00CB4414" w:rsidRDefault="00F70873" w:rsidP="00F7087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catabolic process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0C249AB0" w14:textId="6F014F78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9.15E-04</w:t>
            </w:r>
          </w:p>
        </w:tc>
        <w:tc>
          <w:tcPr>
            <w:tcW w:w="1190" w:type="dxa"/>
            <w:shd w:val="clear" w:color="auto" w:fill="auto"/>
            <w:noWrap/>
            <w:vAlign w:val="bottom"/>
          </w:tcPr>
          <w:p w14:paraId="734F002A" w14:textId="2052ABCD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6.07E-01</w:t>
            </w:r>
          </w:p>
        </w:tc>
        <w:tc>
          <w:tcPr>
            <w:tcW w:w="1250" w:type="dxa"/>
            <w:shd w:val="clear" w:color="auto" w:fill="auto"/>
            <w:noWrap/>
            <w:vAlign w:val="bottom"/>
          </w:tcPr>
          <w:p w14:paraId="38C64E3C" w14:textId="1E959F08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4.73</w:t>
            </w:r>
          </w:p>
        </w:tc>
        <w:tc>
          <w:tcPr>
            <w:tcW w:w="626" w:type="dxa"/>
            <w:shd w:val="clear" w:color="auto" w:fill="auto"/>
            <w:noWrap/>
            <w:vAlign w:val="bottom"/>
          </w:tcPr>
          <w:p w14:paraId="2AB41AC1" w14:textId="6D02BB4A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544" w:type="dxa"/>
            <w:shd w:val="clear" w:color="auto" w:fill="auto"/>
            <w:noWrap/>
            <w:vAlign w:val="bottom"/>
          </w:tcPr>
          <w:p w14:paraId="5A73387A" w14:textId="1CD7E75E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399" w:type="dxa"/>
            <w:shd w:val="clear" w:color="auto" w:fill="auto"/>
            <w:noWrap/>
            <w:vAlign w:val="bottom"/>
          </w:tcPr>
          <w:p w14:paraId="114A7C69" w14:textId="21D3C0C4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3" w:type="dxa"/>
            <w:shd w:val="clear" w:color="auto" w:fill="auto"/>
            <w:noWrap/>
            <w:vAlign w:val="bottom"/>
          </w:tcPr>
          <w:p w14:paraId="719384AF" w14:textId="5396DAD8" w:rsidR="00F70873" w:rsidRPr="00CB4414" w:rsidRDefault="00F70873" w:rsidP="00F70873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24" w:type="dxa"/>
            <w:shd w:val="clear" w:color="auto" w:fill="auto"/>
            <w:noWrap/>
            <w:vAlign w:val="bottom"/>
          </w:tcPr>
          <w:p w14:paraId="435624C9" w14:textId="5D5680C9" w:rsidR="00F70873" w:rsidRPr="00CB4414" w:rsidRDefault="00F70873" w:rsidP="00F7087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AGO3 </w:t>
            </w:r>
            <w:r w:rsidRPr="00CB4414">
              <w:rPr>
                <w:rFonts w:ascii="Calibri" w:hAnsi="Calibri" w:cs="Calibri"/>
                <w:color w:val="000000"/>
                <w:sz w:val="18"/>
                <w:szCs w:val="18"/>
              </w:rPr>
              <w:t>, FUT2</w:t>
            </w: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FAH </w:t>
            </w:r>
            <w:r w:rsidRPr="00CB441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ADA  , GLA  , SPP1  </w:t>
            </w:r>
          </w:p>
        </w:tc>
      </w:tr>
    </w:tbl>
    <w:p w14:paraId="0C279E5D" w14:textId="77777777" w:rsidR="001F2462" w:rsidRPr="00CB4414" w:rsidRDefault="001F2462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462" w:rsidRPr="00CB4414" w14:paraId="220CD58F" w14:textId="77777777" w:rsidTr="001F2462">
        <w:tc>
          <w:tcPr>
            <w:tcW w:w="9350" w:type="dxa"/>
          </w:tcPr>
          <w:p w14:paraId="32EBFB1A" w14:textId="2E0AAE43" w:rsidR="001F2462" w:rsidRPr="00CB4414" w:rsidRDefault="00CB4414" w:rsidP="00981D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B4414">
              <w:rPr>
                <w:sz w:val="18"/>
                <w:szCs w:val="18"/>
              </w:rPr>
              <w:t xml:space="preserve">Table </w:t>
            </w:r>
            <w:r>
              <w:rPr>
                <w:sz w:val="18"/>
                <w:szCs w:val="18"/>
              </w:rPr>
              <w:t>1</w:t>
            </w:r>
            <w:r w:rsidRPr="00CB4414">
              <w:rPr>
                <w:sz w:val="18"/>
                <w:szCs w:val="18"/>
              </w:rPr>
              <w:t>: Summary of</w:t>
            </w:r>
            <w:r w:rsidRPr="00CB4414">
              <w:rPr>
                <w:b/>
                <w:sz w:val="18"/>
                <w:szCs w:val="18"/>
              </w:rPr>
              <w:t xml:space="preserve"> </w:t>
            </w:r>
            <w:r w:rsidRPr="00CB4414">
              <w:rPr>
                <w:sz w:val="18"/>
                <w:szCs w:val="18"/>
              </w:rPr>
              <w:t xml:space="preserve"> GO pathways of all up-regulated genes (in tota</w:t>
            </w:r>
            <w:r>
              <w:rPr>
                <w:sz w:val="18"/>
                <w:szCs w:val="18"/>
              </w:rPr>
              <w:t>l 21</w:t>
            </w:r>
            <w:r w:rsidRPr="00CB4414">
              <w:rPr>
                <w:sz w:val="18"/>
                <w:szCs w:val="18"/>
              </w:rPr>
              <w:t xml:space="preserve"> genes) from </w:t>
            </w:r>
            <w:r>
              <w:rPr>
                <w:sz w:val="18"/>
                <w:szCs w:val="18"/>
              </w:rPr>
              <w:t>the</w:t>
            </w:r>
            <w:r w:rsidRPr="00CB4414">
              <w:rPr>
                <w:sz w:val="18"/>
                <w:szCs w:val="18"/>
              </w:rPr>
              <w:t xml:space="preserve"> conditions between </w:t>
            </w:r>
            <w:r>
              <w:rPr>
                <w:sz w:val="18"/>
                <w:szCs w:val="18"/>
              </w:rPr>
              <w:t>young and old aged samples.</w:t>
            </w:r>
          </w:p>
        </w:tc>
      </w:tr>
    </w:tbl>
    <w:p w14:paraId="66F30630" w14:textId="77777777" w:rsidR="001F2462" w:rsidRPr="00CB4414" w:rsidRDefault="001F2462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2E35F24B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7777716F" w14:textId="2A617EF3" w:rsidR="001F2462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  <w:r w:rsidRPr="00CB4414">
        <w:rPr>
          <w:b/>
          <w:sz w:val="18"/>
          <w:szCs w:val="18"/>
          <w:u w:val="single"/>
        </w:rPr>
        <w:br w:type="textWrapping" w:clear="all"/>
      </w:r>
    </w:p>
    <w:tbl>
      <w:tblPr>
        <w:tblW w:w="10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6"/>
        <w:gridCol w:w="1829"/>
        <w:gridCol w:w="900"/>
        <w:gridCol w:w="1190"/>
        <w:gridCol w:w="1250"/>
        <w:gridCol w:w="626"/>
        <w:gridCol w:w="544"/>
        <w:gridCol w:w="399"/>
        <w:gridCol w:w="343"/>
        <w:gridCol w:w="2224"/>
      </w:tblGrid>
      <w:tr w:rsidR="00DE311A" w:rsidRPr="00CB4414" w14:paraId="0E97F528" w14:textId="77777777" w:rsidTr="0017707E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6E4CEC2" w14:textId="77777777" w:rsidR="00DE311A" w:rsidRPr="005D0A21" w:rsidRDefault="00DE311A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GO Term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02DCAE17" w14:textId="77777777" w:rsidR="00DE311A" w:rsidRPr="005D0A21" w:rsidRDefault="00DE311A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0F5203" w14:textId="77777777" w:rsidR="00DE311A" w:rsidRPr="005D0A21" w:rsidRDefault="00DE311A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P-value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51CA3CFE" w14:textId="77777777" w:rsidR="00DE311A" w:rsidRPr="005D0A21" w:rsidRDefault="00DE311A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FDR q-value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692CF70" w14:textId="77777777" w:rsidR="00DE311A" w:rsidRPr="005D0A21" w:rsidRDefault="00DE311A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Enrichment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92CDC7E" w14:textId="77777777" w:rsidR="00DE311A" w:rsidRPr="005D0A21" w:rsidRDefault="00DE311A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14:paraId="2913C1B0" w14:textId="77777777" w:rsidR="00DE311A" w:rsidRPr="005D0A21" w:rsidRDefault="00DE311A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shd w:val="clear" w:color="auto" w:fill="auto"/>
            <w:noWrap/>
            <w:vAlign w:val="bottom"/>
            <w:hideMark/>
          </w:tcPr>
          <w:p w14:paraId="75FA56B3" w14:textId="77777777" w:rsidR="00DE311A" w:rsidRPr="005D0A21" w:rsidRDefault="00DE311A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1FDD0219" w14:textId="77777777" w:rsidR="00DE311A" w:rsidRPr="005D0A21" w:rsidRDefault="00DE311A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b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14:paraId="7CA6304D" w14:textId="77777777" w:rsidR="00DE311A" w:rsidRPr="005D0A21" w:rsidRDefault="00DE311A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G</w:t>
            </w:r>
            <w:r w:rsidRPr="00CB4414">
              <w:rPr>
                <w:b/>
                <w:color w:val="000000"/>
                <w:sz w:val="18"/>
                <w:szCs w:val="18"/>
              </w:rPr>
              <w:t>enes</w:t>
            </w:r>
          </w:p>
        </w:tc>
      </w:tr>
      <w:tr w:rsidR="0017707E" w:rsidRPr="00CB4414" w14:paraId="276A2611" w14:textId="77777777" w:rsidTr="0017707E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  <w:hideMark/>
          </w:tcPr>
          <w:p w14:paraId="76A4CAAE" w14:textId="487002A0" w:rsidR="00F8470F" w:rsidRPr="005D0A21" w:rsidRDefault="00F8470F" w:rsidP="00F8470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GO:0032496</w:t>
            </w:r>
          </w:p>
        </w:tc>
        <w:tc>
          <w:tcPr>
            <w:tcW w:w="1829" w:type="dxa"/>
            <w:shd w:val="clear" w:color="auto" w:fill="D0CECE" w:themeFill="background2" w:themeFillShade="E6"/>
            <w:noWrap/>
            <w:vAlign w:val="bottom"/>
            <w:hideMark/>
          </w:tcPr>
          <w:p w14:paraId="2B007C88" w14:textId="0C218666" w:rsidR="00F8470F" w:rsidRPr="005D0A21" w:rsidRDefault="00F8470F" w:rsidP="00F8470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response to lipopolysaccharide</w:t>
            </w:r>
          </w:p>
        </w:tc>
        <w:tc>
          <w:tcPr>
            <w:tcW w:w="900" w:type="dxa"/>
            <w:shd w:val="clear" w:color="auto" w:fill="D0CECE" w:themeFill="background2" w:themeFillShade="E6"/>
            <w:noWrap/>
            <w:vAlign w:val="bottom"/>
            <w:hideMark/>
          </w:tcPr>
          <w:p w14:paraId="4CB6490B" w14:textId="7D2DBB76" w:rsidR="00F8470F" w:rsidRPr="005D0A21" w:rsidRDefault="00F8470F" w:rsidP="00F847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8.86E-05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  <w:hideMark/>
          </w:tcPr>
          <w:p w14:paraId="081D0A75" w14:textId="5E7D97D9" w:rsidR="00F8470F" w:rsidRPr="005D0A21" w:rsidRDefault="00F8470F" w:rsidP="00F847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4.60E-01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  <w:hideMark/>
          </w:tcPr>
          <w:p w14:paraId="5D26EDB7" w14:textId="133754F3" w:rsidR="00F8470F" w:rsidRPr="005D0A21" w:rsidRDefault="00F8470F" w:rsidP="00F847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29.03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  <w:hideMark/>
          </w:tcPr>
          <w:p w14:paraId="397A5CB3" w14:textId="4CC29E15" w:rsidR="00F8470F" w:rsidRPr="005D0A21" w:rsidRDefault="00F8470F" w:rsidP="00F847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  <w:hideMark/>
          </w:tcPr>
          <w:p w14:paraId="264302FD" w14:textId="6137611F" w:rsidR="00F8470F" w:rsidRPr="005D0A21" w:rsidRDefault="00F8470F" w:rsidP="00F847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  <w:hideMark/>
          </w:tcPr>
          <w:p w14:paraId="73D67415" w14:textId="2495C5C5" w:rsidR="00F8470F" w:rsidRPr="005D0A21" w:rsidRDefault="00F8470F" w:rsidP="00F847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  <w:hideMark/>
          </w:tcPr>
          <w:p w14:paraId="0530311C" w14:textId="20D0D270" w:rsidR="00F8470F" w:rsidRPr="005D0A21" w:rsidRDefault="00F8470F" w:rsidP="00F8470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24" w:type="dxa"/>
            <w:shd w:val="clear" w:color="auto" w:fill="D0CECE" w:themeFill="background2" w:themeFillShade="E6"/>
            <w:noWrap/>
            <w:vAlign w:val="bottom"/>
            <w:hideMark/>
          </w:tcPr>
          <w:p w14:paraId="24D8ACCE" w14:textId="2F2C8F90" w:rsidR="00F8470F" w:rsidRPr="005D0A21" w:rsidRDefault="00F8470F" w:rsidP="00F8470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FOS, KMO, SELP</w:t>
            </w:r>
          </w:p>
        </w:tc>
      </w:tr>
      <w:tr w:rsidR="0017707E" w:rsidRPr="00CB4414" w14:paraId="4F38753A" w14:textId="77777777" w:rsidTr="0017707E">
        <w:trPr>
          <w:trHeight w:val="309"/>
        </w:trPr>
        <w:tc>
          <w:tcPr>
            <w:tcW w:w="1136" w:type="dxa"/>
            <w:shd w:val="clear" w:color="auto" w:fill="auto"/>
            <w:noWrap/>
            <w:vAlign w:val="bottom"/>
          </w:tcPr>
          <w:p w14:paraId="2E431BBD" w14:textId="4294AD39" w:rsidR="0017707E" w:rsidRPr="005D0A21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GO:0002237</w:t>
            </w:r>
          </w:p>
        </w:tc>
        <w:tc>
          <w:tcPr>
            <w:tcW w:w="1829" w:type="dxa"/>
            <w:shd w:val="clear" w:color="auto" w:fill="auto"/>
            <w:noWrap/>
            <w:vAlign w:val="bottom"/>
          </w:tcPr>
          <w:p w14:paraId="5F8BF906" w14:textId="5CC63082" w:rsidR="0017707E" w:rsidRPr="005D0A21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response to molecule of bacterial origin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7DD5371" w14:textId="3A3FCC09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8.86E-05</w:t>
            </w:r>
          </w:p>
        </w:tc>
        <w:tc>
          <w:tcPr>
            <w:tcW w:w="1190" w:type="dxa"/>
            <w:shd w:val="clear" w:color="auto" w:fill="auto"/>
            <w:noWrap/>
            <w:vAlign w:val="bottom"/>
          </w:tcPr>
          <w:p w14:paraId="20D6DDFC" w14:textId="3C8342D2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2.30E-01</w:t>
            </w:r>
          </w:p>
        </w:tc>
        <w:tc>
          <w:tcPr>
            <w:tcW w:w="1250" w:type="dxa"/>
            <w:shd w:val="clear" w:color="auto" w:fill="auto"/>
            <w:noWrap/>
            <w:vAlign w:val="bottom"/>
          </w:tcPr>
          <w:p w14:paraId="6E0ECE68" w14:textId="12A74C0E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29.03</w:t>
            </w:r>
          </w:p>
        </w:tc>
        <w:tc>
          <w:tcPr>
            <w:tcW w:w="626" w:type="dxa"/>
            <w:shd w:val="clear" w:color="auto" w:fill="auto"/>
            <w:noWrap/>
            <w:vAlign w:val="bottom"/>
          </w:tcPr>
          <w:p w14:paraId="49115F05" w14:textId="371D7FCA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544" w:type="dxa"/>
            <w:shd w:val="clear" w:color="auto" w:fill="auto"/>
            <w:noWrap/>
            <w:vAlign w:val="bottom"/>
          </w:tcPr>
          <w:p w14:paraId="3A772ABE" w14:textId="01BC45E6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shd w:val="clear" w:color="auto" w:fill="auto"/>
            <w:noWrap/>
            <w:vAlign w:val="bottom"/>
          </w:tcPr>
          <w:p w14:paraId="08AF9265" w14:textId="2ED2300B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43" w:type="dxa"/>
            <w:shd w:val="clear" w:color="auto" w:fill="auto"/>
            <w:noWrap/>
            <w:vAlign w:val="bottom"/>
          </w:tcPr>
          <w:p w14:paraId="528FD839" w14:textId="5089E546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24" w:type="dxa"/>
            <w:shd w:val="clear" w:color="auto" w:fill="auto"/>
            <w:noWrap/>
            <w:vAlign w:val="bottom"/>
          </w:tcPr>
          <w:p w14:paraId="7366F100" w14:textId="0B6436CE" w:rsidR="0017707E" w:rsidRPr="005D0A21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FOS, KMO, SELP</w:t>
            </w:r>
          </w:p>
        </w:tc>
      </w:tr>
      <w:tr w:rsidR="0017707E" w:rsidRPr="00CB4414" w14:paraId="55067EC1" w14:textId="77777777" w:rsidTr="0017707E">
        <w:trPr>
          <w:trHeight w:val="309"/>
        </w:trPr>
        <w:tc>
          <w:tcPr>
            <w:tcW w:w="1136" w:type="dxa"/>
            <w:shd w:val="clear" w:color="auto" w:fill="auto"/>
            <w:noWrap/>
            <w:vAlign w:val="bottom"/>
          </w:tcPr>
          <w:p w14:paraId="319898D0" w14:textId="5C1F1F8E" w:rsidR="0017707E" w:rsidRPr="0017707E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GO:0034654</w:t>
            </w:r>
          </w:p>
        </w:tc>
        <w:tc>
          <w:tcPr>
            <w:tcW w:w="1829" w:type="dxa"/>
            <w:shd w:val="clear" w:color="auto" w:fill="auto"/>
            <w:noWrap/>
            <w:vAlign w:val="bottom"/>
          </w:tcPr>
          <w:p w14:paraId="462B23C7" w14:textId="310A5F08" w:rsidR="0017707E" w:rsidRPr="0017707E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nucleobase-containing compound biosynthetic process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0085653" w14:textId="75EC8494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5.95E-04</w:t>
            </w:r>
          </w:p>
        </w:tc>
        <w:tc>
          <w:tcPr>
            <w:tcW w:w="1190" w:type="dxa"/>
            <w:shd w:val="clear" w:color="auto" w:fill="auto"/>
            <w:noWrap/>
            <w:vAlign w:val="bottom"/>
          </w:tcPr>
          <w:p w14:paraId="5AE45723" w14:textId="0DA71755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1.00E+00</w:t>
            </w:r>
          </w:p>
        </w:tc>
        <w:tc>
          <w:tcPr>
            <w:tcW w:w="1250" w:type="dxa"/>
            <w:shd w:val="clear" w:color="auto" w:fill="auto"/>
            <w:noWrap/>
            <w:vAlign w:val="bottom"/>
          </w:tcPr>
          <w:p w14:paraId="04EFC145" w14:textId="5E36CB34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626" w:type="dxa"/>
            <w:shd w:val="clear" w:color="auto" w:fill="auto"/>
            <w:noWrap/>
            <w:vAlign w:val="bottom"/>
          </w:tcPr>
          <w:p w14:paraId="7CD6363A" w14:textId="771E73FC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544" w:type="dxa"/>
            <w:shd w:val="clear" w:color="auto" w:fill="auto"/>
            <w:noWrap/>
            <w:vAlign w:val="bottom"/>
          </w:tcPr>
          <w:p w14:paraId="40EB37D2" w14:textId="6654928A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99" w:type="dxa"/>
            <w:shd w:val="clear" w:color="auto" w:fill="auto"/>
            <w:noWrap/>
            <w:vAlign w:val="bottom"/>
          </w:tcPr>
          <w:p w14:paraId="1AC94ABC" w14:textId="5586AC0C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43" w:type="dxa"/>
            <w:shd w:val="clear" w:color="auto" w:fill="auto"/>
            <w:noWrap/>
            <w:vAlign w:val="bottom"/>
          </w:tcPr>
          <w:p w14:paraId="3744C0CD" w14:textId="2A832220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24" w:type="dxa"/>
            <w:shd w:val="clear" w:color="auto" w:fill="auto"/>
            <w:noWrap/>
            <w:vAlign w:val="bottom"/>
          </w:tcPr>
          <w:p w14:paraId="63A53C48" w14:textId="43C8EAE2" w:rsidR="0017707E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FOS, NPR2, TOPORS, KMO</w:t>
            </w:r>
          </w:p>
        </w:tc>
      </w:tr>
      <w:tr w:rsidR="0017707E" w:rsidRPr="00CB4414" w14:paraId="46C786BD" w14:textId="77777777" w:rsidTr="0017707E">
        <w:trPr>
          <w:trHeight w:val="309"/>
        </w:trPr>
        <w:tc>
          <w:tcPr>
            <w:tcW w:w="1136" w:type="dxa"/>
            <w:shd w:val="clear" w:color="auto" w:fill="auto"/>
            <w:noWrap/>
            <w:vAlign w:val="bottom"/>
          </w:tcPr>
          <w:p w14:paraId="3AB75A21" w14:textId="2DBE2447" w:rsidR="0017707E" w:rsidRPr="0017707E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GO:0018130</w:t>
            </w:r>
          </w:p>
        </w:tc>
        <w:tc>
          <w:tcPr>
            <w:tcW w:w="1829" w:type="dxa"/>
            <w:shd w:val="clear" w:color="auto" w:fill="auto"/>
            <w:noWrap/>
            <w:vAlign w:val="bottom"/>
          </w:tcPr>
          <w:p w14:paraId="27096507" w14:textId="7282730F" w:rsidR="0017707E" w:rsidRPr="0017707E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heterocycle biosynthetic process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E758A7F" w14:textId="1184FA4B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6.50E-04</w:t>
            </w:r>
          </w:p>
        </w:tc>
        <w:tc>
          <w:tcPr>
            <w:tcW w:w="1190" w:type="dxa"/>
            <w:shd w:val="clear" w:color="auto" w:fill="auto"/>
            <w:noWrap/>
            <w:vAlign w:val="bottom"/>
          </w:tcPr>
          <w:p w14:paraId="6E4EF284" w14:textId="3582BBD4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8.45E-01</w:t>
            </w:r>
          </w:p>
        </w:tc>
        <w:tc>
          <w:tcPr>
            <w:tcW w:w="1250" w:type="dxa"/>
            <w:shd w:val="clear" w:color="auto" w:fill="auto"/>
            <w:noWrap/>
            <w:vAlign w:val="bottom"/>
          </w:tcPr>
          <w:p w14:paraId="65BA9DA0" w14:textId="736C90C6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626" w:type="dxa"/>
            <w:shd w:val="clear" w:color="auto" w:fill="auto"/>
            <w:noWrap/>
            <w:vAlign w:val="bottom"/>
          </w:tcPr>
          <w:p w14:paraId="433DDDB7" w14:textId="26FAF730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544" w:type="dxa"/>
            <w:shd w:val="clear" w:color="auto" w:fill="auto"/>
            <w:noWrap/>
            <w:vAlign w:val="bottom"/>
          </w:tcPr>
          <w:p w14:paraId="376F801C" w14:textId="04E9BEA3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99" w:type="dxa"/>
            <w:shd w:val="clear" w:color="auto" w:fill="auto"/>
            <w:noWrap/>
            <w:vAlign w:val="bottom"/>
          </w:tcPr>
          <w:p w14:paraId="4B9288B7" w14:textId="164330A9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43" w:type="dxa"/>
            <w:shd w:val="clear" w:color="auto" w:fill="auto"/>
            <w:noWrap/>
            <w:vAlign w:val="bottom"/>
          </w:tcPr>
          <w:p w14:paraId="4F93A674" w14:textId="2AAE74C6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24" w:type="dxa"/>
            <w:shd w:val="clear" w:color="auto" w:fill="auto"/>
            <w:noWrap/>
            <w:vAlign w:val="bottom"/>
          </w:tcPr>
          <w:p w14:paraId="6E657F0A" w14:textId="223FF007" w:rsidR="0017707E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FOS, NPR2, TOPORS, KMO</w:t>
            </w:r>
          </w:p>
        </w:tc>
      </w:tr>
      <w:tr w:rsidR="0017707E" w:rsidRPr="00CB4414" w14:paraId="521A6740" w14:textId="77777777" w:rsidTr="0017707E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  <w:hideMark/>
          </w:tcPr>
          <w:p w14:paraId="42F37243" w14:textId="4102ADE4" w:rsidR="0017707E" w:rsidRPr="005D0A21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GO:0019438</w:t>
            </w:r>
          </w:p>
        </w:tc>
        <w:tc>
          <w:tcPr>
            <w:tcW w:w="1829" w:type="dxa"/>
            <w:shd w:val="clear" w:color="auto" w:fill="D0CECE" w:themeFill="background2" w:themeFillShade="E6"/>
            <w:noWrap/>
            <w:vAlign w:val="bottom"/>
            <w:hideMark/>
          </w:tcPr>
          <w:p w14:paraId="1073432B" w14:textId="0B7DD3A1" w:rsidR="0017707E" w:rsidRPr="005D0A21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aromatic compound biosynthetic process</w:t>
            </w:r>
          </w:p>
        </w:tc>
        <w:tc>
          <w:tcPr>
            <w:tcW w:w="900" w:type="dxa"/>
            <w:shd w:val="clear" w:color="auto" w:fill="D0CECE" w:themeFill="background2" w:themeFillShade="E6"/>
            <w:noWrap/>
            <w:vAlign w:val="bottom"/>
            <w:hideMark/>
          </w:tcPr>
          <w:p w14:paraId="30E47F65" w14:textId="443D0102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6.50E-04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  <w:hideMark/>
          </w:tcPr>
          <w:p w14:paraId="48F81710" w14:textId="40AB9247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6.76E-01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  <w:hideMark/>
          </w:tcPr>
          <w:p w14:paraId="7099A4B0" w14:textId="4DA72FF0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  <w:hideMark/>
          </w:tcPr>
          <w:p w14:paraId="514FF902" w14:textId="33815E4D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  <w:hideMark/>
          </w:tcPr>
          <w:p w14:paraId="0410B259" w14:textId="238266F7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  <w:hideMark/>
          </w:tcPr>
          <w:p w14:paraId="0F96B409" w14:textId="20D87314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  <w:hideMark/>
          </w:tcPr>
          <w:p w14:paraId="23857D7C" w14:textId="2C2D1124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24" w:type="dxa"/>
            <w:shd w:val="clear" w:color="auto" w:fill="D0CECE" w:themeFill="background2" w:themeFillShade="E6"/>
            <w:noWrap/>
            <w:vAlign w:val="bottom"/>
            <w:hideMark/>
          </w:tcPr>
          <w:p w14:paraId="532BCB13" w14:textId="245F9C6E" w:rsidR="0017707E" w:rsidRPr="005D0A21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FOS, NPR2, TOPORS, KMO</w:t>
            </w:r>
          </w:p>
        </w:tc>
      </w:tr>
      <w:tr w:rsidR="0017707E" w:rsidRPr="00CB4414" w14:paraId="28A7C58D" w14:textId="77777777" w:rsidTr="0017707E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9F7E9CD" w14:textId="623D66A6" w:rsidR="0017707E" w:rsidRPr="005D0A21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GO:0044271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16D1385D" w14:textId="253E9E93" w:rsidR="0017707E" w:rsidRPr="005D0A21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cellular nitrogen compound biosynthetic process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6C07EC" w14:textId="7ED568BE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7.09E-04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278D529" w14:textId="5E110D31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6.14E-01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0963314" w14:textId="19C558D3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8.42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D324E0C" w14:textId="26B16999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14:paraId="6DE8FCA5" w14:textId="779C723E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99" w:type="dxa"/>
            <w:shd w:val="clear" w:color="auto" w:fill="auto"/>
            <w:noWrap/>
            <w:vAlign w:val="bottom"/>
            <w:hideMark/>
          </w:tcPr>
          <w:p w14:paraId="1E31416D" w14:textId="37996833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62A7B342" w14:textId="7CA3BF84" w:rsidR="0017707E" w:rsidRPr="005D0A21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14:paraId="5694E1D0" w14:textId="5578CC21" w:rsidR="0017707E" w:rsidRPr="005D0A21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FOS, NPR2, TOPORS, KMO</w:t>
            </w:r>
          </w:p>
        </w:tc>
      </w:tr>
      <w:tr w:rsidR="0017707E" w:rsidRPr="00CB4414" w14:paraId="373F6274" w14:textId="77777777" w:rsidTr="0017707E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</w:tcPr>
          <w:p w14:paraId="475275A8" w14:textId="5284ED89" w:rsidR="0017707E" w:rsidRPr="0017707E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GO:1901362</w:t>
            </w:r>
          </w:p>
        </w:tc>
        <w:tc>
          <w:tcPr>
            <w:tcW w:w="1829" w:type="dxa"/>
            <w:shd w:val="clear" w:color="auto" w:fill="D0CECE" w:themeFill="background2" w:themeFillShade="E6"/>
            <w:noWrap/>
            <w:vAlign w:val="bottom"/>
          </w:tcPr>
          <w:p w14:paraId="41789A27" w14:textId="2EF556D3" w:rsidR="0017707E" w:rsidRPr="0017707E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organic cyclic compound biosynthetic process</w:t>
            </w:r>
          </w:p>
        </w:tc>
        <w:tc>
          <w:tcPr>
            <w:tcW w:w="900" w:type="dxa"/>
            <w:shd w:val="clear" w:color="auto" w:fill="D0CECE" w:themeFill="background2" w:themeFillShade="E6"/>
            <w:noWrap/>
            <w:vAlign w:val="bottom"/>
          </w:tcPr>
          <w:p w14:paraId="4ABEA821" w14:textId="3878C806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8.37E-04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</w:tcPr>
          <w:p w14:paraId="0F44CB4A" w14:textId="3021067F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6.22E-01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</w:tcPr>
          <w:p w14:paraId="5D378C6E" w14:textId="52EB2522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8.06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</w:tcPr>
          <w:p w14:paraId="37133ACB" w14:textId="6DC8FA31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</w:tcPr>
          <w:p w14:paraId="77C3479F" w14:textId="0B392FA8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</w:tcPr>
          <w:p w14:paraId="199FA2B7" w14:textId="2DAD8B91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</w:tcPr>
          <w:p w14:paraId="1C31F503" w14:textId="48813808" w:rsidR="0017707E" w:rsidRPr="0017707E" w:rsidRDefault="0017707E" w:rsidP="0017707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707E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24" w:type="dxa"/>
            <w:shd w:val="clear" w:color="auto" w:fill="D0CECE" w:themeFill="background2" w:themeFillShade="E6"/>
            <w:noWrap/>
            <w:vAlign w:val="bottom"/>
          </w:tcPr>
          <w:p w14:paraId="43914636" w14:textId="581C7D91" w:rsidR="0017707E" w:rsidRPr="00CB4414" w:rsidRDefault="0017707E" w:rsidP="0017707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FOS, NPR2, TOPORS, KMO</w:t>
            </w:r>
          </w:p>
        </w:tc>
      </w:tr>
    </w:tbl>
    <w:p w14:paraId="085FFE89" w14:textId="1FC93086" w:rsidR="0017707E" w:rsidRPr="00CB4414" w:rsidRDefault="0017707E" w:rsidP="0017707E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CB4414">
        <w:rPr>
          <w:sz w:val="18"/>
          <w:szCs w:val="18"/>
        </w:rPr>
        <w:t xml:space="preserve">Table </w:t>
      </w:r>
      <w:r>
        <w:rPr>
          <w:sz w:val="18"/>
          <w:szCs w:val="18"/>
        </w:rPr>
        <w:t>2</w:t>
      </w:r>
      <w:r w:rsidRPr="00CB4414">
        <w:rPr>
          <w:sz w:val="18"/>
          <w:szCs w:val="18"/>
        </w:rPr>
        <w:t>: Summary of</w:t>
      </w:r>
      <w:r w:rsidRPr="00CB4414">
        <w:rPr>
          <w:b/>
          <w:sz w:val="18"/>
          <w:szCs w:val="18"/>
        </w:rPr>
        <w:t xml:space="preserve"> </w:t>
      </w:r>
      <w:r w:rsidRPr="00CB4414">
        <w:rPr>
          <w:sz w:val="18"/>
          <w:szCs w:val="18"/>
        </w:rPr>
        <w:t xml:space="preserve"> GO pathways of all </w:t>
      </w:r>
      <w:r>
        <w:rPr>
          <w:sz w:val="18"/>
          <w:szCs w:val="18"/>
        </w:rPr>
        <w:t>down</w:t>
      </w:r>
      <w:r w:rsidRPr="00CB4414">
        <w:rPr>
          <w:sz w:val="18"/>
          <w:szCs w:val="18"/>
        </w:rPr>
        <w:t>-regulated genes (in tota</w:t>
      </w:r>
      <w:r>
        <w:rPr>
          <w:sz w:val="18"/>
          <w:szCs w:val="18"/>
        </w:rPr>
        <w:t xml:space="preserve">l 9 </w:t>
      </w:r>
      <w:r w:rsidRPr="00CB4414">
        <w:rPr>
          <w:sz w:val="18"/>
          <w:szCs w:val="18"/>
        </w:rPr>
        <w:t xml:space="preserve">genes) from </w:t>
      </w:r>
      <w:r>
        <w:rPr>
          <w:sz w:val="18"/>
          <w:szCs w:val="18"/>
        </w:rPr>
        <w:t>the</w:t>
      </w:r>
      <w:r w:rsidRPr="00CB4414">
        <w:rPr>
          <w:sz w:val="18"/>
          <w:szCs w:val="18"/>
        </w:rPr>
        <w:t xml:space="preserve"> conditions between </w:t>
      </w:r>
      <w:r>
        <w:rPr>
          <w:sz w:val="18"/>
          <w:szCs w:val="18"/>
        </w:rPr>
        <w:t>young and old aged samples.</w:t>
      </w:r>
    </w:p>
    <w:p w14:paraId="273353F7" w14:textId="77777777" w:rsidR="001F2462" w:rsidRPr="00CB4414" w:rsidRDefault="001F2462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7728E998" w14:textId="77777777" w:rsidR="001F2462" w:rsidRPr="00CB4414" w:rsidRDefault="001F2462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0DA8BCF6" w14:textId="77777777" w:rsidR="00142898" w:rsidRPr="00CB4414" w:rsidRDefault="00142898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1695E244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0F1602FA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04B97AD5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5AAA0203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77965544" w14:textId="77777777" w:rsidR="001F2462" w:rsidRPr="00CB4414" w:rsidRDefault="001F2462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6"/>
        <w:gridCol w:w="1739"/>
        <w:gridCol w:w="894"/>
        <w:gridCol w:w="1190"/>
        <w:gridCol w:w="1250"/>
        <w:gridCol w:w="626"/>
        <w:gridCol w:w="544"/>
        <w:gridCol w:w="399"/>
        <w:gridCol w:w="343"/>
        <w:gridCol w:w="2224"/>
      </w:tblGrid>
      <w:tr w:rsidR="0017707E" w:rsidRPr="00CB4414" w14:paraId="0FF7A371" w14:textId="77777777" w:rsidTr="004135FF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E9CD89F" w14:textId="77777777" w:rsidR="0017707E" w:rsidRPr="005D0A21" w:rsidRDefault="0017707E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lastRenderedPageBreak/>
              <w:t>GO Term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422F265A" w14:textId="77777777" w:rsidR="0017707E" w:rsidRPr="005D0A21" w:rsidRDefault="0017707E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5DF1553" w14:textId="77777777" w:rsidR="0017707E" w:rsidRPr="005D0A21" w:rsidRDefault="0017707E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P-value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7A41E7B1" w14:textId="77777777" w:rsidR="0017707E" w:rsidRPr="005D0A21" w:rsidRDefault="0017707E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FDR q-value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D6269A3" w14:textId="77777777" w:rsidR="0017707E" w:rsidRPr="005D0A21" w:rsidRDefault="0017707E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Enrichment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537B6143" w14:textId="77777777" w:rsidR="0017707E" w:rsidRPr="005D0A21" w:rsidRDefault="0017707E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14:paraId="3F4F3962" w14:textId="77777777" w:rsidR="0017707E" w:rsidRPr="005D0A21" w:rsidRDefault="0017707E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shd w:val="clear" w:color="auto" w:fill="auto"/>
            <w:noWrap/>
            <w:vAlign w:val="bottom"/>
            <w:hideMark/>
          </w:tcPr>
          <w:p w14:paraId="5D59299C" w14:textId="77777777" w:rsidR="0017707E" w:rsidRPr="005D0A21" w:rsidRDefault="0017707E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409E2AAD" w14:textId="77777777" w:rsidR="0017707E" w:rsidRPr="005D0A21" w:rsidRDefault="0017707E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b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14:paraId="0ED802FF" w14:textId="77777777" w:rsidR="0017707E" w:rsidRPr="005D0A21" w:rsidRDefault="0017707E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G</w:t>
            </w:r>
            <w:r w:rsidRPr="00CB4414">
              <w:rPr>
                <w:b/>
                <w:color w:val="000000"/>
                <w:sz w:val="18"/>
                <w:szCs w:val="18"/>
              </w:rPr>
              <w:t>enes</w:t>
            </w:r>
          </w:p>
        </w:tc>
      </w:tr>
      <w:tr w:rsidR="004135FF" w:rsidRPr="00CB4414" w14:paraId="1EDE16E4" w14:textId="77777777" w:rsidTr="004135FF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  <w:hideMark/>
          </w:tcPr>
          <w:p w14:paraId="2A45DF5F" w14:textId="2051DB54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GO:0006413</w:t>
            </w:r>
          </w:p>
        </w:tc>
        <w:tc>
          <w:tcPr>
            <w:tcW w:w="1739" w:type="dxa"/>
            <w:shd w:val="clear" w:color="auto" w:fill="D0CECE" w:themeFill="background2" w:themeFillShade="E6"/>
            <w:noWrap/>
            <w:vAlign w:val="bottom"/>
            <w:hideMark/>
          </w:tcPr>
          <w:p w14:paraId="559717A0" w14:textId="69E70607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translational initiation</w:t>
            </w:r>
          </w:p>
        </w:tc>
        <w:tc>
          <w:tcPr>
            <w:tcW w:w="894" w:type="dxa"/>
            <w:shd w:val="clear" w:color="auto" w:fill="D0CECE" w:themeFill="background2" w:themeFillShade="E6"/>
            <w:noWrap/>
            <w:vAlign w:val="bottom"/>
            <w:hideMark/>
          </w:tcPr>
          <w:p w14:paraId="20724658" w14:textId="31AD27CA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8.10E-05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  <w:hideMark/>
          </w:tcPr>
          <w:p w14:paraId="5B01630D" w14:textId="4D329FBF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4.38E-01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  <w:hideMark/>
          </w:tcPr>
          <w:p w14:paraId="5F41D5B1" w14:textId="3C896266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22.55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  <w:hideMark/>
          </w:tcPr>
          <w:p w14:paraId="7BAFDDAF" w14:textId="367D19EA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902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  <w:hideMark/>
          </w:tcPr>
          <w:p w14:paraId="24D8827B" w14:textId="609D94EB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  <w:hideMark/>
          </w:tcPr>
          <w:p w14:paraId="21125E8F" w14:textId="40751798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  <w:hideMark/>
          </w:tcPr>
          <w:p w14:paraId="58C25E6D" w14:textId="771E6523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24" w:type="dxa"/>
            <w:shd w:val="clear" w:color="auto" w:fill="D0CECE" w:themeFill="background2" w:themeFillShade="E6"/>
            <w:noWrap/>
            <w:vAlign w:val="bottom"/>
            <w:hideMark/>
          </w:tcPr>
          <w:p w14:paraId="33AD6A91" w14:textId="05A35654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EIF3C, EIF3CL, EIF3G</w:t>
            </w:r>
          </w:p>
        </w:tc>
      </w:tr>
      <w:tr w:rsidR="004135FF" w:rsidRPr="00CB4414" w14:paraId="233FC738" w14:textId="77777777" w:rsidTr="004135FF">
        <w:trPr>
          <w:trHeight w:val="309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920F6FA" w14:textId="53A333EF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GO:0001755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10AFBFF9" w14:textId="6A80D0ED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neural crest cell migration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1645D31" w14:textId="169F2FAF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8.10E-05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4258014F" w14:textId="1ADBAFB4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2.19E-01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5370BBD" w14:textId="386F440A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22.55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BCA3BE8" w14:textId="3F94BE38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902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14:paraId="486922D9" w14:textId="14BE6B64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shd w:val="clear" w:color="auto" w:fill="auto"/>
            <w:noWrap/>
            <w:vAlign w:val="bottom"/>
            <w:hideMark/>
          </w:tcPr>
          <w:p w14:paraId="046ACA82" w14:textId="4461BEC0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0FE79161" w14:textId="403FC1CA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14:paraId="41C0F9E6" w14:textId="788EE1BF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SEMA4A, PITX2, SHH</w:t>
            </w:r>
          </w:p>
        </w:tc>
      </w:tr>
      <w:tr w:rsidR="004135FF" w:rsidRPr="00CB4414" w14:paraId="04C4ED71" w14:textId="77777777" w:rsidTr="004135FF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  <w:hideMark/>
          </w:tcPr>
          <w:p w14:paraId="60CA80F0" w14:textId="1EC5C59C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GO:0001732</w:t>
            </w:r>
          </w:p>
        </w:tc>
        <w:tc>
          <w:tcPr>
            <w:tcW w:w="1739" w:type="dxa"/>
            <w:shd w:val="clear" w:color="auto" w:fill="D0CECE" w:themeFill="background2" w:themeFillShade="E6"/>
            <w:noWrap/>
            <w:vAlign w:val="bottom"/>
            <w:hideMark/>
          </w:tcPr>
          <w:p w14:paraId="53C16FF9" w14:textId="7D1A23B8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formation of cytoplasmic translation initiation complex</w:t>
            </w:r>
          </w:p>
        </w:tc>
        <w:tc>
          <w:tcPr>
            <w:tcW w:w="894" w:type="dxa"/>
            <w:shd w:val="clear" w:color="auto" w:fill="D0CECE" w:themeFill="background2" w:themeFillShade="E6"/>
            <w:noWrap/>
            <w:vAlign w:val="bottom"/>
            <w:hideMark/>
          </w:tcPr>
          <w:p w14:paraId="3EF175CE" w14:textId="1E0C41F0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8.10E-05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  <w:hideMark/>
          </w:tcPr>
          <w:p w14:paraId="50412B37" w14:textId="59EAFC90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1.46E-01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  <w:hideMark/>
          </w:tcPr>
          <w:p w14:paraId="6F23AC7A" w14:textId="2F5A1A7A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22.55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  <w:hideMark/>
          </w:tcPr>
          <w:p w14:paraId="469CB9CF" w14:textId="29316AAD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902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  <w:hideMark/>
          </w:tcPr>
          <w:p w14:paraId="05910CD9" w14:textId="22649CF9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  <w:hideMark/>
          </w:tcPr>
          <w:p w14:paraId="28A6A1B9" w14:textId="197601C5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  <w:hideMark/>
          </w:tcPr>
          <w:p w14:paraId="1B96F539" w14:textId="195BB461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24" w:type="dxa"/>
            <w:shd w:val="clear" w:color="auto" w:fill="D0CECE" w:themeFill="background2" w:themeFillShade="E6"/>
            <w:noWrap/>
            <w:vAlign w:val="bottom"/>
            <w:hideMark/>
          </w:tcPr>
          <w:p w14:paraId="094A5C55" w14:textId="4EB1AA92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D0A2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EIF3C, EIF3CL, EIF3G</w:t>
            </w:r>
          </w:p>
        </w:tc>
      </w:tr>
      <w:tr w:rsidR="004135FF" w:rsidRPr="00CB4414" w14:paraId="2D1F29D7" w14:textId="77777777" w:rsidTr="004135FF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</w:tcPr>
          <w:p w14:paraId="11D5C33F" w14:textId="708F97F6" w:rsidR="004135FF" w:rsidRPr="004135FF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GO:0022618</w:t>
            </w:r>
          </w:p>
        </w:tc>
        <w:tc>
          <w:tcPr>
            <w:tcW w:w="1739" w:type="dxa"/>
            <w:shd w:val="clear" w:color="auto" w:fill="auto"/>
            <w:noWrap/>
            <w:vAlign w:val="bottom"/>
          </w:tcPr>
          <w:p w14:paraId="50B00E65" w14:textId="6CD9A6B8" w:rsidR="004135FF" w:rsidRPr="004135FF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ribonucleoprotein complex assembly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D250F9D" w14:textId="7B74A4B1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2.05E-04</w:t>
            </w:r>
          </w:p>
        </w:tc>
        <w:tc>
          <w:tcPr>
            <w:tcW w:w="1190" w:type="dxa"/>
            <w:shd w:val="clear" w:color="auto" w:fill="auto"/>
            <w:noWrap/>
            <w:vAlign w:val="bottom"/>
          </w:tcPr>
          <w:p w14:paraId="61D4A21F" w14:textId="3D172379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2.77E-01</w:t>
            </w:r>
          </w:p>
        </w:tc>
        <w:tc>
          <w:tcPr>
            <w:tcW w:w="1250" w:type="dxa"/>
            <w:shd w:val="clear" w:color="auto" w:fill="auto"/>
            <w:noWrap/>
            <w:vAlign w:val="bottom"/>
          </w:tcPr>
          <w:p w14:paraId="355C5FEC" w14:textId="38CCA0FB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11.28</w:t>
            </w:r>
          </w:p>
        </w:tc>
        <w:tc>
          <w:tcPr>
            <w:tcW w:w="626" w:type="dxa"/>
            <w:shd w:val="clear" w:color="auto" w:fill="auto"/>
            <w:noWrap/>
            <w:vAlign w:val="bottom"/>
          </w:tcPr>
          <w:p w14:paraId="33D8A059" w14:textId="011F1DAA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902</w:t>
            </w:r>
          </w:p>
        </w:tc>
        <w:tc>
          <w:tcPr>
            <w:tcW w:w="544" w:type="dxa"/>
            <w:shd w:val="clear" w:color="auto" w:fill="auto"/>
            <w:noWrap/>
            <w:vAlign w:val="bottom"/>
          </w:tcPr>
          <w:p w14:paraId="188C5857" w14:textId="1CDB2B9B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shd w:val="clear" w:color="auto" w:fill="auto"/>
            <w:noWrap/>
            <w:vAlign w:val="bottom"/>
          </w:tcPr>
          <w:p w14:paraId="5B25CB8F" w14:textId="5A0CE7AD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43" w:type="dxa"/>
            <w:shd w:val="clear" w:color="auto" w:fill="auto"/>
            <w:noWrap/>
            <w:vAlign w:val="bottom"/>
          </w:tcPr>
          <w:p w14:paraId="53FF1181" w14:textId="4D7CEC70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24" w:type="dxa"/>
            <w:shd w:val="clear" w:color="auto" w:fill="auto"/>
            <w:noWrap/>
            <w:vAlign w:val="bottom"/>
          </w:tcPr>
          <w:p w14:paraId="7B4F528F" w14:textId="3FC34188" w:rsidR="004135FF" w:rsidRPr="00CB4414" w:rsidRDefault="004135FF" w:rsidP="004135FF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EIF3C, EIF3CL, SRPK3, EIF3G</w:t>
            </w:r>
          </w:p>
        </w:tc>
      </w:tr>
      <w:tr w:rsidR="004135FF" w:rsidRPr="00CB4414" w14:paraId="302CC69B" w14:textId="77777777" w:rsidTr="004135FF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  <w:hideMark/>
          </w:tcPr>
          <w:p w14:paraId="1F94FA8B" w14:textId="00FA2A71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GO:0071826</w:t>
            </w:r>
          </w:p>
        </w:tc>
        <w:tc>
          <w:tcPr>
            <w:tcW w:w="1739" w:type="dxa"/>
            <w:shd w:val="clear" w:color="auto" w:fill="D0CECE" w:themeFill="background2" w:themeFillShade="E6"/>
            <w:noWrap/>
            <w:vAlign w:val="bottom"/>
            <w:hideMark/>
          </w:tcPr>
          <w:p w14:paraId="315C6D61" w14:textId="27049938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ribonucleoprotein complex subunit organization</w:t>
            </w:r>
          </w:p>
        </w:tc>
        <w:tc>
          <w:tcPr>
            <w:tcW w:w="894" w:type="dxa"/>
            <w:shd w:val="clear" w:color="auto" w:fill="D0CECE" w:themeFill="background2" w:themeFillShade="E6"/>
            <w:noWrap/>
            <w:vAlign w:val="bottom"/>
            <w:hideMark/>
          </w:tcPr>
          <w:p w14:paraId="41DCF5A2" w14:textId="42259225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3.57E-04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  <w:hideMark/>
          </w:tcPr>
          <w:p w14:paraId="54C8280F" w14:textId="47E5599E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3.86E-01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  <w:hideMark/>
          </w:tcPr>
          <w:p w14:paraId="1DB5A9FB" w14:textId="124F0943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10.02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  <w:hideMark/>
          </w:tcPr>
          <w:p w14:paraId="5D46D68D" w14:textId="4682B751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902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  <w:hideMark/>
          </w:tcPr>
          <w:p w14:paraId="01A1CD4C" w14:textId="10950D72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  <w:hideMark/>
          </w:tcPr>
          <w:p w14:paraId="374D8991" w14:textId="24BB0935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  <w:hideMark/>
          </w:tcPr>
          <w:p w14:paraId="34A358EB" w14:textId="281A5E9B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24" w:type="dxa"/>
            <w:shd w:val="clear" w:color="auto" w:fill="D0CECE" w:themeFill="background2" w:themeFillShade="E6"/>
            <w:noWrap/>
            <w:vAlign w:val="bottom"/>
            <w:hideMark/>
          </w:tcPr>
          <w:p w14:paraId="7996FB1F" w14:textId="09136C25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EIF3C, EIF3CL, SRPK3, EIF3G</w:t>
            </w:r>
          </w:p>
        </w:tc>
      </w:tr>
      <w:tr w:rsidR="004135FF" w:rsidRPr="00CB4414" w14:paraId="53799BDE" w14:textId="77777777" w:rsidTr="004135FF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0CBE2FA" w14:textId="62E1934B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GO:0034622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68CF7346" w14:textId="61CC4D6B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cellular protein-containing complex assembly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79863831" w14:textId="5264DBE8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4.92E-04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2D26A1FE" w14:textId="1C31A796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4.43E-01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E216038" w14:textId="16A62B79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5.41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2175211B" w14:textId="187E05F3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902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14:paraId="2583DDB4" w14:textId="4859581C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shd w:val="clear" w:color="auto" w:fill="auto"/>
            <w:noWrap/>
            <w:vAlign w:val="bottom"/>
            <w:hideMark/>
          </w:tcPr>
          <w:p w14:paraId="4EDD1483" w14:textId="6424B8C3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1268C26E" w14:textId="3CB6A7A9" w:rsidR="004135FF" w:rsidRPr="005D0A21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14:paraId="57F7AB75" w14:textId="794272E5" w:rsidR="004135FF" w:rsidRPr="005D0A21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EIF3C, NDUFB11, EIF3CL, DIAPH1, SRPK3, EIF3G</w:t>
            </w:r>
          </w:p>
        </w:tc>
      </w:tr>
      <w:tr w:rsidR="004135FF" w:rsidRPr="00CB4414" w14:paraId="46EA67D4" w14:textId="77777777" w:rsidTr="004135FF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</w:tcPr>
          <w:p w14:paraId="7B5D70DB" w14:textId="3E39DFC8" w:rsidR="004135FF" w:rsidRPr="004135FF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GO:0090185</w:t>
            </w:r>
          </w:p>
        </w:tc>
        <w:tc>
          <w:tcPr>
            <w:tcW w:w="1739" w:type="dxa"/>
            <w:shd w:val="clear" w:color="auto" w:fill="D0CECE" w:themeFill="background2" w:themeFillShade="E6"/>
            <w:noWrap/>
            <w:vAlign w:val="bottom"/>
          </w:tcPr>
          <w:p w14:paraId="4ABF8043" w14:textId="4BFB6EA7" w:rsidR="004135FF" w:rsidRPr="004135FF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negative regulation of kidney development</w:t>
            </w:r>
          </w:p>
        </w:tc>
        <w:tc>
          <w:tcPr>
            <w:tcW w:w="894" w:type="dxa"/>
            <w:shd w:val="clear" w:color="auto" w:fill="D0CECE" w:themeFill="background2" w:themeFillShade="E6"/>
            <w:noWrap/>
            <w:vAlign w:val="bottom"/>
          </w:tcPr>
          <w:p w14:paraId="2FA86A2D" w14:textId="71211223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7.61E-04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</w:tcPr>
          <w:p w14:paraId="6AFE0009" w14:textId="514B70DC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5.87E-01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</w:tcPr>
          <w:p w14:paraId="2D54423F" w14:textId="5D7DCA7C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13.53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</w:tcPr>
          <w:p w14:paraId="147E30CC" w14:textId="1E76E7BF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902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</w:tcPr>
          <w:p w14:paraId="4822C7A5" w14:textId="2C8A47AF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</w:tcPr>
          <w:p w14:paraId="7951CDFE" w14:textId="4D76762C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</w:tcPr>
          <w:p w14:paraId="52588D4C" w14:textId="232C19F5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24" w:type="dxa"/>
            <w:shd w:val="clear" w:color="auto" w:fill="D0CECE" w:themeFill="background2" w:themeFillShade="E6"/>
            <w:noWrap/>
            <w:vAlign w:val="bottom"/>
          </w:tcPr>
          <w:p w14:paraId="2A31788C" w14:textId="128FA1C0" w:rsidR="004135FF" w:rsidRPr="00CB4414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SHH, STAT1, TACSTD2</w:t>
            </w:r>
          </w:p>
        </w:tc>
      </w:tr>
      <w:tr w:rsidR="004135FF" w:rsidRPr="00CB4414" w14:paraId="1858032D" w14:textId="77777777" w:rsidTr="004135FF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</w:tcPr>
          <w:p w14:paraId="299E091B" w14:textId="2969CF3D" w:rsidR="004135FF" w:rsidRPr="004135FF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GO:0071407</w:t>
            </w:r>
          </w:p>
        </w:tc>
        <w:tc>
          <w:tcPr>
            <w:tcW w:w="1739" w:type="dxa"/>
            <w:shd w:val="clear" w:color="auto" w:fill="auto"/>
            <w:noWrap/>
            <w:vAlign w:val="bottom"/>
          </w:tcPr>
          <w:p w14:paraId="2ED02986" w14:textId="46E9F297" w:rsidR="004135FF" w:rsidRPr="004135FF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cellular response to organic cyclic compound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2D5D5EC" w14:textId="2BCDF160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8.76E-04</w:t>
            </w:r>
          </w:p>
        </w:tc>
        <w:tc>
          <w:tcPr>
            <w:tcW w:w="1190" w:type="dxa"/>
            <w:shd w:val="clear" w:color="auto" w:fill="auto"/>
            <w:noWrap/>
            <w:vAlign w:val="bottom"/>
          </w:tcPr>
          <w:p w14:paraId="607C62D9" w14:textId="3C41126A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5.92E-01</w:t>
            </w:r>
          </w:p>
        </w:tc>
        <w:tc>
          <w:tcPr>
            <w:tcW w:w="1250" w:type="dxa"/>
            <w:shd w:val="clear" w:color="auto" w:fill="auto"/>
            <w:noWrap/>
            <w:vAlign w:val="bottom"/>
          </w:tcPr>
          <w:p w14:paraId="1EE90DCE" w14:textId="7DE52C3F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626" w:type="dxa"/>
            <w:shd w:val="clear" w:color="auto" w:fill="auto"/>
            <w:noWrap/>
            <w:vAlign w:val="bottom"/>
          </w:tcPr>
          <w:p w14:paraId="6DC362B0" w14:textId="2255408A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902</w:t>
            </w:r>
          </w:p>
        </w:tc>
        <w:tc>
          <w:tcPr>
            <w:tcW w:w="544" w:type="dxa"/>
            <w:shd w:val="clear" w:color="auto" w:fill="auto"/>
            <w:noWrap/>
            <w:vAlign w:val="bottom"/>
          </w:tcPr>
          <w:p w14:paraId="7BADE562" w14:textId="1351E763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shd w:val="clear" w:color="auto" w:fill="auto"/>
            <w:noWrap/>
            <w:vAlign w:val="bottom"/>
          </w:tcPr>
          <w:p w14:paraId="5945CCB9" w14:textId="0520124E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43" w:type="dxa"/>
            <w:shd w:val="clear" w:color="auto" w:fill="auto"/>
            <w:noWrap/>
            <w:vAlign w:val="bottom"/>
          </w:tcPr>
          <w:p w14:paraId="65CBB33D" w14:textId="34BBE485" w:rsidR="004135FF" w:rsidRPr="004135FF" w:rsidRDefault="004135FF" w:rsidP="004135FF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35FF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24" w:type="dxa"/>
            <w:shd w:val="clear" w:color="auto" w:fill="auto"/>
            <w:noWrap/>
            <w:vAlign w:val="bottom"/>
          </w:tcPr>
          <w:p w14:paraId="52A829CA" w14:textId="1328E496" w:rsidR="004135FF" w:rsidRPr="00CB4414" w:rsidRDefault="004135FF" w:rsidP="004135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RALB, EL1, DIAPH1, STAT1</w:t>
            </w:r>
          </w:p>
        </w:tc>
      </w:tr>
    </w:tbl>
    <w:p w14:paraId="2CA98C41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4BF5E27B" w14:textId="2690101C" w:rsidR="009276C1" w:rsidRPr="00CB4414" w:rsidRDefault="009276C1" w:rsidP="009276C1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CB4414">
        <w:rPr>
          <w:sz w:val="18"/>
          <w:szCs w:val="18"/>
        </w:rPr>
        <w:t xml:space="preserve">Table </w:t>
      </w:r>
      <w:r>
        <w:rPr>
          <w:sz w:val="18"/>
          <w:szCs w:val="18"/>
        </w:rPr>
        <w:t>3</w:t>
      </w:r>
      <w:r w:rsidRPr="00CB4414">
        <w:rPr>
          <w:sz w:val="18"/>
          <w:szCs w:val="18"/>
        </w:rPr>
        <w:t>: Summary of</w:t>
      </w:r>
      <w:r w:rsidRPr="00CB4414">
        <w:rPr>
          <w:b/>
          <w:sz w:val="18"/>
          <w:szCs w:val="18"/>
        </w:rPr>
        <w:t xml:space="preserve"> </w:t>
      </w:r>
      <w:r w:rsidRPr="00CB4414">
        <w:rPr>
          <w:sz w:val="18"/>
          <w:szCs w:val="18"/>
        </w:rPr>
        <w:t xml:space="preserve"> GO pathways of all </w:t>
      </w:r>
      <w:r>
        <w:rPr>
          <w:sz w:val="18"/>
          <w:szCs w:val="18"/>
        </w:rPr>
        <w:t>up</w:t>
      </w:r>
      <w:r w:rsidRPr="00CB4414">
        <w:rPr>
          <w:sz w:val="18"/>
          <w:szCs w:val="18"/>
        </w:rPr>
        <w:t>-regulated genes (in tota</w:t>
      </w:r>
      <w:r>
        <w:rPr>
          <w:sz w:val="18"/>
          <w:szCs w:val="18"/>
        </w:rPr>
        <w:t xml:space="preserve">l 51 </w:t>
      </w:r>
      <w:r w:rsidRPr="00CB4414">
        <w:rPr>
          <w:sz w:val="18"/>
          <w:szCs w:val="18"/>
        </w:rPr>
        <w:t xml:space="preserve">genes) from </w:t>
      </w:r>
      <w:r>
        <w:rPr>
          <w:sz w:val="18"/>
          <w:szCs w:val="18"/>
        </w:rPr>
        <w:t>the</w:t>
      </w:r>
      <w:r w:rsidRPr="00CB4414">
        <w:rPr>
          <w:sz w:val="18"/>
          <w:szCs w:val="18"/>
        </w:rPr>
        <w:t xml:space="preserve"> conditions between </w:t>
      </w:r>
      <w:r>
        <w:rPr>
          <w:sz w:val="18"/>
          <w:szCs w:val="18"/>
        </w:rPr>
        <w:t>young and middle aged samples.</w:t>
      </w:r>
    </w:p>
    <w:p w14:paraId="32FE5689" w14:textId="77777777" w:rsidR="009276C1" w:rsidRPr="00CB4414" w:rsidRDefault="009276C1" w:rsidP="009276C1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7F7657CD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7A134A88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511F355F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tbl>
      <w:tblPr>
        <w:tblW w:w="8121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6"/>
        <w:gridCol w:w="1739"/>
        <w:gridCol w:w="894"/>
        <w:gridCol w:w="1190"/>
        <w:gridCol w:w="1250"/>
        <w:gridCol w:w="626"/>
        <w:gridCol w:w="544"/>
        <w:gridCol w:w="399"/>
        <w:gridCol w:w="343"/>
      </w:tblGrid>
      <w:tr w:rsidR="008F6CE8" w:rsidRPr="00CB4414" w14:paraId="3F052F67" w14:textId="77777777" w:rsidTr="008F6CE8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5251E3C" w14:textId="77777777" w:rsidR="008F6CE8" w:rsidRPr="005D0A21" w:rsidRDefault="008F6CE8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GO Term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0C05CEA6" w14:textId="77777777" w:rsidR="008F6CE8" w:rsidRPr="005D0A21" w:rsidRDefault="008F6CE8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5D56A87" w14:textId="77777777" w:rsidR="008F6CE8" w:rsidRPr="005D0A21" w:rsidRDefault="008F6CE8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P-value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7764AE08" w14:textId="77777777" w:rsidR="008F6CE8" w:rsidRPr="005D0A21" w:rsidRDefault="008F6CE8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FDR q-value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C7565CF" w14:textId="77777777" w:rsidR="008F6CE8" w:rsidRPr="005D0A21" w:rsidRDefault="008F6CE8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Enrichment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6ECFAE9B" w14:textId="77777777" w:rsidR="008F6CE8" w:rsidRPr="005D0A21" w:rsidRDefault="008F6CE8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14:paraId="306A6C9E" w14:textId="77777777" w:rsidR="008F6CE8" w:rsidRPr="005D0A21" w:rsidRDefault="008F6CE8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B</w:t>
            </w:r>
          </w:p>
        </w:tc>
        <w:tc>
          <w:tcPr>
            <w:tcW w:w="399" w:type="dxa"/>
            <w:shd w:val="clear" w:color="auto" w:fill="auto"/>
            <w:noWrap/>
            <w:vAlign w:val="bottom"/>
            <w:hideMark/>
          </w:tcPr>
          <w:p w14:paraId="7DD5AA0F" w14:textId="77777777" w:rsidR="008F6CE8" w:rsidRPr="005D0A21" w:rsidRDefault="008F6CE8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08E9F84A" w14:textId="77777777" w:rsidR="008F6CE8" w:rsidRPr="005D0A21" w:rsidRDefault="008F6CE8" w:rsidP="009276C1">
            <w:pPr>
              <w:rPr>
                <w:b/>
                <w:color w:val="000000"/>
                <w:sz w:val="18"/>
                <w:szCs w:val="18"/>
              </w:rPr>
            </w:pPr>
            <w:r w:rsidRPr="005D0A21">
              <w:rPr>
                <w:b/>
                <w:color w:val="000000"/>
                <w:sz w:val="18"/>
                <w:szCs w:val="18"/>
              </w:rPr>
              <w:t>b</w:t>
            </w:r>
          </w:p>
        </w:tc>
      </w:tr>
      <w:tr w:rsidR="008F6CE8" w:rsidRPr="00CB4414" w14:paraId="6370AEEE" w14:textId="77777777" w:rsidTr="008F6CE8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  <w:hideMark/>
          </w:tcPr>
          <w:p w14:paraId="44F8664C" w14:textId="4C17D972" w:rsidR="008F6CE8" w:rsidRPr="005D0A2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GO:0051172</w:t>
            </w:r>
          </w:p>
        </w:tc>
        <w:tc>
          <w:tcPr>
            <w:tcW w:w="1739" w:type="dxa"/>
            <w:shd w:val="clear" w:color="auto" w:fill="D0CECE" w:themeFill="background2" w:themeFillShade="E6"/>
            <w:noWrap/>
            <w:vAlign w:val="bottom"/>
            <w:hideMark/>
          </w:tcPr>
          <w:p w14:paraId="08795053" w14:textId="25BDF60A" w:rsidR="008F6CE8" w:rsidRPr="005D0A2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nitrogen compound metabolic process</w:t>
            </w:r>
          </w:p>
        </w:tc>
        <w:tc>
          <w:tcPr>
            <w:tcW w:w="894" w:type="dxa"/>
            <w:shd w:val="clear" w:color="auto" w:fill="D0CECE" w:themeFill="background2" w:themeFillShade="E6"/>
            <w:noWrap/>
            <w:vAlign w:val="bottom"/>
            <w:hideMark/>
          </w:tcPr>
          <w:p w14:paraId="310B240B" w14:textId="78CE6B77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7.79E-06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  <w:hideMark/>
          </w:tcPr>
          <w:p w14:paraId="13729410" w14:textId="1CAC7BE6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4.07E-02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  <w:hideMark/>
          </w:tcPr>
          <w:p w14:paraId="2DA6EA07" w14:textId="1D7D37AC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5.98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  <w:hideMark/>
          </w:tcPr>
          <w:p w14:paraId="776CDB91" w14:textId="51DB9E38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  <w:hideMark/>
          </w:tcPr>
          <w:p w14:paraId="26303F64" w14:textId="6251250C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  <w:hideMark/>
          </w:tcPr>
          <w:p w14:paraId="23FCA098" w14:textId="55FCD88E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  <w:hideMark/>
          </w:tcPr>
          <w:p w14:paraId="2DA9A2B7" w14:textId="5E0AC068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</w:tr>
      <w:tr w:rsidR="008F6CE8" w:rsidRPr="00CB4414" w14:paraId="381BB559" w14:textId="77777777" w:rsidTr="008F6CE8">
        <w:trPr>
          <w:trHeight w:val="309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4F3D6C5" w14:textId="35965C3E" w:rsidR="008F6CE8" w:rsidRPr="005D0A2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GO:2000113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49833C80" w14:textId="71FFADE8" w:rsidR="008F6CE8" w:rsidRPr="005D0A2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cellular macromolecule biosynthetic process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AB4DAEF" w14:textId="67DBC8E1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9.85E-06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73FD3E6" w14:textId="709CB172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2.57E-02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06B0E691" w14:textId="111E449A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9.85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4B89EB24" w14:textId="4D21BE72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14:paraId="050EB333" w14:textId="24005016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399" w:type="dxa"/>
            <w:shd w:val="clear" w:color="auto" w:fill="auto"/>
            <w:noWrap/>
            <w:vAlign w:val="bottom"/>
            <w:hideMark/>
          </w:tcPr>
          <w:p w14:paraId="1FFD6D51" w14:textId="0078D05D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58578255" w14:textId="2716D1E3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</w:tr>
      <w:tr w:rsidR="008F6CE8" w:rsidRPr="00CB4414" w14:paraId="7C95B531" w14:textId="77777777" w:rsidTr="008F6CE8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  <w:hideMark/>
          </w:tcPr>
          <w:p w14:paraId="1A08F4FF" w14:textId="663958CD" w:rsidR="008F6CE8" w:rsidRPr="005D0A2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GO:0010605</w:t>
            </w:r>
          </w:p>
        </w:tc>
        <w:tc>
          <w:tcPr>
            <w:tcW w:w="1739" w:type="dxa"/>
            <w:shd w:val="clear" w:color="auto" w:fill="D0CECE" w:themeFill="background2" w:themeFillShade="E6"/>
            <w:noWrap/>
            <w:vAlign w:val="bottom"/>
            <w:hideMark/>
          </w:tcPr>
          <w:p w14:paraId="64AB900F" w14:textId="36EC7ED1" w:rsidR="008F6CE8" w:rsidRPr="005D0A2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macromolecule metabolic process</w:t>
            </w:r>
          </w:p>
        </w:tc>
        <w:tc>
          <w:tcPr>
            <w:tcW w:w="894" w:type="dxa"/>
            <w:shd w:val="clear" w:color="auto" w:fill="D0CECE" w:themeFill="background2" w:themeFillShade="E6"/>
            <w:noWrap/>
            <w:vAlign w:val="bottom"/>
            <w:hideMark/>
          </w:tcPr>
          <w:p w14:paraId="24C27CD9" w14:textId="408F5D6E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1.19E-05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  <w:hideMark/>
          </w:tcPr>
          <w:p w14:paraId="543C4BCD" w14:textId="3BCFA2F4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2.07E-02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  <w:hideMark/>
          </w:tcPr>
          <w:p w14:paraId="2834CF71" w14:textId="709CF249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  <w:hideMark/>
          </w:tcPr>
          <w:p w14:paraId="0D06DEF9" w14:textId="542BAD52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  <w:hideMark/>
          </w:tcPr>
          <w:p w14:paraId="5BA49D6B" w14:textId="18794746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  <w:hideMark/>
          </w:tcPr>
          <w:p w14:paraId="5537FD18" w14:textId="1D3A66A3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  <w:hideMark/>
          </w:tcPr>
          <w:p w14:paraId="5FF558C9" w14:textId="26C5345E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</w:tr>
      <w:tr w:rsidR="008F6CE8" w:rsidRPr="00CB4414" w14:paraId="549B2922" w14:textId="77777777" w:rsidTr="008F6CE8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</w:tcPr>
          <w:p w14:paraId="165525E5" w14:textId="46117534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GO:0031324</w:t>
            </w:r>
          </w:p>
        </w:tc>
        <w:tc>
          <w:tcPr>
            <w:tcW w:w="1739" w:type="dxa"/>
            <w:shd w:val="clear" w:color="auto" w:fill="auto"/>
            <w:noWrap/>
            <w:vAlign w:val="bottom"/>
          </w:tcPr>
          <w:p w14:paraId="5B9B76DD" w14:textId="36BCAA16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cellular metabolic process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62BF0B9" w14:textId="6D15001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1.19E-05</w:t>
            </w:r>
          </w:p>
        </w:tc>
        <w:tc>
          <w:tcPr>
            <w:tcW w:w="1190" w:type="dxa"/>
            <w:shd w:val="clear" w:color="auto" w:fill="auto"/>
            <w:noWrap/>
            <w:vAlign w:val="bottom"/>
          </w:tcPr>
          <w:p w14:paraId="0EBECD64" w14:textId="1895E52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1.55E-02</w:t>
            </w:r>
          </w:p>
        </w:tc>
        <w:tc>
          <w:tcPr>
            <w:tcW w:w="1250" w:type="dxa"/>
            <w:shd w:val="clear" w:color="auto" w:fill="auto"/>
            <w:noWrap/>
            <w:vAlign w:val="bottom"/>
          </w:tcPr>
          <w:p w14:paraId="48DA2342" w14:textId="5B63CE7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626" w:type="dxa"/>
            <w:shd w:val="clear" w:color="auto" w:fill="auto"/>
            <w:noWrap/>
            <w:vAlign w:val="bottom"/>
          </w:tcPr>
          <w:p w14:paraId="73878213" w14:textId="48C4208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shd w:val="clear" w:color="auto" w:fill="auto"/>
            <w:noWrap/>
            <w:vAlign w:val="bottom"/>
          </w:tcPr>
          <w:p w14:paraId="309610B5" w14:textId="4E802F68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399" w:type="dxa"/>
            <w:shd w:val="clear" w:color="auto" w:fill="auto"/>
            <w:noWrap/>
            <w:vAlign w:val="bottom"/>
          </w:tcPr>
          <w:p w14:paraId="080BC8B3" w14:textId="059824E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shd w:val="clear" w:color="auto" w:fill="auto"/>
            <w:noWrap/>
            <w:vAlign w:val="bottom"/>
          </w:tcPr>
          <w:p w14:paraId="471F1F71" w14:textId="36A83A4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</w:tr>
      <w:tr w:rsidR="008F6CE8" w:rsidRPr="00CB4414" w14:paraId="754ECB64" w14:textId="77777777" w:rsidTr="008F6CE8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  <w:hideMark/>
          </w:tcPr>
          <w:p w14:paraId="5F85F35D" w14:textId="4B523A06" w:rsidR="008F6CE8" w:rsidRPr="005D0A2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GO:0071495</w:t>
            </w:r>
          </w:p>
        </w:tc>
        <w:tc>
          <w:tcPr>
            <w:tcW w:w="1739" w:type="dxa"/>
            <w:shd w:val="clear" w:color="auto" w:fill="D0CECE" w:themeFill="background2" w:themeFillShade="E6"/>
            <w:noWrap/>
            <w:vAlign w:val="bottom"/>
            <w:hideMark/>
          </w:tcPr>
          <w:p w14:paraId="30D613D9" w14:textId="190D4E8F" w:rsidR="008F6CE8" w:rsidRPr="005D0A2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cellular response to endogenous stimulus</w:t>
            </w:r>
          </w:p>
        </w:tc>
        <w:tc>
          <w:tcPr>
            <w:tcW w:w="894" w:type="dxa"/>
            <w:shd w:val="clear" w:color="auto" w:fill="D0CECE" w:themeFill="background2" w:themeFillShade="E6"/>
            <w:noWrap/>
            <w:vAlign w:val="bottom"/>
            <w:hideMark/>
          </w:tcPr>
          <w:p w14:paraId="1FC4363D" w14:textId="38DB91FA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1.39E-05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  <w:hideMark/>
          </w:tcPr>
          <w:p w14:paraId="456183CC" w14:textId="5E9A3247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1.45E-02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  <w:hideMark/>
          </w:tcPr>
          <w:p w14:paraId="490A0772" w14:textId="5B987F20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13.46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  <w:hideMark/>
          </w:tcPr>
          <w:p w14:paraId="20CC6E31" w14:textId="5272B8A8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  <w:hideMark/>
          </w:tcPr>
          <w:p w14:paraId="5DAC161B" w14:textId="55BE00CD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  <w:hideMark/>
          </w:tcPr>
          <w:p w14:paraId="2DD8EE83" w14:textId="08E0E316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  <w:hideMark/>
          </w:tcPr>
          <w:p w14:paraId="7642F639" w14:textId="2A9046AF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</w:tr>
      <w:tr w:rsidR="008F6CE8" w:rsidRPr="00CB4414" w14:paraId="50DB3BDA" w14:textId="77777777" w:rsidTr="008F6CE8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6ADDAF78" w14:textId="6CB6E0F4" w:rsidR="008F6CE8" w:rsidRPr="005D0A2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GO:0010558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55A16DFA" w14:textId="570E5A02" w:rsidR="008F6CE8" w:rsidRPr="005D0A2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macromolecule biosynthetic process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D04F281" w14:textId="7B582370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1.51E-05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31D7FACF" w14:textId="6916EFD9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1.32E-02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5BD96AA" w14:textId="7EBEA375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9.18</w:t>
            </w:r>
          </w:p>
        </w:tc>
        <w:tc>
          <w:tcPr>
            <w:tcW w:w="626" w:type="dxa"/>
            <w:shd w:val="clear" w:color="auto" w:fill="auto"/>
            <w:noWrap/>
            <w:vAlign w:val="bottom"/>
            <w:hideMark/>
          </w:tcPr>
          <w:p w14:paraId="1549CBD5" w14:textId="591BBB0A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14:paraId="4B1D5636" w14:textId="066E4F7A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99" w:type="dxa"/>
            <w:shd w:val="clear" w:color="auto" w:fill="auto"/>
            <w:noWrap/>
            <w:vAlign w:val="bottom"/>
            <w:hideMark/>
          </w:tcPr>
          <w:p w14:paraId="3F81396C" w14:textId="7BFCA105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14:paraId="5B84BBF9" w14:textId="74C97A4D" w:rsidR="008F6CE8" w:rsidRPr="005D0A2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</w:tr>
      <w:tr w:rsidR="008F6CE8" w:rsidRPr="00CB4414" w14:paraId="25D55FDD" w14:textId="77777777" w:rsidTr="008F6CE8">
        <w:trPr>
          <w:trHeight w:val="320"/>
        </w:trPr>
        <w:tc>
          <w:tcPr>
            <w:tcW w:w="1136" w:type="dxa"/>
            <w:shd w:val="clear" w:color="auto" w:fill="D0CECE" w:themeFill="background2" w:themeFillShade="E6"/>
            <w:noWrap/>
            <w:vAlign w:val="bottom"/>
          </w:tcPr>
          <w:p w14:paraId="0594044C" w14:textId="0E7A5EFF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GO:0051253</w:t>
            </w:r>
          </w:p>
        </w:tc>
        <w:tc>
          <w:tcPr>
            <w:tcW w:w="1739" w:type="dxa"/>
            <w:shd w:val="clear" w:color="auto" w:fill="D0CECE" w:themeFill="background2" w:themeFillShade="E6"/>
            <w:noWrap/>
            <w:vAlign w:val="bottom"/>
          </w:tcPr>
          <w:p w14:paraId="1A7592E1" w14:textId="656C5BAF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RNA metabolic process</w:t>
            </w:r>
          </w:p>
        </w:tc>
        <w:tc>
          <w:tcPr>
            <w:tcW w:w="894" w:type="dxa"/>
            <w:shd w:val="clear" w:color="auto" w:fill="D0CECE" w:themeFill="background2" w:themeFillShade="E6"/>
            <w:noWrap/>
            <w:vAlign w:val="bottom"/>
          </w:tcPr>
          <w:p w14:paraId="2B908F37" w14:textId="4F0C240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1.51E-05</w:t>
            </w:r>
          </w:p>
        </w:tc>
        <w:tc>
          <w:tcPr>
            <w:tcW w:w="1190" w:type="dxa"/>
            <w:shd w:val="clear" w:color="auto" w:fill="D0CECE" w:themeFill="background2" w:themeFillShade="E6"/>
            <w:noWrap/>
            <w:vAlign w:val="bottom"/>
          </w:tcPr>
          <w:p w14:paraId="63D303C6" w14:textId="56BAD9C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1.13E-02</w:t>
            </w:r>
          </w:p>
        </w:tc>
        <w:tc>
          <w:tcPr>
            <w:tcW w:w="1250" w:type="dxa"/>
            <w:shd w:val="clear" w:color="auto" w:fill="D0CECE" w:themeFill="background2" w:themeFillShade="E6"/>
            <w:noWrap/>
            <w:vAlign w:val="bottom"/>
          </w:tcPr>
          <w:p w14:paraId="3144B81E" w14:textId="3994DCA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9.18</w:t>
            </w:r>
          </w:p>
        </w:tc>
        <w:tc>
          <w:tcPr>
            <w:tcW w:w="626" w:type="dxa"/>
            <w:shd w:val="clear" w:color="auto" w:fill="D0CECE" w:themeFill="background2" w:themeFillShade="E6"/>
            <w:noWrap/>
            <w:vAlign w:val="bottom"/>
          </w:tcPr>
          <w:p w14:paraId="34583409" w14:textId="4105EB08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shd w:val="clear" w:color="auto" w:fill="D0CECE" w:themeFill="background2" w:themeFillShade="E6"/>
            <w:noWrap/>
            <w:vAlign w:val="bottom"/>
          </w:tcPr>
          <w:p w14:paraId="36D10EA4" w14:textId="4880756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99" w:type="dxa"/>
            <w:shd w:val="clear" w:color="auto" w:fill="D0CECE" w:themeFill="background2" w:themeFillShade="E6"/>
            <w:noWrap/>
            <w:vAlign w:val="bottom"/>
          </w:tcPr>
          <w:p w14:paraId="0D2B8D76" w14:textId="4BA0181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shd w:val="clear" w:color="auto" w:fill="D0CECE" w:themeFill="background2" w:themeFillShade="E6"/>
            <w:noWrap/>
            <w:vAlign w:val="bottom"/>
          </w:tcPr>
          <w:p w14:paraId="5ADEA036" w14:textId="6559E68F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</w:tr>
      <w:tr w:rsidR="008F6CE8" w:rsidRPr="00CB4414" w14:paraId="591C0104" w14:textId="77777777" w:rsidTr="008F6CE8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</w:tcPr>
          <w:p w14:paraId="349E259A" w14:textId="44EED603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GO:0071310</w:t>
            </w:r>
          </w:p>
        </w:tc>
        <w:tc>
          <w:tcPr>
            <w:tcW w:w="1739" w:type="dxa"/>
            <w:shd w:val="clear" w:color="auto" w:fill="auto"/>
            <w:noWrap/>
            <w:vAlign w:val="bottom"/>
          </w:tcPr>
          <w:p w14:paraId="3215665A" w14:textId="199517AB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cellular response to organic substance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A0469A0" w14:textId="07B9C82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1.73E-05</w:t>
            </w:r>
          </w:p>
        </w:tc>
        <w:tc>
          <w:tcPr>
            <w:tcW w:w="1190" w:type="dxa"/>
            <w:shd w:val="clear" w:color="auto" w:fill="auto"/>
            <w:noWrap/>
            <w:vAlign w:val="bottom"/>
          </w:tcPr>
          <w:p w14:paraId="165524A6" w14:textId="7D40292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1.13E-02</w:t>
            </w:r>
          </w:p>
        </w:tc>
        <w:tc>
          <w:tcPr>
            <w:tcW w:w="1250" w:type="dxa"/>
            <w:shd w:val="clear" w:color="auto" w:fill="auto"/>
            <w:noWrap/>
            <w:vAlign w:val="bottom"/>
          </w:tcPr>
          <w:p w14:paraId="5B6BC227" w14:textId="2177A4B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8.97</w:t>
            </w:r>
          </w:p>
        </w:tc>
        <w:tc>
          <w:tcPr>
            <w:tcW w:w="626" w:type="dxa"/>
            <w:shd w:val="clear" w:color="auto" w:fill="auto"/>
            <w:noWrap/>
            <w:vAlign w:val="bottom"/>
          </w:tcPr>
          <w:p w14:paraId="500447CE" w14:textId="05F701E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shd w:val="clear" w:color="auto" w:fill="auto"/>
            <w:noWrap/>
            <w:vAlign w:val="bottom"/>
          </w:tcPr>
          <w:p w14:paraId="4F438A6B" w14:textId="7010092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99" w:type="dxa"/>
            <w:shd w:val="clear" w:color="auto" w:fill="auto"/>
            <w:noWrap/>
            <w:vAlign w:val="bottom"/>
          </w:tcPr>
          <w:p w14:paraId="6D2209E1" w14:textId="323CE78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shd w:val="clear" w:color="auto" w:fill="auto"/>
            <w:noWrap/>
            <w:vAlign w:val="bottom"/>
          </w:tcPr>
          <w:p w14:paraId="4DE1E2DD" w14:textId="658AFA5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</w:tr>
      <w:tr w:rsidR="008F6CE8" w:rsidRPr="00CB4414" w14:paraId="0982733F" w14:textId="77777777" w:rsidTr="008F6CE8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</w:tcPr>
          <w:p w14:paraId="24F39DC7" w14:textId="1FB29C59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GO:0031327</w:t>
            </w:r>
          </w:p>
        </w:tc>
        <w:tc>
          <w:tcPr>
            <w:tcW w:w="1739" w:type="dxa"/>
            <w:shd w:val="clear" w:color="auto" w:fill="auto"/>
            <w:noWrap/>
            <w:vAlign w:val="bottom"/>
          </w:tcPr>
          <w:p w14:paraId="30F89849" w14:textId="2224B36A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cellular biosynthetic process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BF6FCD0" w14:textId="75039C0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1.98E-05</w:t>
            </w:r>
          </w:p>
        </w:tc>
        <w:tc>
          <w:tcPr>
            <w:tcW w:w="1190" w:type="dxa"/>
            <w:shd w:val="clear" w:color="auto" w:fill="auto"/>
            <w:noWrap/>
            <w:vAlign w:val="bottom"/>
          </w:tcPr>
          <w:p w14:paraId="5D4D9EAA" w14:textId="2684E2E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1.15E-02</w:t>
            </w:r>
          </w:p>
        </w:tc>
        <w:tc>
          <w:tcPr>
            <w:tcW w:w="1250" w:type="dxa"/>
            <w:shd w:val="clear" w:color="auto" w:fill="auto"/>
            <w:noWrap/>
            <w:vAlign w:val="bottom"/>
          </w:tcPr>
          <w:p w14:paraId="05CCB734" w14:textId="53017A3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8.78</w:t>
            </w:r>
          </w:p>
        </w:tc>
        <w:tc>
          <w:tcPr>
            <w:tcW w:w="626" w:type="dxa"/>
            <w:shd w:val="clear" w:color="auto" w:fill="auto"/>
            <w:noWrap/>
            <w:vAlign w:val="bottom"/>
          </w:tcPr>
          <w:p w14:paraId="199CF865" w14:textId="7ABAF9C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shd w:val="clear" w:color="auto" w:fill="auto"/>
            <w:noWrap/>
            <w:vAlign w:val="bottom"/>
          </w:tcPr>
          <w:p w14:paraId="35F1FE81" w14:textId="720C568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99" w:type="dxa"/>
            <w:shd w:val="clear" w:color="auto" w:fill="auto"/>
            <w:noWrap/>
            <w:vAlign w:val="bottom"/>
          </w:tcPr>
          <w:p w14:paraId="1FBD5D1A" w14:textId="5E6044C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shd w:val="clear" w:color="auto" w:fill="auto"/>
            <w:noWrap/>
            <w:vAlign w:val="bottom"/>
          </w:tcPr>
          <w:p w14:paraId="3EA977CD" w14:textId="2E3C122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</w:tr>
      <w:tr w:rsidR="008F6CE8" w:rsidRPr="00CB4414" w14:paraId="507DF092" w14:textId="77777777" w:rsidTr="008F6CE8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</w:tcPr>
          <w:p w14:paraId="43293540" w14:textId="519196BF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GO:0009892</w:t>
            </w:r>
          </w:p>
        </w:tc>
        <w:tc>
          <w:tcPr>
            <w:tcW w:w="1739" w:type="dxa"/>
            <w:shd w:val="clear" w:color="auto" w:fill="auto"/>
            <w:noWrap/>
            <w:vAlign w:val="bottom"/>
          </w:tcPr>
          <w:p w14:paraId="1EECBC6E" w14:textId="5950EDC9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metabolic process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B059C2D" w14:textId="10BF0E0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2.22E-05</w:t>
            </w:r>
          </w:p>
        </w:tc>
        <w:tc>
          <w:tcPr>
            <w:tcW w:w="1190" w:type="dxa"/>
            <w:shd w:val="clear" w:color="auto" w:fill="auto"/>
            <w:noWrap/>
            <w:vAlign w:val="bottom"/>
          </w:tcPr>
          <w:p w14:paraId="214570D9" w14:textId="0C8A5D3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1.16E-02</w:t>
            </w:r>
          </w:p>
        </w:tc>
        <w:tc>
          <w:tcPr>
            <w:tcW w:w="1250" w:type="dxa"/>
            <w:shd w:val="clear" w:color="auto" w:fill="auto"/>
            <w:noWrap/>
            <w:vAlign w:val="bottom"/>
          </w:tcPr>
          <w:p w14:paraId="0006EA1C" w14:textId="3325E62F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5.23</w:t>
            </w:r>
          </w:p>
        </w:tc>
        <w:tc>
          <w:tcPr>
            <w:tcW w:w="626" w:type="dxa"/>
            <w:shd w:val="clear" w:color="auto" w:fill="auto"/>
            <w:noWrap/>
            <w:vAlign w:val="bottom"/>
          </w:tcPr>
          <w:p w14:paraId="244FED45" w14:textId="4FFC7A8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shd w:val="clear" w:color="auto" w:fill="auto"/>
            <w:noWrap/>
            <w:vAlign w:val="bottom"/>
          </w:tcPr>
          <w:p w14:paraId="294E3348" w14:textId="23F67F7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399" w:type="dxa"/>
            <w:shd w:val="clear" w:color="auto" w:fill="auto"/>
            <w:noWrap/>
            <w:vAlign w:val="bottom"/>
          </w:tcPr>
          <w:p w14:paraId="38120FA6" w14:textId="4285B97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shd w:val="clear" w:color="auto" w:fill="auto"/>
            <w:noWrap/>
            <w:vAlign w:val="bottom"/>
          </w:tcPr>
          <w:p w14:paraId="27EF1984" w14:textId="1F283ED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</w:tr>
      <w:tr w:rsidR="008F6CE8" w:rsidRPr="00CB4414" w14:paraId="47CB4582" w14:textId="77777777" w:rsidTr="008F6CE8">
        <w:trPr>
          <w:trHeight w:val="320"/>
        </w:trPr>
        <w:tc>
          <w:tcPr>
            <w:tcW w:w="1136" w:type="dxa"/>
            <w:shd w:val="clear" w:color="auto" w:fill="auto"/>
            <w:noWrap/>
            <w:vAlign w:val="bottom"/>
          </w:tcPr>
          <w:p w14:paraId="05CB6181" w14:textId="0790CCAA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GO:0009890</w:t>
            </w:r>
          </w:p>
        </w:tc>
        <w:tc>
          <w:tcPr>
            <w:tcW w:w="1739" w:type="dxa"/>
            <w:shd w:val="clear" w:color="auto" w:fill="auto"/>
            <w:noWrap/>
            <w:vAlign w:val="bottom"/>
          </w:tcPr>
          <w:p w14:paraId="66683886" w14:textId="2FBA3FC7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biosynthetic process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74D6264" w14:textId="48B3AA3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2.56E-05</w:t>
            </w:r>
          </w:p>
        </w:tc>
        <w:tc>
          <w:tcPr>
            <w:tcW w:w="1190" w:type="dxa"/>
            <w:shd w:val="clear" w:color="auto" w:fill="auto"/>
            <w:noWrap/>
            <w:vAlign w:val="bottom"/>
          </w:tcPr>
          <w:p w14:paraId="7EC47DE0" w14:textId="2281A29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1.21E-02</w:t>
            </w:r>
          </w:p>
        </w:tc>
        <w:tc>
          <w:tcPr>
            <w:tcW w:w="1250" w:type="dxa"/>
            <w:shd w:val="clear" w:color="auto" w:fill="auto"/>
            <w:noWrap/>
            <w:vAlign w:val="bottom"/>
          </w:tcPr>
          <w:p w14:paraId="531DFBA0" w14:textId="5A03C70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8.41</w:t>
            </w:r>
          </w:p>
        </w:tc>
        <w:tc>
          <w:tcPr>
            <w:tcW w:w="626" w:type="dxa"/>
            <w:shd w:val="clear" w:color="auto" w:fill="auto"/>
            <w:noWrap/>
            <w:vAlign w:val="bottom"/>
          </w:tcPr>
          <w:p w14:paraId="404B0FB4" w14:textId="6A99830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shd w:val="clear" w:color="auto" w:fill="auto"/>
            <w:noWrap/>
            <w:vAlign w:val="bottom"/>
          </w:tcPr>
          <w:p w14:paraId="1AA6396B" w14:textId="54BBEFC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99" w:type="dxa"/>
            <w:shd w:val="clear" w:color="auto" w:fill="auto"/>
            <w:noWrap/>
            <w:vAlign w:val="bottom"/>
          </w:tcPr>
          <w:p w14:paraId="75F58D38" w14:textId="731A02E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shd w:val="clear" w:color="auto" w:fill="auto"/>
            <w:noWrap/>
            <w:vAlign w:val="bottom"/>
          </w:tcPr>
          <w:p w14:paraId="683784E4" w14:textId="1978DFE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</w:tr>
      <w:tr w:rsidR="008F6CE8" w14:paraId="49D96FF6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8F09658" w14:textId="4D32256A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GO:0010033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0C4535C" w14:textId="17D22974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response to organic substance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6BEBC66" w14:textId="748D07B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2.67E-05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E4E75EF" w14:textId="616E5A7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1.16E-02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30F4CB5" w14:textId="61905BD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6.37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CFE9166" w14:textId="7A21440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D1CC123" w14:textId="693C1F2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32A0F56" w14:textId="42840E2F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F9B5C37" w14:textId="5F20F3F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</w:t>
            </w:r>
          </w:p>
        </w:tc>
      </w:tr>
      <w:tr w:rsidR="008F6CE8" w14:paraId="4CA97300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5A91B97" w14:textId="0E3B60B6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3" w:name="_GoBack"/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GO:0000122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39446EC" w14:textId="16F9D8C6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transcription by RNA polymerase II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A71A81F" w14:textId="09FDCF5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3.57E-05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54B85AD" w14:textId="6907106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1.44E-02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D542493" w14:textId="4F0DC95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11.22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00BF65E" w14:textId="5EF1DAB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5F73B41" w14:textId="7F6126C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8A914EB" w14:textId="4D188664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99428DA" w14:textId="40E880DF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</w:tr>
      <w:bookmarkEnd w:id="3"/>
      <w:tr w:rsidR="008F6CE8" w14:paraId="32C295C3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BAD9D9F" w14:textId="32A4BCFC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GO:0010629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E848F56" w14:textId="74F2DE72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gene expression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E7BC762" w14:textId="244C9F8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3.67E-05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D9CDF3C" w14:textId="2A907E9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1.37E-02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62CB22D" w14:textId="045464EF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7.92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BBC36BA" w14:textId="34B0D9A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E8C30E6" w14:textId="7F9A915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33CAB4B" w14:textId="67C5AC5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9841784" w14:textId="257240D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</w:tr>
      <w:tr w:rsidR="008F6CE8" w14:paraId="423D15AA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DF81F98" w14:textId="2B2DE513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GO:0045934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2E10E8A" w14:textId="1AB9DE80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nucleobase-containing compound metabolic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EF7BBF1" w14:textId="67998ABF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3.67E-05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0F1F766" w14:textId="086CAEB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1.28E-02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DACDECB" w14:textId="4C77301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7.92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BEBEA4F" w14:textId="137DCAF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488CD5D" w14:textId="5BE1087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F3B3B95" w14:textId="630E1AF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E6991F5" w14:textId="2F2E356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</w:tr>
      <w:tr w:rsidR="008F6CE8" w14:paraId="6236FF35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C74FEA4" w14:textId="1AC27912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GO:0010628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F59A8ED" w14:textId="31AB6F2C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positive regulation of gene expression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DB273A6" w14:textId="18D4B75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4.16E-05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20B8258" w14:textId="338A3B9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1.36E-02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E94380C" w14:textId="591D693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5.96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736E22E" w14:textId="585A873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F8FAC91" w14:textId="2402758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5DC16D0" w14:textId="0D64153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763DEC4" w14:textId="538D950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</w:t>
            </w:r>
          </w:p>
        </w:tc>
      </w:tr>
      <w:tr w:rsidR="008F6CE8" w14:paraId="08C4481C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2E99175" w14:textId="799BD98D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GO:0070887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57E235A" w14:textId="6AF60183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cellular response to chemical stimulus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31EF242" w14:textId="7AA4F23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4.61E-05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540C184" w14:textId="24EC993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1.42E-02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04CC23E" w14:textId="23BEDB94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7.62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BC47D79" w14:textId="6BFA754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C0E403B" w14:textId="0271638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9C30548" w14:textId="53042A4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9AE5992" w14:textId="61D7BA4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</w:tr>
      <w:tr w:rsidR="008F6CE8" w14:paraId="6EF42ED5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D0F1271" w14:textId="2C11C1EF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GO:0042221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64362B2" w14:textId="4049B1A2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response to chemical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22E4B5D" w14:textId="66307C7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5.81E-05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50DFCA3" w14:textId="6D23377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1.68E-02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4A1C87D" w14:textId="7B14D64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5.68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D9543FE" w14:textId="696E602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25E4648" w14:textId="4A6B8EB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5BB1E49" w14:textId="1B4EAE1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685A019" w14:textId="3479774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</w:t>
            </w:r>
          </w:p>
        </w:tc>
      </w:tr>
      <w:tr w:rsidR="008F6CE8" w14:paraId="7B83B318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8B59166" w14:textId="32E0DCB8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GO:2000112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897BECF" w14:textId="77804C17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regulation of cellular macromolecule biosynthetic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07FF359" w14:textId="0FF418F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6.16E-05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7A7899A" w14:textId="226EE3C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1.69E-02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156C4D7" w14:textId="1325CCB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3.83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8CA5B87" w14:textId="2C2A9C5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6260157" w14:textId="79BD4B2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B0E4265" w14:textId="6DF8761F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D15E3B9" w14:textId="6FD87F9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</w:tr>
      <w:tr w:rsidR="008F6CE8" w14:paraId="7043EBEC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67AA95E" w14:textId="5FA2C4B3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GO:0010556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AC02230" w14:textId="0260FDF1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regulation of macromolecule biosynthetic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7EC5744" w14:textId="5DFAC424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7.22E-05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0DC9EA6" w14:textId="78437EC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1.88E-02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ABF2312" w14:textId="5062B59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3.76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1B11812" w14:textId="75DE197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1F53CA8" w14:textId="64846E88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824FC3B" w14:textId="4791322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DED3F5E" w14:textId="283D8E0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</w:tr>
      <w:tr w:rsidR="008F6CE8" w14:paraId="33F25CB6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8BEA362" w14:textId="5C7DB106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GO:0010604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48EE11C" w14:textId="5CFD2C43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positive regulation of macromolecule metabolic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85EC86A" w14:textId="7797F48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1.03E-04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73B4ACC" w14:textId="1B8DF33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2.56E-02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8B1481B" w14:textId="2FB8096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4.27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427FF0A" w14:textId="424D8364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D6FE431" w14:textId="32B67E6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8922988" w14:textId="1E1BFE8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A501874" w14:textId="3301257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</w:tr>
      <w:tr w:rsidR="008F6CE8" w14:paraId="03394EE8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3DB7FBD" w14:textId="4E080413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GO:0045892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6C07CC1" w14:textId="24913AAD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transcription, DNA-templated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17EE522" w14:textId="7284B64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1.03E-04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C292E34" w14:textId="685244F8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2.46E-02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2DE6D76" w14:textId="372CC35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A1A2947" w14:textId="4B4E09D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8AE415C" w14:textId="0BDC49E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00E6BF2" w14:textId="1D0C2A1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44FF0C3" w14:textId="76B781E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</w:tr>
      <w:tr w:rsidR="008F6CE8" w14:paraId="026966C5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894D2ED" w14:textId="78FF7B0B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GO:0031326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06CB43B" w14:textId="7C204636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regulation of cellular biosynthetic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54AF5A7" w14:textId="7D32712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1.14E-04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7BEE6AE" w14:textId="132B3EB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2.59E-02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1A460FA" w14:textId="7D125EE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A292066" w14:textId="44CEBA8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6CCD121" w14:textId="49D5958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A7FC44B" w14:textId="21D6D58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29A3AE6" w14:textId="49CB7D2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</w:tr>
      <w:tr w:rsidR="008F6CE8" w14:paraId="0E07AECA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098373D" w14:textId="1E8E2A53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GO:0009719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A8BD4F5" w14:textId="4EFA791C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response to endogenous stimulus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17576DF" w14:textId="7A050188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1.18E-04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25E27E0" w14:textId="2D18C0D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2.57E-02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12C6E33" w14:textId="29AB748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8.86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08C92B7" w14:textId="31A2A9F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BE54E86" w14:textId="485EA49F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7022E90" w14:textId="71DE3D54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9C139E1" w14:textId="75E3A9F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</w:tr>
      <w:tr w:rsidR="008F6CE8" w14:paraId="6B9D8FBC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7C9432A" w14:textId="39FD2D19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GO:0009889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F227C8B" w14:textId="40B7D7FF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regulation of biosynthetic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910DBFA" w14:textId="67E6292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1.52E-04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6D3ECD9" w14:textId="03C59D0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3.18E-02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B32114E" w14:textId="4F24EF0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ACEBA53" w14:textId="56F3AEB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7CEC597" w14:textId="5D81CED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27EF79D" w14:textId="57E9B2D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BEE1FFF" w14:textId="3B7F225F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</w:tr>
      <w:tr w:rsidR="008F6CE8" w14:paraId="71D90880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6A00221" w14:textId="175673CD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GO:1902679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37E75F2" w14:textId="6AA5386A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RNA biosynthetic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57F831A" w14:textId="5F723C8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1.53E-04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7D57382" w14:textId="3C8826B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3.06E-02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2BD0DD5" w14:textId="4E40F12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8.41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9C8626B" w14:textId="2C70160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7748C00" w14:textId="6309A82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D2B897B" w14:textId="04843D4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A461757" w14:textId="602EA7B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</w:tr>
      <w:tr w:rsidR="008F6CE8" w14:paraId="74E4D863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E280D90" w14:textId="78E55E7D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GO:1903507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19D18EA" w14:textId="1266CC09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negative regulation of nucleic acid-templated transcription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2D1AD6A" w14:textId="0CAE3B08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1.53E-04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0F67E46" w14:textId="131B598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2.95E-02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B56F0D6" w14:textId="1B457B2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8.41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1621E6E" w14:textId="5392B0C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C362FE4" w14:textId="3D95B1A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5D7EDB5" w14:textId="32CDB70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7C71538" w14:textId="18F2589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</w:tr>
      <w:tr w:rsidR="008F6CE8" w14:paraId="01550B71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A4E4FAB" w14:textId="243D4750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GO:0010468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95316C7" w14:textId="5DE59337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regulation of gene expression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39DD153" w14:textId="4B4D85F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1.60E-04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8740889" w14:textId="781823A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2.98E-02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6785020" w14:textId="511D755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3.42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0A6CC19" w14:textId="722C88F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9F080EC" w14:textId="318F423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A8EAD29" w14:textId="5FEB69A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E95D18E" w14:textId="6542192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</w:tr>
      <w:tr w:rsidR="008F6CE8" w14:paraId="05485C64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6A4AE7D" w14:textId="33CC621C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GO:0048511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6C6D357" w14:textId="42DC9DB2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rhythmic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4A6A56A" w14:textId="249A811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2.05E-04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824DA88" w14:textId="5658325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3.69E-02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8E0532B" w14:textId="10910B28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22.44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0E38890" w14:textId="2765AA3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3FAE48A" w14:textId="023ED72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B1E4F03" w14:textId="3FD15D6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4C9E781" w14:textId="5DF8BE3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</w:t>
            </w:r>
          </w:p>
        </w:tc>
      </w:tr>
      <w:tr w:rsidR="008F6CE8" w14:paraId="01FA02CF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40D0939" w14:textId="2AA527C2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GO:0010557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3279F95" w14:textId="1CF2FBAB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positive regulation of macromolecule biosynthetic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221E2BB" w14:textId="30AD9FD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2.14E-04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9040456" w14:textId="0FD906D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3.73E-02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A27405E" w14:textId="13E75D5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5.85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EDD29EC" w14:textId="2DF57FA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59DF90E" w14:textId="3E2F9684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8688260" w14:textId="42AE262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C5E731E" w14:textId="2DFAD56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</w:tr>
      <w:tr w:rsidR="008F6CE8" w14:paraId="13EA1CA7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F4A7B70" w14:textId="0ADA8AF8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GO:0014070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76E7965" w14:textId="7D1213CC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response to organic cyclic compound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433CBEC" w14:textId="398E72C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2.23E-04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222C100" w14:textId="28D6AEF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3.75E-02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A52F38B" w14:textId="4F03E03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11.71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B55ED77" w14:textId="62BCD88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A83E37F" w14:textId="01CB57E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0BB3CF4" w14:textId="70F84734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A1E30DC" w14:textId="7FD0939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</w:p>
        </w:tc>
      </w:tr>
      <w:tr w:rsidR="008F6CE8" w14:paraId="44D5A283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759E4CD" w14:textId="7FBC23BC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GO:0009893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EAB4471" w14:textId="6FB3CF91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positive regulation of metabolic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B6D9731" w14:textId="602ED9A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2.77E-04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64DFB41" w14:textId="00608568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4.52E-02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8ACDF41" w14:textId="11EAA0E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3.74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AFD9729" w14:textId="712C7C2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D9CAB81" w14:textId="52A34354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E6C42C3" w14:textId="5C5AE03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A4A16F1" w14:textId="255914C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</w:tr>
      <w:tr w:rsidR="008F6CE8" w14:paraId="16D20111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2C856C7" w14:textId="657F9605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GO:0071407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AB5EC4D" w14:textId="6AAB3BB2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cellular response to organic cyclic compound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0374845" w14:textId="461DFB7F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2.90E-04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3DC7A66" w14:textId="07461D3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4.59E-02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C507424" w14:textId="27DAA36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20.19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5848828" w14:textId="09BBDF58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86842C5" w14:textId="0773F18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2D64A0C" w14:textId="0605E1F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1E376F7" w14:textId="2AB9DE34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</w:t>
            </w:r>
          </w:p>
        </w:tc>
      </w:tr>
      <w:tr w:rsidR="008F6CE8" w14:paraId="6D8B711B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17FADF7" w14:textId="378E29D6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GO:0051716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A418677" w14:textId="63E7D261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cellular response to stimulus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ED063BC" w14:textId="4F7EB2B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2.93E-04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B8F21B3" w14:textId="4A9A403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4.50E-02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D0CBA5A" w14:textId="1A9F3B6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4.44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C55DEDD" w14:textId="69B5BC3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553D221" w14:textId="7C01C0B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BB0E99E" w14:textId="6A4A7A8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CFF43FD" w14:textId="464A7AD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</w:t>
            </w:r>
          </w:p>
        </w:tc>
      </w:tr>
      <w:tr w:rsidR="008F6CE8" w14:paraId="2C4A09E8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97F1139" w14:textId="32581527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GO:0031328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AC4674A" w14:textId="78303ABA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positive regulation of cellular biosynthetic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BBB4279" w14:textId="6D49EF4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3.45E-04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9F1E575" w14:textId="486E2F0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5.14E-02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FFCC0F9" w14:textId="460EA8C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5.38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E83F9E2" w14:textId="3B6D016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8161C62" w14:textId="5FDCA27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34BA7CE" w14:textId="2E51905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8715943" w14:textId="0A1B1CA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</w:tr>
      <w:tr w:rsidR="008F6CE8" w14:paraId="0A188A87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F6AC9CC" w14:textId="4D279567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GO:0045935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ECC59A6" w14:textId="029B5CA0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positive regulation of nucleobase-containing compound metabolic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097F42B" w14:textId="1D3D0F3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4.00E-04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07EFEAC" w14:textId="4A7C6C98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5.80E-02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2FCD96F" w14:textId="225EF0F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5.24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92E6611" w14:textId="2F4FF7B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40E8600" w14:textId="29DF379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C377017" w14:textId="73639AD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5D3DDC6" w14:textId="4F37991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</w:tr>
      <w:tr w:rsidR="008F6CE8" w14:paraId="2A34AE8C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A870640" w14:textId="22F92515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GO:0009891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907C1B4" w14:textId="4B1057AB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positive regulation of biosynthetic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99F0B48" w14:textId="4D00081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4.00E-04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5808A6C" w14:textId="1542894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5.64E-02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F4B0CBB" w14:textId="34997AD4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5.24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D341DF3" w14:textId="7F09F18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36DE014" w14:textId="3B83B21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93A08DA" w14:textId="465310E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27265C4" w14:textId="7BBCB99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</w:tr>
      <w:tr w:rsidR="008F6CE8" w14:paraId="76F866AB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219011C" w14:textId="12280AB5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GO:0051252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44C5741" w14:textId="252F6E30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regulation of RNA metabolic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FBC286A" w14:textId="27A2F644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5.46E-04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0672F24" w14:textId="31CE457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7.49E-02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188609A" w14:textId="514C2AB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3.41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7EEDCB1" w14:textId="720EAC2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1956FF5" w14:textId="37F03F6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CF4D501" w14:textId="16BDDC7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79C80BF" w14:textId="0CC0817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</w:tr>
      <w:tr w:rsidR="008F6CE8" w14:paraId="593E4DC0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287A6FB" w14:textId="5033E588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GO:0032922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91DC493" w14:textId="71F985CB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circadian regulation of gene expression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60B09A1" w14:textId="0C8EB27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6.07E-04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07D313E" w14:textId="59611A2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8.12E-02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DD6E381" w14:textId="7D3445D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44.87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7E28662" w14:textId="596851D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84A321F" w14:textId="1218DEB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171A4E8" w14:textId="5F24764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FD0235C" w14:textId="14DB832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</w:tr>
      <w:tr w:rsidR="008F6CE8" w14:paraId="0432C414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639B643" w14:textId="44432976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GO:0045444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F11F751" w14:textId="5F9A79D8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fat cell differentiation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F49A322" w14:textId="4441357A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6.07E-04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7043ED9" w14:textId="14AD5347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7.92E-02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8EBC918" w14:textId="586088F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44.87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88E9BC0" w14:textId="0A73FC40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1F9DC28" w14:textId="1EA0C86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97FC857" w14:textId="193567F2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6359B55" w14:textId="30E175CC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</w:tr>
      <w:tr w:rsidR="008F6CE8" w14:paraId="789D342C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A98D9B5" w14:textId="5470E681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GO:0007584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4E4AF33" w14:textId="0A47C313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response to nutrient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4220515" w14:textId="7E136C1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6.07E-04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829AA07" w14:textId="4A25C2E8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7.72E-02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16CBF9B" w14:textId="25B32C8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44.87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3FFA141" w14:textId="65BF0BC1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0DA35DF" w14:textId="6D32E27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E517E35" w14:textId="5427235B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7639B0F" w14:textId="7C844D5F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</w:tr>
      <w:tr w:rsidR="008F6CE8" w14:paraId="18D10B35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1E77C09" w14:textId="7A992441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GO:0051173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88E4F71" w14:textId="6010BD6F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positive regulation of nitrogen compound metabolic process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68A8AA7" w14:textId="7D4033D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7.23E-04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BF5F205" w14:textId="2311F49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8.99E-02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552A35A" w14:textId="02E0CF9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3.86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E517F25" w14:textId="0587ECE8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787AB46" w14:textId="4A984418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AC26795" w14:textId="4E7925F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F0CA016" w14:textId="18B1B2A5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7</w:t>
            </w:r>
          </w:p>
        </w:tc>
      </w:tr>
      <w:tr w:rsidR="008F6CE8" w14:paraId="3C073580" w14:textId="77777777" w:rsidTr="008F6CE8">
        <w:trPr>
          <w:trHeight w:val="320"/>
        </w:trPr>
        <w:tc>
          <w:tcPr>
            <w:tcW w:w="11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6A7BBB5" w14:textId="741F35D6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GO:0033993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BD8E53A" w14:textId="6C614109" w:rsidR="008F6CE8" w:rsidRPr="009276C1" w:rsidRDefault="008F6CE8" w:rsidP="00927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response to lipid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ADE86B6" w14:textId="6A08DE7E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8.39E-04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5E2C723" w14:textId="714C7B16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1.02E-01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7FE6D72" w14:textId="1E1AE9B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8.41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6B97F31" w14:textId="0985BD1F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55126F0" w14:textId="6AB51059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54F7823" w14:textId="3F41081D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4C0C456" w14:textId="3CE11BF3" w:rsidR="008F6CE8" w:rsidRPr="009276C1" w:rsidRDefault="008F6CE8" w:rsidP="009276C1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276C1"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</w:p>
        </w:tc>
      </w:tr>
    </w:tbl>
    <w:p w14:paraId="354F61FE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591FCF71" w14:textId="4E04B30E" w:rsidR="00355C35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4C3341BC" w14:textId="30A19407" w:rsidR="004A0A2A" w:rsidRPr="00CB4414" w:rsidRDefault="004A0A2A" w:rsidP="004A0A2A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CB4414">
        <w:rPr>
          <w:sz w:val="18"/>
          <w:szCs w:val="18"/>
        </w:rPr>
        <w:t xml:space="preserve">Table </w:t>
      </w:r>
      <w:r>
        <w:rPr>
          <w:sz w:val="18"/>
          <w:szCs w:val="18"/>
        </w:rPr>
        <w:t>4</w:t>
      </w:r>
      <w:r w:rsidRPr="00CB4414">
        <w:rPr>
          <w:sz w:val="18"/>
          <w:szCs w:val="18"/>
        </w:rPr>
        <w:t>: Summary of</w:t>
      </w:r>
      <w:r w:rsidRPr="00CB4414">
        <w:rPr>
          <w:b/>
          <w:sz w:val="18"/>
          <w:szCs w:val="18"/>
        </w:rPr>
        <w:t xml:space="preserve"> </w:t>
      </w:r>
      <w:r w:rsidRPr="00CB4414">
        <w:rPr>
          <w:sz w:val="18"/>
          <w:szCs w:val="18"/>
        </w:rPr>
        <w:t xml:space="preserve"> GO pathways of all </w:t>
      </w:r>
      <w:r>
        <w:rPr>
          <w:sz w:val="18"/>
          <w:szCs w:val="18"/>
        </w:rPr>
        <w:t>down</w:t>
      </w:r>
      <w:r w:rsidRPr="00CB4414">
        <w:rPr>
          <w:sz w:val="18"/>
          <w:szCs w:val="18"/>
        </w:rPr>
        <w:t>-regulated genes (in tota</w:t>
      </w:r>
      <w:r>
        <w:rPr>
          <w:sz w:val="18"/>
          <w:szCs w:val="18"/>
        </w:rPr>
        <w:t xml:space="preserve">l 15 </w:t>
      </w:r>
      <w:r w:rsidRPr="00CB4414">
        <w:rPr>
          <w:sz w:val="18"/>
          <w:szCs w:val="18"/>
        </w:rPr>
        <w:t xml:space="preserve">genes) from </w:t>
      </w:r>
      <w:r>
        <w:rPr>
          <w:sz w:val="18"/>
          <w:szCs w:val="18"/>
        </w:rPr>
        <w:t>the</w:t>
      </w:r>
      <w:r w:rsidRPr="00CB4414">
        <w:rPr>
          <w:sz w:val="18"/>
          <w:szCs w:val="18"/>
        </w:rPr>
        <w:t xml:space="preserve"> conditions between </w:t>
      </w:r>
      <w:r>
        <w:rPr>
          <w:sz w:val="18"/>
          <w:szCs w:val="18"/>
        </w:rPr>
        <w:t>young and middle aged samples.</w:t>
      </w:r>
    </w:p>
    <w:p w14:paraId="255606AA" w14:textId="704A74C8" w:rsidR="009276C1" w:rsidRDefault="009276C1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736F125E" w14:textId="77777777" w:rsidR="009276C1" w:rsidRPr="00CB4414" w:rsidRDefault="009276C1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34660E8C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4A48EB4C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6A77A5AA" w14:textId="067741A3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0B1B498C" w14:textId="5AC45541" w:rsidR="00355C35" w:rsidRPr="00CB4414" w:rsidRDefault="004A0A2A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  <w:r>
        <w:rPr>
          <w:b/>
          <w:noProof/>
          <w:sz w:val="18"/>
          <w:szCs w:val="18"/>
          <w:u w:val="single"/>
        </w:rPr>
        <w:lastRenderedPageBreak/>
        <w:drawing>
          <wp:inline distT="0" distB="0" distL="0" distR="0" wp14:anchorId="39078856" wp14:editId="03E2E2C3">
            <wp:extent cx="5996577" cy="37981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_YM_revigo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577" cy="379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2AB8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06C5740B" w14:textId="1BECE7B0" w:rsidR="004A0A2A" w:rsidRPr="00CB4414" w:rsidRDefault="004A0A2A" w:rsidP="004A0A2A">
      <w:pPr>
        <w:widowControl w:val="0"/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Figure 1</w:t>
      </w:r>
      <w:r w:rsidRPr="00CB4414">
        <w:rPr>
          <w:sz w:val="18"/>
          <w:szCs w:val="18"/>
        </w:rPr>
        <w:t>:</w:t>
      </w:r>
      <w:r>
        <w:rPr>
          <w:sz w:val="18"/>
          <w:szCs w:val="18"/>
        </w:rPr>
        <w:t xml:space="preserve"> Plot</w:t>
      </w:r>
      <w:r w:rsidRPr="00CB4414">
        <w:rPr>
          <w:sz w:val="18"/>
          <w:szCs w:val="18"/>
        </w:rPr>
        <w:t xml:space="preserve"> of</w:t>
      </w:r>
      <w:r w:rsidRPr="00CB4414">
        <w:rPr>
          <w:b/>
          <w:sz w:val="18"/>
          <w:szCs w:val="18"/>
        </w:rPr>
        <w:t xml:space="preserve"> </w:t>
      </w:r>
      <w:r w:rsidRPr="00CB4414">
        <w:rPr>
          <w:sz w:val="18"/>
          <w:szCs w:val="18"/>
        </w:rPr>
        <w:t xml:space="preserve"> GO pathways of </w:t>
      </w:r>
      <w:r>
        <w:rPr>
          <w:sz w:val="18"/>
          <w:szCs w:val="18"/>
        </w:rPr>
        <w:t xml:space="preserve">significant biological processes of </w:t>
      </w:r>
      <w:r w:rsidRPr="00CB4414">
        <w:rPr>
          <w:sz w:val="18"/>
          <w:szCs w:val="18"/>
        </w:rPr>
        <w:t xml:space="preserve">all </w:t>
      </w:r>
      <w:r>
        <w:rPr>
          <w:sz w:val="18"/>
          <w:szCs w:val="18"/>
        </w:rPr>
        <w:t>down</w:t>
      </w:r>
      <w:r w:rsidRPr="00CB4414">
        <w:rPr>
          <w:sz w:val="18"/>
          <w:szCs w:val="18"/>
        </w:rPr>
        <w:t>-regulated genes (in tota</w:t>
      </w:r>
      <w:r>
        <w:rPr>
          <w:sz w:val="18"/>
          <w:szCs w:val="18"/>
        </w:rPr>
        <w:t xml:space="preserve">l 15 </w:t>
      </w:r>
      <w:r w:rsidRPr="00CB4414">
        <w:rPr>
          <w:sz w:val="18"/>
          <w:szCs w:val="18"/>
        </w:rPr>
        <w:t xml:space="preserve">genes) from </w:t>
      </w:r>
      <w:r>
        <w:rPr>
          <w:sz w:val="18"/>
          <w:szCs w:val="18"/>
        </w:rPr>
        <w:t>the</w:t>
      </w:r>
      <w:r w:rsidRPr="00CB4414">
        <w:rPr>
          <w:sz w:val="18"/>
          <w:szCs w:val="18"/>
        </w:rPr>
        <w:t xml:space="preserve"> conditions between </w:t>
      </w:r>
      <w:r>
        <w:rPr>
          <w:sz w:val="18"/>
          <w:szCs w:val="18"/>
        </w:rPr>
        <w:t xml:space="preserve">young and middle aged samples. Negative regulation of transcription from RNA polymerase </w:t>
      </w:r>
      <w:r w:rsidR="004901FC">
        <w:rPr>
          <w:sz w:val="18"/>
          <w:szCs w:val="18"/>
        </w:rPr>
        <w:t>II promoter results as the most significant biological process with a log10(P-value) &lt; -4 .</w:t>
      </w:r>
    </w:p>
    <w:p w14:paraId="6001736E" w14:textId="77777777" w:rsidR="004A0A2A" w:rsidRDefault="004A0A2A" w:rsidP="004A0A2A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4930AAC9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6B14C7F8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174864F7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4F56128C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34127541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432903C6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17828F82" w14:textId="77777777" w:rsidR="00355C35" w:rsidRPr="00CB4414" w:rsidRDefault="00355C35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</w:p>
    <w:p w14:paraId="088A77EA" w14:textId="77777777" w:rsidR="00981D78" w:rsidRPr="00CB4414" w:rsidRDefault="00981D78" w:rsidP="00981D78">
      <w:pPr>
        <w:widowControl w:val="0"/>
        <w:autoSpaceDE w:val="0"/>
        <w:autoSpaceDN w:val="0"/>
        <w:adjustRightInd w:val="0"/>
        <w:rPr>
          <w:b/>
          <w:sz w:val="18"/>
          <w:szCs w:val="18"/>
          <w:u w:val="single"/>
        </w:rPr>
      </w:pPr>
      <w:r w:rsidRPr="00CB4414">
        <w:rPr>
          <w:b/>
          <w:sz w:val="18"/>
          <w:szCs w:val="18"/>
          <w:u w:val="single"/>
        </w:rPr>
        <w:t>REFERENCE:</w:t>
      </w:r>
    </w:p>
    <w:p w14:paraId="4326EE66" w14:textId="77777777" w:rsidR="00981D78" w:rsidRPr="00CB4414" w:rsidRDefault="00981D78" w:rsidP="00981D78">
      <w:pPr>
        <w:widowControl w:val="0"/>
        <w:autoSpaceDE w:val="0"/>
        <w:autoSpaceDN w:val="0"/>
        <w:adjustRightInd w:val="0"/>
        <w:rPr>
          <w:color w:val="222222"/>
          <w:sz w:val="18"/>
          <w:szCs w:val="18"/>
          <w:shd w:val="clear" w:color="auto" w:fill="FFFFFF"/>
        </w:rPr>
      </w:pPr>
      <w:proofErr w:type="spellStart"/>
      <w:r w:rsidRPr="00CB4414">
        <w:rPr>
          <w:color w:val="222222"/>
          <w:sz w:val="18"/>
          <w:szCs w:val="18"/>
          <w:shd w:val="clear" w:color="auto" w:fill="FFFFFF"/>
        </w:rPr>
        <w:t>Tarazona</w:t>
      </w:r>
      <w:proofErr w:type="spellEnd"/>
      <w:r w:rsidRPr="00CB4414">
        <w:rPr>
          <w:color w:val="222222"/>
          <w:sz w:val="18"/>
          <w:szCs w:val="18"/>
          <w:shd w:val="clear" w:color="auto" w:fill="FFFFFF"/>
        </w:rPr>
        <w:t>, Sonia, et al. "Differential expression in RNA-</w:t>
      </w:r>
      <w:proofErr w:type="spellStart"/>
      <w:r w:rsidRPr="00CB4414">
        <w:rPr>
          <w:color w:val="222222"/>
          <w:sz w:val="18"/>
          <w:szCs w:val="18"/>
          <w:shd w:val="clear" w:color="auto" w:fill="FFFFFF"/>
        </w:rPr>
        <w:t>seq</w:t>
      </w:r>
      <w:proofErr w:type="spellEnd"/>
      <w:r w:rsidRPr="00CB4414">
        <w:rPr>
          <w:color w:val="222222"/>
          <w:sz w:val="18"/>
          <w:szCs w:val="18"/>
          <w:shd w:val="clear" w:color="auto" w:fill="FFFFFF"/>
        </w:rPr>
        <w:t>: a matter of depth." </w:t>
      </w:r>
      <w:r w:rsidRPr="00CB4414">
        <w:rPr>
          <w:i/>
          <w:iCs/>
          <w:color w:val="222222"/>
          <w:sz w:val="18"/>
          <w:szCs w:val="18"/>
          <w:shd w:val="clear" w:color="auto" w:fill="FFFFFF"/>
        </w:rPr>
        <w:t>Genome research</w:t>
      </w:r>
      <w:r w:rsidRPr="00CB4414">
        <w:rPr>
          <w:color w:val="222222"/>
          <w:sz w:val="18"/>
          <w:szCs w:val="18"/>
          <w:shd w:val="clear" w:color="auto" w:fill="FFFFFF"/>
        </w:rPr>
        <w:t> 21.12 (2011): 2213-2223.</w:t>
      </w:r>
    </w:p>
    <w:p w14:paraId="3A714658" w14:textId="77777777" w:rsidR="00AC36EC" w:rsidRPr="00CB4414" w:rsidRDefault="00AC36EC" w:rsidP="00981D78">
      <w:pPr>
        <w:widowControl w:val="0"/>
        <w:autoSpaceDE w:val="0"/>
        <w:autoSpaceDN w:val="0"/>
        <w:adjustRightInd w:val="0"/>
        <w:rPr>
          <w:color w:val="222222"/>
          <w:sz w:val="18"/>
          <w:szCs w:val="18"/>
          <w:shd w:val="clear" w:color="auto" w:fill="FFFFFF"/>
        </w:rPr>
      </w:pPr>
    </w:p>
    <w:p w14:paraId="26A4782F" w14:textId="1917DBA9" w:rsidR="00AC36EC" w:rsidRPr="00CB4414" w:rsidRDefault="00AC36EC" w:rsidP="00AC36EC">
      <w:pPr>
        <w:widowControl w:val="0"/>
        <w:autoSpaceDE w:val="0"/>
        <w:autoSpaceDN w:val="0"/>
        <w:adjustRightInd w:val="0"/>
        <w:rPr>
          <w:sz w:val="18"/>
          <w:szCs w:val="18"/>
        </w:rPr>
      </w:pPr>
      <w:proofErr w:type="spellStart"/>
      <w:r w:rsidRPr="00CB4414">
        <w:rPr>
          <w:sz w:val="18"/>
          <w:szCs w:val="18"/>
        </w:rPr>
        <w:t>Eran</w:t>
      </w:r>
      <w:proofErr w:type="spellEnd"/>
      <w:r w:rsidRPr="00CB4414">
        <w:rPr>
          <w:sz w:val="18"/>
          <w:szCs w:val="18"/>
        </w:rPr>
        <w:t xml:space="preserve"> Eden*, Roy Navon*, Israel Steinfeld, Doron Lipson and Zohar </w:t>
      </w:r>
      <w:proofErr w:type="spellStart"/>
      <w:r w:rsidRPr="00CB4414">
        <w:rPr>
          <w:sz w:val="18"/>
          <w:szCs w:val="18"/>
        </w:rPr>
        <w:t>Yakhini</w:t>
      </w:r>
      <w:proofErr w:type="spellEnd"/>
      <w:r w:rsidRPr="00CB4414">
        <w:rPr>
          <w:sz w:val="18"/>
          <w:szCs w:val="18"/>
        </w:rPr>
        <w:t xml:space="preserve">. </w:t>
      </w:r>
      <w:r w:rsidRPr="00CB4414">
        <w:rPr>
          <w:i/>
          <w:sz w:val="18"/>
          <w:szCs w:val="18"/>
        </w:rPr>
        <w:t>"</w:t>
      </w:r>
      <w:proofErr w:type="spellStart"/>
      <w:r w:rsidRPr="00CB4414">
        <w:rPr>
          <w:bCs/>
          <w:i/>
          <w:sz w:val="18"/>
          <w:szCs w:val="18"/>
        </w:rPr>
        <w:t>GOrilla</w:t>
      </w:r>
      <w:proofErr w:type="spellEnd"/>
      <w:r w:rsidRPr="00CB4414">
        <w:rPr>
          <w:bCs/>
          <w:i/>
          <w:sz w:val="18"/>
          <w:szCs w:val="18"/>
        </w:rPr>
        <w:t>: A Tool For Discovery And Visualization of Enriched GO Terms in Ranked Gene Lists</w:t>
      </w:r>
      <w:r w:rsidRPr="00CB4414">
        <w:rPr>
          <w:i/>
          <w:sz w:val="18"/>
          <w:szCs w:val="18"/>
        </w:rPr>
        <w:t>"</w:t>
      </w:r>
      <w:r w:rsidRPr="00CB4414">
        <w:rPr>
          <w:sz w:val="18"/>
          <w:szCs w:val="18"/>
        </w:rPr>
        <w:t>, BMC Bioinformatics 2009, 10:48.</w:t>
      </w:r>
    </w:p>
    <w:p w14:paraId="10C5AACB" w14:textId="0608FF07" w:rsidR="009276C1" w:rsidRDefault="00AC36EC" w:rsidP="004C0527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CB4414">
        <w:rPr>
          <w:sz w:val="18"/>
          <w:szCs w:val="18"/>
        </w:rPr>
        <w:br/>
        <w:t> </w:t>
      </w:r>
      <w:proofErr w:type="spellStart"/>
      <w:r w:rsidRPr="00CB4414">
        <w:rPr>
          <w:sz w:val="18"/>
          <w:szCs w:val="18"/>
        </w:rPr>
        <w:t>Eran</w:t>
      </w:r>
      <w:proofErr w:type="spellEnd"/>
      <w:r w:rsidRPr="00CB4414">
        <w:rPr>
          <w:sz w:val="18"/>
          <w:szCs w:val="18"/>
        </w:rPr>
        <w:t xml:space="preserve"> Eden, Doron Lipson, Sivan </w:t>
      </w:r>
      <w:proofErr w:type="spellStart"/>
      <w:r w:rsidRPr="00CB4414">
        <w:rPr>
          <w:sz w:val="18"/>
          <w:szCs w:val="18"/>
        </w:rPr>
        <w:t>Yogev</w:t>
      </w:r>
      <w:proofErr w:type="spellEnd"/>
      <w:r w:rsidRPr="00CB4414">
        <w:rPr>
          <w:sz w:val="18"/>
          <w:szCs w:val="18"/>
        </w:rPr>
        <w:t xml:space="preserve">, Zohar </w:t>
      </w:r>
      <w:proofErr w:type="spellStart"/>
      <w:r w:rsidRPr="00CB4414">
        <w:rPr>
          <w:sz w:val="18"/>
          <w:szCs w:val="18"/>
        </w:rPr>
        <w:t>Yakhini</w:t>
      </w:r>
      <w:proofErr w:type="spellEnd"/>
      <w:r w:rsidRPr="00CB4414">
        <w:rPr>
          <w:sz w:val="18"/>
          <w:szCs w:val="18"/>
        </w:rPr>
        <w:t>. "</w:t>
      </w:r>
      <w:r w:rsidRPr="00CB4414">
        <w:rPr>
          <w:b/>
          <w:bCs/>
          <w:sz w:val="18"/>
          <w:szCs w:val="18"/>
        </w:rPr>
        <w:t>Discovering Motifs in Ranked Lists of DNA sequence</w:t>
      </w:r>
      <w:r w:rsidRPr="00CB4414">
        <w:rPr>
          <w:sz w:val="18"/>
          <w:szCs w:val="18"/>
        </w:rPr>
        <w:t>s", </w:t>
      </w:r>
      <w:proofErr w:type="spellStart"/>
      <w:r w:rsidRPr="00CB4414">
        <w:rPr>
          <w:sz w:val="18"/>
          <w:szCs w:val="18"/>
        </w:rPr>
        <w:t>PLoS</w:t>
      </w:r>
      <w:proofErr w:type="spellEnd"/>
      <w:r w:rsidRPr="00CB4414">
        <w:rPr>
          <w:sz w:val="18"/>
          <w:szCs w:val="18"/>
        </w:rPr>
        <w:t xml:space="preserve"> Computational Biology, 3(3):e39, 2007. </w:t>
      </w:r>
    </w:p>
    <w:p w14:paraId="1CE7FC98" w14:textId="77777777" w:rsidR="009B252B" w:rsidRPr="0086089F" w:rsidRDefault="009B252B" w:rsidP="009B252B">
      <w:pPr>
        <w:pStyle w:val="Bibliography"/>
        <w:jc w:val="both"/>
        <w:rPr>
          <w:sz w:val="20"/>
        </w:rPr>
      </w:pPr>
      <w:r w:rsidRPr="0086089F">
        <w:rPr>
          <w:sz w:val="20"/>
        </w:rPr>
        <w:t>[1]</w:t>
      </w:r>
      <w:r w:rsidRPr="0086089F">
        <w:rPr>
          <w:sz w:val="20"/>
        </w:rPr>
        <w:tab/>
        <w:t xml:space="preserve">M. Fraga and M. </w:t>
      </w:r>
      <w:proofErr w:type="spellStart"/>
      <w:r w:rsidRPr="0086089F">
        <w:rPr>
          <w:sz w:val="20"/>
        </w:rPr>
        <w:t>Esteller</w:t>
      </w:r>
      <w:proofErr w:type="spellEnd"/>
      <w:r w:rsidRPr="0086089F">
        <w:rPr>
          <w:sz w:val="20"/>
        </w:rPr>
        <w:t xml:space="preserve">, “Fraga, M. F. &amp; </w:t>
      </w:r>
      <w:proofErr w:type="spellStart"/>
      <w:r w:rsidRPr="0086089F">
        <w:rPr>
          <w:sz w:val="20"/>
        </w:rPr>
        <w:t>Esteller</w:t>
      </w:r>
      <w:proofErr w:type="spellEnd"/>
      <w:r w:rsidRPr="0086089F">
        <w:rPr>
          <w:sz w:val="20"/>
        </w:rPr>
        <w:t xml:space="preserve">, M. Epigenetics and aging: the targets and the marks. Trends Genet. 23, 413-418,” </w:t>
      </w:r>
      <w:r w:rsidRPr="0086089F">
        <w:rPr>
          <w:i/>
          <w:iCs/>
          <w:sz w:val="20"/>
        </w:rPr>
        <w:t>Trends Genet.</w:t>
      </w:r>
      <w:r w:rsidRPr="0086089F">
        <w:rPr>
          <w:sz w:val="20"/>
        </w:rPr>
        <w:t xml:space="preserve">, vol. 23, pp. 413–418, Sep. 2007, </w:t>
      </w:r>
      <w:proofErr w:type="spellStart"/>
      <w:r w:rsidRPr="0086089F">
        <w:rPr>
          <w:sz w:val="20"/>
        </w:rPr>
        <w:t>doi</w:t>
      </w:r>
      <w:proofErr w:type="spellEnd"/>
      <w:r w:rsidRPr="0086089F">
        <w:rPr>
          <w:sz w:val="20"/>
        </w:rPr>
        <w:t>: 10.1016/j.tig.2007.05.008.</w:t>
      </w:r>
    </w:p>
    <w:p w14:paraId="0AD20ABF" w14:textId="77777777" w:rsidR="009B252B" w:rsidRPr="0086089F" w:rsidRDefault="009B252B" w:rsidP="009B252B">
      <w:pPr>
        <w:pStyle w:val="Bibliography"/>
        <w:jc w:val="both"/>
        <w:rPr>
          <w:sz w:val="20"/>
        </w:rPr>
      </w:pPr>
      <w:r w:rsidRPr="0086089F">
        <w:rPr>
          <w:sz w:val="20"/>
        </w:rPr>
        <w:t xml:space="preserve">[2]       M. P. </w:t>
      </w:r>
      <w:proofErr w:type="spellStart"/>
      <w:r w:rsidRPr="0086089F">
        <w:rPr>
          <w:sz w:val="20"/>
        </w:rPr>
        <w:t>Rodero</w:t>
      </w:r>
      <w:proofErr w:type="spellEnd"/>
      <w:r w:rsidRPr="0086089F">
        <w:rPr>
          <w:sz w:val="20"/>
        </w:rPr>
        <w:t xml:space="preserve"> </w:t>
      </w:r>
      <w:r w:rsidRPr="0086089F">
        <w:rPr>
          <w:i/>
          <w:iCs/>
          <w:sz w:val="20"/>
        </w:rPr>
        <w:t>et al.</w:t>
      </w:r>
      <w:r w:rsidRPr="0086089F">
        <w:rPr>
          <w:sz w:val="20"/>
        </w:rPr>
        <w:t xml:space="preserve">, “Immune surveillance of the lung by migrating tissue monocytes,” </w:t>
      </w:r>
      <w:proofErr w:type="spellStart"/>
      <w:r w:rsidRPr="0086089F">
        <w:rPr>
          <w:i/>
          <w:iCs/>
          <w:sz w:val="20"/>
        </w:rPr>
        <w:t>Elife</w:t>
      </w:r>
      <w:proofErr w:type="spellEnd"/>
      <w:r w:rsidRPr="0086089F">
        <w:rPr>
          <w:sz w:val="20"/>
        </w:rPr>
        <w:t xml:space="preserve">, vol. 4, pp. e07847–e07847, Jul. 2015, </w:t>
      </w:r>
      <w:proofErr w:type="spellStart"/>
      <w:r w:rsidRPr="0086089F">
        <w:rPr>
          <w:sz w:val="20"/>
        </w:rPr>
        <w:t>doi</w:t>
      </w:r>
      <w:proofErr w:type="spellEnd"/>
      <w:r w:rsidRPr="0086089F">
        <w:rPr>
          <w:sz w:val="20"/>
        </w:rPr>
        <w:t>: 10.7554/eLife.07847.</w:t>
      </w:r>
    </w:p>
    <w:p w14:paraId="36F2E55A" w14:textId="77777777" w:rsidR="009B252B" w:rsidRPr="0086089F" w:rsidRDefault="009B252B" w:rsidP="009B252B">
      <w:pPr>
        <w:pStyle w:val="Bibliography"/>
        <w:jc w:val="both"/>
        <w:rPr>
          <w:sz w:val="20"/>
        </w:rPr>
      </w:pPr>
      <w:r w:rsidRPr="0086089F">
        <w:rPr>
          <w:sz w:val="20"/>
        </w:rPr>
        <w:t xml:space="preserve">[3]     A. </w:t>
      </w:r>
      <w:proofErr w:type="spellStart"/>
      <w:r w:rsidRPr="0086089F">
        <w:rPr>
          <w:sz w:val="20"/>
        </w:rPr>
        <w:t>Karada</w:t>
      </w:r>
      <w:proofErr w:type="spellEnd"/>
      <w:r w:rsidRPr="0086089F">
        <w:rPr>
          <w:sz w:val="20"/>
          <w:lang w:val="tr-TR"/>
        </w:rPr>
        <w:t>ğ</w:t>
      </w:r>
      <w:r w:rsidRPr="0086089F">
        <w:rPr>
          <w:sz w:val="20"/>
        </w:rPr>
        <w:t xml:space="preserve">, B. </w:t>
      </w:r>
      <w:proofErr w:type="spellStart"/>
      <w:r w:rsidRPr="0086089F">
        <w:rPr>
          <w:sz w:val="20"/>
        </w:rPr>
        <w:t>Altinok</w:t>
      </w:r>
      <w:proofErr w:type="spellEnd"/>
      <w:r w:rsidRPr="0086089F">
        <w:rPr>
          <w:sz w:val="20"/>
        </w:rPr>
        <w:t xml:space="preserve">, T. </w:t>
      </w:r>
      <w:proofErr w:type="spellStart"/>
      <w:r w:rsidRPr="0086089F">
        <w:rPr>
          <w:sz w:val="20"/>
        </w:rPr>
        <w:t>Özkan</w:t>
      </w:r>
      <w:proofErr w:type="spellEnd"/>
      <w:r w:rsidRPr="0086089F">
        <w:rPr>
          <w:sz w:val="20"/>
        </w:rPr>
        <w:t xml:space="preserve">, </w:t>
      </w:r>
      <w:proofErr w:type="spellStart"/>
      <w:r w:rsidRPr="0086089F">
        <w:rPr>
          <w:sz w:val="20"/>
        </w:rPr>
        <w:t>ve</w:t>
      </w:r>
      <w:proofErr w:type="spellEnd"/>
      <w:r w:rsidRPr="0086089F">
        <w:rPr>
          <w:sz w:val="20"/>
        </w:rPr>
        <w:t xml:space="preserve"> Y. </w:t>
      </w:r>
      <w:proofErr w:type="spellStart"/>
      <w:r w:rsidRPr="0086089F">
        <w:rPr>
          <w:sz w:val="20"/>
        </w:rPr>
        <w:t>Hekmatshoar</w:t>
      </w:r>
      <w:proofErr w:type="spellEnd"/>
      <w:r w:rsidRPr="0086089F">
        <w:rPr>
          <w:sz w:val="20"/>
        </w:rPr>
        <w:t>, “</w:t>
      </w:r>
      <w:proofErr w:type="spellStart"/>
      <w:r w:rsidRPr="0086089F">
        <w:rPr>
          <w:sz w:val="20"/>
        </w:rPr>
        <w:t>Kemik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İliği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Stroması</w:t>
      </w:r>
      <w:proofErr w:type="spellEnd"/>
      <w:r w:rsidRPr="0086089F">
        <w:rPr>
          <w:sz w:val="20"/>
        </w:rPr>
        <w:t xml:space="preserve">: </w:t>
      </w:r>
      <w:proofErr w:type="spellStart"/>
      <w:r w:rsidRPr="0086089F">
        <w:rPr>
          <w:sz w:val="20"/>
        </w:rPr>
        <w:t>Hücreleri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ve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Mikroçevresi</w:t>
      </w:r>
      <w:proofErr w:type="spellEnd"/>
      <w:r w:rsidRPr="0086089F">
        <w:rPr>
          <w:sz w:val="20"/>
        </w:rPr>
        <w:t>”, s. 12.</w:t>
      </w:r>
    </w:p>
    <w:p w14:paraId="1F558EBB" w14:textId="77777777" w:rsidR="009B252B" w:rsidRPr="0086089F" w:rsidRDefault="009B252B" w:rsidP="009B252B">
      <w:pPr>
        <w:pStyle w:val="Bibliography"/>
        <w:jc w:val="both"/>
        <w:rPr>
          <w:sz w:val="20"/>
        </w:rPr>
      </w:pPr>
      <w:r w:rsidRPr="0086089F">
        <w:rPr>
          <w:sz w:val="20"/>
        </w:rPr>
        <w:t>[4]</w:t>
      </w:r>
      <w:r w:rsidRPr="0086089F">
        <w:rPr>
          <w:sz w:val="20"/>
        </w:rPr>
        <w:tab/>
        <w:t xml:space="preserve">J. M. Perry </w:t>
      </w:r>
      <w:proofErr w:type="spellStart"/>
      <w:r w:rsidRPr="0086089F">
        <w:rPr>
          <w:sz w:val="20"/>
        </w:rPr>
        <w:t>ve</w:t>
      </w:r>
      <w:proofErr w:type="spellEnd"/>
      <w:r w:rsidRPr="0086089F">
        <w:rPr>
          <w:sz w:val="20"/>
        </w:rPr>
        <w:t xml:space="preserve"> L. Li, “Disrupting the Stem Cell Niche: Good Seeds in Bad Soil”, </w:t>
      </w:r>
      <w:r w:rsidRPr="0086089F">
        <w:rPr>
          <w:i/>
          <w:iCs/>
          <w:sz w:val="20"/>
        </w:rPr>
        <w:t>Cell</w:t>
      </w:r>
      <w:r w:rsidRPr="0086089F">
        <w:rPr>
          <w:sz w:val="20"/>
        </w:rPr>
        <w:t xml:space="preserve">, c. 129, </w:t>
      </w:r>
      <w:proofErr w:type="spellStart"/>
      <w:r w:rsidRPr="0086089F">
        <w:rPr>
          <w:sz w:val="20"/>
        </w:rPr>
        <w:t>sy</w:t>
      </w:r>
      <w:proofErr w:type="spellEnd"/>
      <w:r w:rsidRPr="0086089F">
        <w:rPr>
          <w:sz w:val="20"/>
        </w:rPr>
        <w:t xml:space="preserve"> 6, ss. 1045-1047, </w:t>
      </w:r>
      <w:proofErr w:type="spellStart"/>
      <w:r w:rsidRPr="0086089F">
        <w:rPr>
          <w:sz w:val="20"/>
        </w:rPr>
        <w:t>Haz</w:t>
      </w:r>
      <w:proofErr w:type="spellEnd"/>
      <w:r w:rsidRPr="0086089F">
        <w:rPr>
          <w:sz w:val="20"/>
        </w:rPr>
        <w:t>. 2007.</w:t>
      </w:r>
    </w:p>
    <w:p w14:paraId="30515807" w14:textId="77777777" w:rsidR="009B252B" w:rsidRPr="0086089F" w:rsidRDefault="009B252B" w:rsidP="009B252B">
      <w:pPr>
        <w:pStyle w:val="Bibliography"/>
        <w:jc w:val="both"/>
        <w:rPr>
          <w:sz w:val="20"/>
        </w:rPr>
      </w:pPr>
      <w:r w:rsidRPr="0086089F">
        <w:rPr>
          <w:sz w:val="20"/>
        </w:rPr>
        <w:t>[5]</w:t>
      </w:r>
      <w:r w:rsidRPr="0086089F">
        <w:rPr>
          <w:sz w:val="20"/>
        </w:rPr>
        <w:tab/>
        <w:t xml:space="preserve">E. </w:t>
      </w:r>
      <w:proofErr w:type="spellStart"/>
      <w:r w:rsidRPr="0086089F">
        <w:rPr>
          <w:sz w:val="20"/>
        </w:rPr>
        <w:t>Karaöz</w:t>
      </w:r>
      <w:proofErr w:type="spellEnd"/>
      <w:r w:rsidRPr="0086089F">
        <w:rPr>
          <w:sz w:val="20"/>
        </w:rPr>
        <w:t>, “</w:t>
      </w:r>
      <w:proofErr w:type="spellStart"/>
      <w:r w:rsidRPr="0086089F">
        <w:rPr>
          <w:sz w:val="20"/>
        </w:rPr>
        <w:t>Ovalı</w:t>
      </w:r>
      <w:proofErr w:type="spellEnd"/>
      <w:r w:rsidRPr="0086089F">
        <w:rPr>
          <w:sz w:val="20"/>
        </w:rPr>
        <w:t xml:space="preserve"> E”, </w:t>
      </w:r>
      <w:proofErr w:type="spellStart"/>
      <w:r w:rsidRPr="0086089F">
        <w:rPr>
          <w:i/>
          <w:iCs/>
          <w:sz w:val="20"/>
        </w:rPr>
        <w:t>Kök</w:t>
      </w:r>
      <w:proofErr w:type="spellEnd"/>
      <w:r w:rsidRPr="0086089F">
        <w:rPr>
          <w:i/>
          <w:iCs/>
          <w:sz w:val="20"/>
        </w:rPr>
        <w:t xml:space="preserve"> </w:t>
      </w:r>
      <w:proofErr w:type="spellStart"/>
      <w:r w:rsidRPr="0086089F">
        <w:rPr>
          <w:i/>
          <w:iCs/>
          <w:sz w:val="20"/>
        </w:rPr>
        <w:t>Hücreler</w:t>
      </w:r>
      <w:proofErr w:type="spellEnd"/>
      <w:r w:rsidRPr="0086089F">
        <w:rPr>
          <w:i/>
          <w:iCs/>
          <w:sz w:val="20"/>
        </w:rPr>
        <w:t xml:space="preserve"> </w:t>
      </w:r>
      <w:proofErr w:type="spellStart"/>
      <w:r w:rsidRPr="0086089F">
        <w:rPr>
          <w:i/>
          <w:iCs/>
          <w:sz w:val="20"/>
        </w:rPr>
        <w:t>Derya</w:t>
      </w:r>
      <w:proofErr w:type="spellEnd"/>
      <w:r w:rsidRPr="0086089F">
        <w:rPr>
          <w:i/>
          <w:iCs/>
          <w:sz w:val="20"/>
        </w:rPr>
        <w:t xml:space="preserve"> </w:t>
      </w:r>
      <w:proofErr w:type="spellStart"/>
      <w:r w:rsidRPr="0086089F">
        <w:rPr>
          <w:i/>
          <w:iCs/>
          <w:sz w:val="20"/>
        </w:rPr>
        <w:t>Kitabevi</w:t>
      </w:r>
      <w:proofErr w:type="spellEnd"/>
      <w:r w:rsidRPr="0086089F">
        <w:rPr>
          <w:i/>
          <w:iCs/>
          <w:sz w:val="20"/>
        </w:rPr>
        <w:t xml:space="preserve"> Trabzon</w:t>
      </w:r>
      <w:r w:rsidRPr="0086089F">
        <w:rPr>
          <w:sz w:val="20"/>
        </w:rPr>
        <w:t>, 2004.</w:t>
      </w:r>
    </w:p>
    <w:p w14:paraId="3BAAD1F2" w14:textId="77777777" w:rsidR="009B252B" w:rsidRPr="0086089F" w:rsidRDefault="009B252B" w:rsidP="009B252B">
      <w:pPr>
        <w:pStyle w:val="Bibliography"/>
        <w:jc w:val="both"/>
        <w:rPr>
          <w:sz w:val="20"/>
        </w:rPr>
      </w:pPr>
      <w:r w:rsidRPr="0086089F">
        <w:rPr>
          <w:sz w:val="20"/>
        </w:rPr>
        <w:t>[6]</w:t>
      </w:r>
      <w:r w:rsidRPr="0086089F">
        <w:rPr>
          <w:sz w:val="20"/>
        </w:rPr>
        <w:tab/>
        <w:t xml:space="preserve">J. E. Till </w:t>
      </w:r>
      <w:proofErr w:type="spellStart"/>
      <w:r w:rsidRPr="0086089F">
        <w:rPr>
          <w:sz w:val="20"/>
        </w:rPr>
        <w:t>ve</w:t>
      </w:r>
      <w:proofErr w:type="spellEnd"/>
      <w:r w:rsidRPr="0086089F">
        <w:rPr>
          <w:sz w:val="20"/>
        </w:rPr>
        <w:t xml:space="preserve"> E. A. McCulloch, “A direct measurement of the radiation sensitivity of normal mouse bone marrow cells”, </w:t>
      </w:r>
      <w:proofErr w:type="spellStart"/>
      <w:r w:rsidRPr="0086089F">
        <w:rPr>
          <w:i/>
          <w:iCs/>
          <w:sz w:val="20"/>
        </w:rPr>
        <w:t>Radiat</w:t>
      </w:r>
      <w:proofErr w:type="spellEnd"/>
      <w:r w:rsidRPr="0086089F">
        <w:rPr>
          <w:i/>
          <w:iCs/>
          <w:sz w:val="20"/>
        </w:rPr>
        <w:t>. Res.</w:t>
      </w:r>
      <w:r w:rsidRPr="0086089F">
        <w:rPr>
          <w:sz w:val="20"/>
        </w:rPr>
        <w:t xml:space="preserve">, c. 14, </w:t>
      </w:r>
      <w:proofErr w:type="spellStart"/>
      <w:r w:rsidRPr="0086089F">
        <w:rPr>
          <w:sz w:val="20"/>
        </w:rPr>
        <w:t>sy</w:t>
      </w:r>
      <w:proofErr w:type="spellEnd"/>
      <w:r w:rsidRPr="0086089F">
        <w:rPr>
          <w:sz w:val="20"/>
        </w:rPr>
        <w:t xml:space="preserve"> 2, ss. 213-222, 1961.</w:t>
      </w:r>
    </w:p>
    <w:p w14:paraId="2344FCBE" w14:textId="77777777" w:rsidR="009B252B" w:rsidRPr="0086089F" w:rsidRDefault="009B252B" w:rsidP="009B252B">
      <w:pPr>
        <w:pStyle w:val="Bibliography"/>
        <w:jc w:val="both"/>
        <w:rPr>
          <w:sz w:val="20"/>
        </w:rPr>
      </w:pPr>
      <w:r w:rsidRPr="0086089F">
        <w:rPr>
          <w:sz w:val="20"/>
        </w:rPr>
        <w:t>[7]</w:t>
      </w:r>
      <w:r w:rsidRPr="0086089F">
        <w:rPr>
          <w:sz w:val="20"/>
        </w:rPr>
        <w:tab/>
        <w:t>A. U. Ural, “</w:t>
      </w:r>
      <w:proofErr w:type="spellStart"/>
      <w:r w:rsidRPr="0086089F">
        <w:rPr>
          <w:sz w:val="20"/>
        </w:rPr>
        <w:t>Hematopoetik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Kök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Hücre</w:t>
      </w:r>
      <w:proofErr w:type="spellEnd"/>
      <w:r w:rsidRPr="0086089F">
        <w:rPr>
          <w:sz w:val="20"/>
        </w:rPr>
        <w:t xml:space="preserve">”, </w:t>
      </w:r>
      <w:r w:rsidRPr="0086089F">
        <w:rPr>
          <w:i/>
          <w:iCs/>
          <w:sz w:val="20"/>
        </w:rPr>
        <w:t xml:space="preserve">Turk. </w:t>
      </w:r>
      <w:proofErr w:type="spellStart"/>
      <w:r w:rsidRPr="0086089F">
        <w:rPr>
          <w:i/>
          <w:iCs/>
          <w:sz w:val="20"/>
        </w:rPr>
        <w:t>Klin</w:t>
      </w:r>
      <w:proofErr w:type="spellEnd"/>
      <w:r w:rsidRPr="0086089F">
        <w:rPr>
          <w:i/>
          <w:iCs/>
          <w:sz w:val="20"/>
        </w:rPr>
        <w:t>. J. Surg. Med. Sci.</w:t>
      </w:r>
      <w:r w:rsidRPr="0086089F">
        <w:rPr>
          <w:sz w:val="20"/>
        </w:rPr>
        <w:t xml:space="preserve">, c. 2, </w:t>
      </w:r>
      <w:proofErr w:type="spellStart"/>
      <w:r w:rsidRPr="0086089F">
        <w:rPr>
          <w:sz w:val="20"/>
        </w:rPr>
        <w:t>sy</w:t>
      </w:r>
      <w:proofErr w:type="spellEnd"/>
      <w:r w:rsidRPr="0086089F">
        <w:rPr>
          <w:sz w:val="20"/>
        </w:rPr>
        <w:t xml:space="preserve"> 43, ss. 5-10, 2006.</w:t>
      </w:r>
    </w:p>
    <w:p w14:paraId="28A0D7F9" w14:textId="77777777" w:rsidR="009B252B" w:rsidRPr="0086089F" w:rsidRDefault="009B252B" w:rsidP="009B252B">
      <w:pPr>
        <w:pStyle w:val="Bibliography"/>
        <w:jc w:val="both"/>
        <w:rPr>
          <w:sz w:val="20"/>
        </w:rPr>
      </w:pPr>
      <w:r w:rsidRPr="0086089F">
        <w:rPr>
          <w:sz w:val="20"/>
        </w:rPr>
        <w:lastRenderedPageBreak/>
        <w:t>[8]</w:t>
      </w:r>
      <w:r w:rsidRPr="0086089F">
        <w:rPr>
          <w:sz w:val="20"/>
        </w:rPr>
        <w:tab/>
        <w:t xml:space="preserve">G. </w:t>
      </w:r>
      <w:proofErr w:type="spellStart"/>
      <w:r w:rsidRPr="0086089F">
        <w:rPr>
          <w:sz w:val="20"/>
        </w:rPr>
        <w:t>Ayd</w:t>
      </w:r>
      <w:r w:rsidRPr="0086089F">
        <w:rPr>
          <w:sz w:val="20"/>
          <w:lang w:val="tr-TR"/>
        </w:rPr>
        <w:t>ın</w:t>
      </w:r>
      <w:proofErr w:type="spellEnd"/>
      <w:r w:rsidRPr="0086089F">
        <w:rPr>
          <w:sz w:val="20"/>
        </w:rPr>
        <w:t>, “</w:t>
      </w:r>
      <w:proofErr w:type="spellStart"/>
      <w:r w:rsidRPr="0086089F">
        <w:rPr>
          <w:sz w:val="20"/>
        </w:rPr>
        <w:t>Değişik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Kaynaklı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MKH’lerin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Detaylı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Karakterizasyonu</w:t>
      </w:r>
      <w:proofErr w:type="spellEnd"/>
      <w:r w:rsidRPr="0086089F">
        <w:rPr>
          <w:sz w:val="20"/>
        </w:rPr>
        <w:t xml:space="preserve">, </w:t>
      </w:r>
      <w:proofErr w:type="spellStart"/>
      <w:r w:rsidRPr="0086089F">
        <w:rPr>
          <w:sz w:val="20"/>
        </w:rPr>
        <w:t>Lenfohematopoezi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Destekleyici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Özellikleri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ve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İzolasyonunda</w:t>
      </w:r>
      <w:proofErr w:type="spellEnd"/>
      <w:r w:rsidRPr="0086089F">
        <w:rPr>
          <w:sz w:val="20"/>
        </w:rPr>
        <w:t xml:space="preserve"> CD271 </w:t>
      </w:r>
      <w:proofErr w:type="spellStart"/>
      <w:r w:rsidRPr="0086089F">
        <w:rPr>
          <w:sz w:val="20"/>
        </w:rPr>
        <w:t>Antijeninin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Önemi</w:t>
      </w:r>
      <w:proofErr w:type="spellEnd"/>
      <w:r w:rsidRPr="0086089F">
        <w:rPr>
          <w:sz w:val="20"/>
        </w:rPr>
        <w:t>”, 2018.</w:t>
      </w:r>
    </w:p>
    <w:p w14:paraId="3D8A21DB" w14:textId="77777777" w:rsidR="009B252B" w:rsidRPr="0086089F" w:rsidRDefault="009B252B" w:rsidP="009B252B">
      <w:pPr>
        <w:pStyle w:val="Bibliography"/>
        <w:jc w:val="both"/>
        <w:rPr>
          <w:sz w:val="20"/>
        </w:rPr>
      </w:pPr>
      <w:r w:rsidRPr="0086089F">
        <w:rPr>
          <w:sz w:val="20"/>
        </w:rPr>
        <w:t>[9]</w:t>
      </w:r>
      <w:r w:rsidRPr="0086089F">
        <w:rPr>
          <w:sz w:val="20"/>
        </w:rPr>
        <w:tab/>
        <w:t xml:space="preserve">G. </w:t>
      </w:r>
      <w:proofErr w:type="spellStart"/>
      <w:r w:rsidRPr="0086089F">
        <w:rPr>
          <w:sz w:val="20"/>
        </w:rPr>
        <w:t>Gürhan</w:t>
      </w:r>
      <w:proofErr w:type="spellEnd"/>
      <w:r w:rsidRPr="0086089F">
        <w:rPr>
          <w:sz w:val="20"/>
        </w:rPr>
        <w:t>, “</w:t>
      </w:r>
      <w:proofErr w:type="spellStart"/>
      <w:r w:rsidRPr="0086089F">
        <w:rPr>
          <w:sz w:val="20"/>
        </w:rPr>
        <w:t>Deneysel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Balb</w:t>
      </w:r>
      <w:proofErr w:type="spellEnd"/>
      <w:r w:rsidRPr="0086089F">
        <w:rPr>
          <w:sz w:val="20"/>
        </w:rPr>
        <w:t xml:space="preserve">/C Ova </w:t>
      </w:r>
      <w:proofErr w:type="spellStart"/>
      <w:r w:rsidRPr="0086089F">
        <w:rPr>
          <w:sz w:val="20"/>
        </w:rPr>
        <w:t>Akut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Astim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Modelinde</w:t>
      </w:r>
      <w:proofErr w:type="spellEnd"/>
      <w:r w:rsidRPr="0086089F">
        <w:rPr>
          <w:sz w:val="20"/>
        </w:rPr>
        <w:t xml:space="preserve"> Fare </w:t>
      </w:r>
      <w:proofErr w:type="spellStart"/>
      <w:r w:rsidRPr="0086089F">
        <w:rPr>
          <w:sz w:val="20"/>
        </w:rPr>
        <w:t>Kemik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İliği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Kaynakli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Mezenkimal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Kök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Hücrelerin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Farkli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Uygulama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Yollarinin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Astim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Modeli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Üzerine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Etkisinin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Araştirilmasi</w:t>
      </w:r>
      <w:proofErr w:type="spellEnd"/>
      <w:r w:rsidRPr="0086089F">
        <w:rPr>
          <w:sz w:val="20"/>
        </w:rPr>
        <w:t>”.</w:t>
      </w:r>
    </w:p>
    <w:p w14:paraId="7741A373" w14:textId="77777777" w:rsidR="009B252B" w:rsidRPr="0086089F" w:rsidRDefault="009B252B" w:rsidP="009B252B">
      <w:pPr>
        <w:pStyle w:val="Bibliography"/>
        <w:jc w:val="both"/>
        <w:rPr>
          <w:sz w:val="20"/>
        </w:rPr>
      </w:pPr>
      <w:r w:rsidRPr="0086089F">
        <w:rPr>
          <w:sz w:val="20"/>
        </w:rPr>
        <w:t>[10]</w:t>
      </w:r>
      <w:r w:rsidRPr="0086089F">
        <w:rPr>
          <w:sz w:val="20"/>
        </w:rPr>
        <w:tab/>
        <w:t xml:space="preserve">A. S. </w:t>
      </w:r>
      <w:proofErr w:type="spellStart"/>
      <w:r w:rsidRPr="0086089F">
        <w:rPr>
          <w:sz w:val="20"/>
        </w:rPr>
        <w:t>Çakmak</w:t>
      </w:r>
      <w:proofErr w:type="spellEnd"/>
      <w:r w:rsidRPr="0086089F">
        <w:rPr>
          <w:sz w:val="20"/>
        </w:rPr>
        <w:t>, “</w:t>
      </w:r>
      <w:proofErr w:type="spellStart"/>
      <w:r w:rsidRPr="0086089F">
        <w:rPr>
          <w:sz w:val="20"/>
        </w:rPr>
        <w:t>Biyofiziksel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ve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Biyokimyasal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Uyaranlarla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Desteklenmiş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Doku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İskeleleri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ile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Mezenkimal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Kök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Hücrelerin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Osteojenik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Farklılaşmasının</w:t>
      </w:r>
      <w:proofErr w:type="spellEnd"/>
      <w:r w:rsidRPr="0086089F">
        <w:rPr>
          <w:sz w:val="20"/>
        </w:rPr>
        <w:t xml:space="preserve"> </w:t>
      </w:r>
      <w:proofErr w:type="spellStart"/>
      <w:r w:rsidRPr="0086089F">
        <w:rPr>
          <w:sz w:val="20"/>
        </w:rPr>
        <w:t>İncelenmesi</w:t>
      </w:r>
      <w:proofErr w:type="spellEnd"/>
      <w:r w:rsidRPr="0086089F">
        <w:rPr>
          <w:sz w:val="20"/>
        </w:rPr>
        <w:t>”, 2014.</w:t>
      </w:r>
    </w:p>
    <w:p w14:paraId="222C69EA" w14:textId="2DC6839C" w:rsidR="009B252B" w:rsidRDefault="009B252B" w:rsidP="009B252B">
      <w:pPr>
        <w:widowControl w:val="0"/>
        <w:autoSpaceDE w:val="0"/>
        <w:autoSpaceDN w:val="0"/>
        <w:adjustRightInd w:val="0"/>
        <w:rPr>
          <w:sz w:val="20"/>
        </w:rPr>
      </w:pPr>
      <w:r w:rsidRPr="0086089F">
        <w:rPr>
          <w:sz w:val="20"/>
        </w:rPr>
        <w:t>[11]</w:t>
      </w:r>
      <w:r w:rsidRPr="0086089F">
        <w:rPr>
          <w:sz w:val="20"/>
        </w:rPr>
        <w:tab/>
        <w:t xml:space="preserve">D. J. Rossi </w:t>
      </w:r>
      <w:proofErr w:type="spellStart"/>
      <w:r w:rsidRPr="0086089F">
        <w:rPr>
          <w:i/>
          <w:iCs/>
          <w:sz w:val="20"/>
        </w:rPr>
        <w:t>vd</w:t>
      </w:r>
      <w:proofErr w:type="spellEnd"/>
      <w:r w:rsidRPr="0086089F">
        <w:rPr>
          <w:i/>
          <w:iCs/>
          <w:sz w:val="20"/>
        </w:rPr>
        <w:t>.</w:t>
      </w:r>
      <w:r w:rsidRPr="0086089F">
        <w:rPr>
          <w:sz w:val="20"/>
        </w:rPr>
        <w:t xml:space="preserve">, “Cell intrinsic alterations underlie hematopoietic stem cell aging”, </w:t>
      </w:r>
      <w:r w:rsidRPr="0086089F">
        <w:rPr>
          <w:i/>
          <w:iCs/>
          <w:sz w:val="20"/>
        </w:rPr>
        <w:t>Proc. Natl. Acad. Sci.</w:t>
      </w:r>
      <w:r w:rsidRPr="0086089F">
        <w:rPr>
          <w:sz w:val="20"/>
        </w:rPr>
        <w:t xml:space="preserve">, c. 102, </w:t>
      </w:r>
      <w:proofErr w:type="spellStart"/>
      <w:r w:rsidRPr="0086089F">
        <w:rPr>
          <w:sz w:val="20"/>
        </w:rPr>
        <w:t>sy</w:t>
      </w:r>
      <w:proofErr w:type="spellEnd"/>
      <w:r w:rsidRPr="0086089F">
        <w:rPr>
          <w:sz w:val="20"/>
        </w:rPr>
        <w:t xml:space="preserve"> 26, ss. 9194-9199, </w:t>
      </w:r>
      <w:proofErr w:type="spellStart"/>
      <w:r w:rsidRPr="0086089F">
        <w:rPr>
          <w:sz w:val="20"/>
        </w:rPr>
        <w:t>Haz</w:t>
      </w:r>
      <w:proofErr w:type="spellEnd"/>
      <w:r w:rsidRPr="0086089F">
        <w:rPr>
          <w:sz w:val="20"/>
        </w:rPr>
        <w:t>. 2005.</w:t>
      </w:r>
    </w:p>
    <w:p w14:paraId="143FF9DB" w14:textId="77777777" w:rsidR="009B252B" w:rsidRPr="0086089F" w:rsidRDefault="009B252B" w:rsidP="009B252B">
      <w:pPr>
        <w:jc w:val="both"/>
        <w:rPr>
          <w:sz w:val="20"/>
        </w:rPr>
      </w:pPr>
      <w:r w:rsidRPr="0086089F">
        <w:rPr>
          <w:sz w:val="20"/>
        </w:rPr>
        <w:t>[12]</w:t>
      </w:r>
      <w:r w:rsidRPr="0086089F">
        <w:rPr>
          <w:sz w:val="20"/>
        </w:rPr>
        <w:tab/>
        <w:t xml:space="preserve">W. W. Pang </w:t>
      </w:r>
      <w:r w:rsidRPr="0086089F">
        <w:rPr>
          <w:i/>
          <w:iCs/>
          <w:sz w:val="20"/>
        </w:rPr>
        <w:t>et al.</w:t>
      </w:r>
      <w:r w:rsidRPr="0086089F">
        <w:rPr>
          <w:sz w:val="20"/>
        </w:rPr>
        <w:t xml:space="preserve">, “Human bone marrow hematopoietic stem cells are increased in frequency and myeloid-biased with age,” </w:t>
      </w:r>
      <w:r w:rsidRPr="0086089F">
        <w:rPr>
          <w:i/>
          <w:iCs/>
          <w:sz w:val="20"/>
        </w:rPr>
        <w:t>Proc. Natl. Acad. Sci. U. S. A.</w:t>
      </w:r>
      <w:r w:rsidRPr="0086089F">
        <w:rPr>
          <w:sz w:val="20"/>
        </w:rPr>
        <w:t xml:space="preserve">, vol. 108, no. 50, pp. 20012–20017, 2011, </w:t>
      </w:r>
      <w:proofErr w:type="spellStart"/>
      <w:r w:rsidRPr="0086089F">
        <w:rPr>
          <w:sz w:val="20"/>
        </w:rPr>
        <w:t>doi</w:t>
      </w:r>
      <w:proofErr w:type="spellEnd"/>
      <w:r w:rsidRPr="0086089F">
        <w:rPr>
          <w:sz w:val="20"/>
        </w:rPr>
        <w:t>: 10.1073/pnas.1116110108.</w:t>
      </w:r>
    </w:p>
    <w:p w14:paraId="6EEFE24B" w14:textId="77777777" w:rsidR="009B252B" w:rsidRDefault="009B252B" w:rsidP="009B252B">
      <w:pPr>
        <w:pStyle w:val="Bibliography"/>
        <w:jc w:val="both"/>
      </w:pPr>
      <w:r w:rsidRPr="00E82105">
        <w:rPr>
          <w:rFonts w:eastAsiaTheme="minorHAnsi"/>
          <w:sz w:val="20"/>
        </w:rPr>
        <w:fldChar w:fldCharType="begin"/>
      </w:r>
      <w:r w:rsidRPr="00E82105">
        <w:rPr>
          <w:sz w:val="20"/>
        </w:rPr>
        <w:instrText xml:space="preserve"> ADDIN ZOTERO_BIBL {"uncited":[],"omitted":[],"custom":[]} CSL_BIBLIOGRAPHY </w:instrText>
      </w:r>
      <w:r w:rsidRPr="00E82105">
        <w:rPr>
          <w:rFonts w:eastAsiaTheme="minorHAnsi"/>
          <w:sz w:val="20"/>
        </w:rPr>
        <w:fldChar w:fldCharType="separate"/>
      </w:r>
    </w:p>
    <w:p w14:paraId="03C942B3" w14:textId="77777777" w:rsidR="009B252B" w:rsidRPr="0086089F" w:rsidRDefault="009B252B" w:rsidP="009B252B">
      <w:pPr>
        <w:pStyle w:val="Bibliography"/>
        <w:jc w:val="both"/>
        <w:rPr>
          <w:sz w:val="20"/>
        </w:rPr>
      </w:pPr>
      <w:r w:rsidRPr="0086089F">
        <w:rPr>
          <w:sz w:val="20"/>
        </w:rPr>
        <w:fldChar w:fldCharType="begin" w:fldLock="1"/>
      </w:r>
      <w:r w:rsidRPr="0086089F">
        <w:rPr>
          <w:sz w:val="20"/>
        </w:rPr>
        <w:instrText xml:space="preserve">ADDIN Mendeley Bibliography CSL_BIBLIOGRAPHY </w:instrText>
      </w:r>
      <w:r w:rsidRPr="0086089F">
        <w:rPr>
          <w:sz w:val="20"/>
        </w:rPr>
        <w:fldChar w:fldCharType="separate"/>
      </w:r>
    </w:p>
    <w:p w14:paraId="5B106C6C" w14:textId="77777777" w:rsidR="009B252B" w:rsidRPr="0086089F" w:rsidRDefault="009B252B" w:rsidP="009B252B">
      <w:pPr>
        <w:jc w:val="both"/>
        <w:rPr>
          <w:sz w:val="20"/>
        </w:rPr>
      </w:pPr>
      <w:r w:rsidRPr="0086089F">
        <w:rPr>
          <w:sz w:val="20"/>
        </w:rPr>
        <w:t xml:space="preserve"> [13]</w:t>
      </w:r>
      <w:r w:rsidRPr="0086089F">
        <w:rPr>
          <w:sz w:val="20"/>
        </w:rPr>
        <w:tab/>
        <w:t xml:space="preserve">S. Davis and P. Meltzer, “GEOquery: A bridge between the Gene Expression Omnibus (GEO) and BioConductor,” </w:t>
      </w:r>
      <w:r w:rsidRPr="0086089F">
        <w:rPr>
          <w:i/>
          <w:iCs/>
          <w:sz w:val="20"/>
        </w:rPr>
        <w:t>Bioinformatics</w:t>
      </w:r>
      <w:r w:rsidRPr="0086089F">
        <w:rPr>
          <w:sz w:val="20"/>
        </w:rPr>
        <w:t>, vol. 23, pp. 1846–1847, Aug. 2007, doi: 10.1093/bioinformatics/btm254.</w:t>
      </w:r>
    </w:p>
    <w:p w14:paraId="201C4932" w14:textId="77777777" w:rsidR="009B252B" w:rsidRPr="0086089F" w:rsidRDefault="009B252B" w:rsidP="009B252B">
      <w:pPr>
        <w:jc w:val="both"/>
        <w:rPr>
          <w:sz w:val="20"/>
        </w:rPr>
      </w:pPr>
      <w:r w:rsidRPr="0086089F">
        <w:rPr>
          <w:sz w:val="20"/>
        </w:rPr>
        <w:t>[14]</w:t>
      </w:r>
      <w:r w:rsidRPr="0086089F">
        <w:rPr>
          <w:sz w:val="20"/>
        </w:rPr>
        <w:tab/>
        <w:t xml:space="preserve">R. Ihaka and R. Gentleman, “R: A Language for Data Analysis and Graphics,” </w:t>
      </w:r>
      <w:r w:rsidRPr="0086089F">
        <w:rPr>
          <w:i/>
          <w:iCs/>
          <w:sz w:val="20"/>
        </w:rPr>
        <w:t>J. Comput. Graph. Stat.</w:t>
      </w:r>
      <w:r w:rsidRPr="0086089F">
        <w:rPr>
          <w:sz w:val="20"/>
        </w:rPr>
        <w:t>, vol. 5, no. 3, pp. 299–314, Sep. 1996, doi: 10.1080/10618600.1996.10474713.</w:t>
      </w:r>
    </w:p>
    <w:p w14:paraId="7830D475" w14:textId="77777777" w:rsidR="009B252B" w:rsidRPr="0086089F" w:rsidRDefault="009B252B" w:rsidP="009B252B">
      <w:pPr>
        <w:jc w:val="both"/>
        <w:rPr>
          <w:sz w:val="20"/>
        </w:rPr>
      </w:pPr>
      <w:r w:rsidRPr="0086089F">
        <w:rPr>
          <w:sz w:val="20"/>
        </w:rPr>
        <w:t>[15]</w:t>
      </w:r>
      <w:r w:rsidRPr="0086089F">
        <w:rPr>
          <w:sz w:val="20"/>
        </w:rPr>
        <w:tab/>
        <w:t>R Core Team, “R: A language and environment for statistical computing and Foundation for Statistical Computing.” 2020.</w:t>
      </w:r>
    </w:p>
    <w:p w14:paraId="04538FC8" w14:textId="77777777" w:rsidR="009B252B" w:rsidRPr="0086089F" w:rsidRDefault="009B252B" w:rsidP="009B252B">
      <w:pPr>
        <w:jc w:val="both"/>
        <w:rPr>
          <w:sz w:val="20"/>
        </w:rPr>
      </w:pPr>
      <w:r w:rsidRPr="0086089F">
        <w:rPr>
          <w:sz w:val="20"/>
        </w:rPr>
        <w:t>[16]</w:t>
      </w:r>
      <w:r w:rsidRPr="0086089F">
        <w:rPr>
          <w:sz w:val="20"/>
        </w:rPr>
        <w:tab/>
        <w:t xml:space="preserve">G. R. Warnes </w:t>
      </w:r>
      <w:r w:rsidRPr="0086089F">
        <w:rPr>
          <w:i/>
          <w:iCs/>
          <w:sz w:val="20"/>
        </w:rPr>
        <w:t>et al.</w:t>
      </w:r>
      <w:r w:rsidRPr="0086089F">
        <w:rPr>
          <w:sz w:val="20"/>
        </w:rPr>
        <w:t xml:space="preserve">, “gplots: Various R programming tools for plotting data,” </w:t>
      </w:r>
      <w:r w:rsidRPr="0086089F">
        <w:rPr>
          <w:i/>
          <w:iCs/>
          <w:sz w:val="20"/>
        </w:rPr>
        <w:t>R Packag. version</w:t>
      </w:r>
      <w:r w:rsidRPr="0086089F">
        <w:rPr>
          <w:sz w:val="20"/>
        </w:rPr>
        <w:t>, vol. 2, no. 4, p. 1, 2009.</w:t>
      </w:r>
    </w:p>
    <w:p w14:paraId="14BFA820" w14:textId="77777777" w:rsidR="009B252B" w:rsidRPr="0086089F" w:rsidRDefault="009B252B" w:rsidP="009B252B">
      <w:pPr>
        <w:jc w:val="both"/>
        <w:rPr>
          <w:sz w:val="20"/>
        </w:rPr>
      </w:pPr>
      <w:r w:rsidRPr="0086089F">
        <w:rPr>
          <w:sz w:val="20"/>
        </w:rPr>
        <w:t>[17]</w:t>
      </w:r>
      <w:r w:rsidRPr="0086089F">
        <w:rPr>
          <w:sz w:val="20"/>
        </w:rPr>
        <w:tab/>
        <w:t xml:space="preserve">A. D. Yates </w:t>
      </w:r>
      <w:r w:rsidRPr="0086089F">
        <w:rPr>
          <w:i/>
          <w:iCs/>
          <w:sz w:val="20"/>
        </w:rPr>
        <w:t>et al.</w:t>
      </w:r>
      <w:r w:rsidRPr="0086089F">
        <w:rPr>
          <w:sz w:val="20"/>
        </w:rPr>
        <w:t xml:space="preserve">, “Ensembl 2020,” </w:t>
      </w:r>
      <w:r w:rsidRPr="0086089F">
        <w:rPr>
          <w:i/>
          <w:iCs/>
          <w:sz w:val="20"/>
        </w:rPr>
        <w:t>Nucleic Acids Res.</w:t>
      </w:r>
      <w:r w:rsidRPr="0086089F">
        <w:rPr>
          <w:sz w:val="20"/>
        </w:rPr>
        <w:t>, vol. 48, no. D1, pp. D682–D688, Nov. 2019, doi: 10.1093/nar/gkz966.</w:t>
      </w:r>
    </w:p>
    <w:p w14:paraId="17A19D82" w14:textId="77777777" w:rsidR="009B252B" w:rsidRPr="0086089F" w:rsidRDefault="009B252B" w:rsidP="009B252B">
      <w:pPr>
        <w:jc w:val="both"/>
        <w:rPr>
          <w:sz w:val="20"/>
        </w:rPr>
      </w:pPr>
      <w:r w:rsidRPr="0086089F">
        <w:rPr>
          <w:sz w:val="20"/>
        </w:rPr>
        <w:t>[18]</w:t>
      </w:r>
      <w:r w:rsidRPr="0086089F">
        <w:rPr>
          <w:sz w:val="20"/>
        </w:rPr>
        <w:tab/>
        <w:t xml:space="preserve">E. Eden, R. Navon, I. Steinfeld, D. Lipson, and Z. Yakhini, “GOrilla: a tool for discovery and visualization of enriched GO terms in ranked gene lists,” </w:t>
      </w:r>
      <w:r w:rsidRPr="0086089F">
        <w:rPr>
          <w:i/>
          <w:iCs/>
          <w:sz w:val="20"/>
        </w:rPr>
        <w:t>BMC Bioinformatics</w:t>
      </w:r>
      <w:r w:rsidRPr="0086089F">
        <w:rPr>
          <w:sz w:val="20"/>
        </w:rPr>
        <w:t>, vol. 10, no. 1, pp. 1–7, 2009.</w:t>
      </w:r>
    </w:p>
    <w:p w14:paraId="2E243B73" w14:textId="77777777" w:rsidR="009B252B" w:rsidRPr="0086089F" w:rsidRDefault="009B252B" w:rsidP="009B252B">
      <w:pPr>
        <w:jc w:val="both"/>
        <w:rPr>
          <w:sz w:val="20"/>
        </w:rPr>
      </w:pPr>
      <w:r w:rsidRPr="0086089F">
        <w:rPr>
          <w:sz w:val="20"/>
        </w:rPr>
        <w:t>[19]</w:t>
      </w:r>
      <w:r w:rsidRPr="0086089F">
        <w:rPr>
          <w:sz w:val="20"/>
        </w:rPr>
        <w:tab/>
        <w:t xml:space="preserve">D. W. Huang </w:t>
      </w:r>
      <w:r w:rsidRPr="0086089F">
        <w:rPr>
          <w:i/>
          <w:iCs/>
          <w:sz w:val="20"/>
        </w:rPr>
        <w:t>et al.</w:t>
      </w:r>
      <w:r w:rsidRPr="0086089F">
        <w:rPr>
          <w:sz w:val="20"/>
        </w:rPr>
        <w:t xml:space="preserve">, “DAVID Bioinformatics Resources: expanded annotation database and novel algorithms to better extract biology from large gene lists,” </w:t>
      </w:r>
      <w:r w:rsidRPr="0086089F">
        <w:rPr>
          <w:i/>
          <w:iCs/>
          <w:sz w:val="20"/>
        </w:rPr>
        <w:t>Nucleic Acids Res.</w:t>
      </w:r>
      <w:r w:rsidRPr="0086089F">
        <w:rPr>
          <w:sz w:val="20"/>
        </w:rPr>
        <w:t>, vol. 35, no. suppl_2, pp. W169–W175, 2007.</w:t>
      </w:r>
    </w:p>
    <w:p w14:paraId="3F097F99" w14:textId="77777777" w:rsidR="009B252B" w:rsidRPr="0086089F" w:rsidRDefault="009B252B" w:rsidP="009B252B">
      <w:pPr>
        <w:jc w:val="both"/>
        <w:rPr>
          <w:sz w:val="20"/>
        </w:rPr>
      </w:pPr>
      <w:r w:rsidRPr="0086089F">
        <w:rPr>
          <w:sz w:val="20"/>
        </w:rPr>
        <w:t>[20]</w:t>
      </w:r>
      <w:r w:rsidRPr="0086089F">
        <w:rPr>
          <w:sz w:val="20"/>
        </w:rPr>
        <w:tab/>
        <w:t xml:space="preserve">B. T. Sherman and R. A. Lempicki, “Systematic and integrative analysis of large gene lists using DAVID bioinformatics resources,” </w:t>
      </w:r>
      <w:r w:rsidRPr="0086089F">
        <w:rPr>
          <w:i/>
          <w:iCs/>
          <w:sz w:val="20"/>
        </w:rPr>
        <w:t>Nat. Protoc.</w:t>
      </w:r>
      <w:r w:rsidRPr="0086089F">
        <w:rPr>
          <w:sz w:val="20"/>
        </w:rPr>
        <w:t>, vol. 4, no. 1, p. 44, 2009.</w:t>
      </w:r>
    </w:p>
    <w:p w14:paraId="6A70DBBC" w14:textId="77777777" w:rsidR="009B252B" w:rsidRPr="0086089F" w:rsidRDefault="009B252B" w:rsidP="009B252B">
      <w:pPr>
        <w:jc w:val="both"/>
        <w:rPr>
          <w:sz w:val="20"/>
        </w:rPr>
      </w:pPr>
      <w:r w:rsidRPr="0086089F">
        <w:rPr>
          <w:sz w:val="20"/>
        </w:rPr>
        <w:fldChar w:fldCharType="end"/>
      </w:r>
    </w:p>
    <w:p w14:paraId="06AA9C42" w14:textId="77777777" w:rsidR="009B252B" w:rsidRPr="0086089F" w:rsidRDefault="009B252B" w:rsidP="009B252B">
      <w:pPr>
        <w:jc w:val="both"/>
        <w:rPr>
          <w:sz w:val="20"/>
        </w:rPr>
      </w:pPr>
    </w:p>
    <w:p w14:paraId="5A394519" w14:textId="77777777" w:rsidR="009B252B" w:rsidRPr="00411AF0" w:rsidRDefault="009B252B" w:rsidP="009B252B"/>
    <w:p w14:paraId="621CC7F7" w14:textId="77777777" w:rsidR="009B252B" w:rsidRPr="00411AF0" w:rsidRDefault="009B252B" w:rsidP="009B252B"/>
    <w:p w14:paraId="0530408D" w14:textId="77777777" w:rsidR="009B252B" w:rsidRPr="00411AF0" w:rsidRDefault="009B252B" w:rsidP="009B252B"/>
    <w:p w14:paraId="27291154" w14:textId="77777777" w:rsidR="009B252B" w:rsidRDefault="009B252B" w:rsidP="009B252B">
      <w:pPr>
        <w:jc w:val="both"/>
      </w:pPr>
    </w:p>
    <w:p w14:paraId="6D8A8E84" w14:textId="77777777" w:rsidR="009B252B" w:rsidRPr="00AD17BD" w:rsidRDefault="009B252B" w:rsidP="009B252B"/>
    <w:p w14:paraId="778A5755" w14:textId="77777777" w:rsidR="009B252B" w:rsidRPr="002735A2" w:rsidRDefault="009B252B" w:rsidP="009B252B">
      <w:pPr>
        <w:pStyle w:val="Bibliography"/>
        <w:rPr>
          <w:sz w:val="20"/>
          <w:lang w:val="en-AU"/>
        </w:rPr>
      </w:pPr>
    </w:p>
    <w:p w14:paraId="33B3D004" w14:textId="114561FA" w:rsidR="009B252B" w:rsidRPr="00CB4414" w:rsidRDefault="009B252B" w:rsidP="009B252B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E82105">
        <w:fldChar w:fldCharType="end"/>
      </w:r>
    </w:p>
    <w:sectPr w:rsidR="009B252B" w:rsidRPr="00CB4414" w:rsidSect="009276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626FB" w14:textId="77777777" w:rsidR="00A8790B" w:rsidRDefault="00A8790B" w:rsidP="00CD45A2">
      <w:r>
        <w:separator/>
      </w:r>
    </w:p>
  </w:endnote>
  <w:endnote w:type="continuationSeparator" w:id="0">
    <w:p w14:paraId="73705D31" w14:textId="77777777" w:rsidR="00A8790B" w:rsidRDefault="00A8790B" w:rsidP="00CD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D39F3" w14:textId="77777777" w:rsidR="00A8790B" w:rsidRDefault="00A8790B" w:rsidP="00CD45A2">
      <w:r>
        <w:separator/>
      </w:r>
    </w:p>
  </w:footnote>
  <w:footnote w:type="continuationSeparator" w:id="0">
    <w:p w14:paraId="25F5A48A" w14:textId="77777777" w:rsidR="00A8790B" w:rsidRDefault="00A8790B" w:rsidP="00CD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D0E5A"/>
    <w:multiLevelType w:val="multilevel"/>
    <w:tmpl w:val="8E82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6D2"/>
    <w:rsid w:val="0006188C"/>
    <w:rsid w:val="00096E95"/>
    <w:rsid w:val="00142898"/>
    <w:rsid w:val="00145143"/>
    <w:rsid w:val="00153AE7"/>
    <w:rsid w:val="0017366B"/>
    <w:rsid w:val="0017707E"/>
    <w:rsid w:val="001A194D"/>
    <w:rsid w:val="001F2462"/>
    <w:rsid w:val="00262C08"/>
    <w:rsid w:val="002A6357"/>
    <w:rsid w:val="002D2DA9"/>
    <w:rsid w:val="0034772D"/>
    <w:rsid w:val="00355C35"/>
    <w:rsid w:val="003734E1"/>
    <w:rsid w:val="00376E96"/>
    <w:rsid w:val="003862DB"/>
    <w:rsid w:val="003A617C"/>
    <w:rsid w:val="003C4733"/>
    <w:rsid w:val="004135FF"/>
    <w:rsid w:val="004901FC"/>
    <w:rsid w:val="004A0A2A"/>
    <w:rsid w:val="004C0527"/>
    <w:rsid w:val="004D4666"/>
    <w:rsid w:val="00532D63"/>
    <w:rsid w:val="00543609"/>
    <w:rsid w:val="0056618D"/>
    <w:rsid w:val="005B2A53"/>
    <w:rsid w:val="005D0A21"/>
    <w:rsid w:val="006518FD"/>
    <w:rsid w:val="006B7662"/>
    <w:rsid w:val="007A2575"/>
    <w:rsid w:val="007A706F"/>
    <w:rsid w:val="007B1A75"/>
    <w:rsid w:val="0082344D"/>
    <w:rsid w:val="00823F96"/>
    <w:rsid w:val="00891AC3"/>
    <w:rsid w:val="008F6CE8"/>
    <w:rsid w:val="009276C1"/>
    <w:rsid w:val="00981D78"/>
    <w:rsid w:val="009B252B"/>
    <w:rsid w:val="009F7BCA"/>
    <w:rsid w:val="00A556D2"/>
    <w:rsid w:val="00A83B04"/>
    <w:rsid w:val="00A8790B"/>
    <w:rsid w:val="00AC36EC"/>
    <w:rsid w:val="00B33CD0"/>
    <w:rsid w:val="00B35828"/>
    <w:rsid w:val="00BC1ECC"/>
    <w:rsid w:val="00C947C8"/>
    <w:rsid w:val="00CB4414"/>
    <w:rsid w:val="00CB4501"/>
    <w:rsid w:val="00CD45A2"/>
    <w:rsid w:val="00D00975"/>
    <w:rsid w:val="00D42D8D"/>
    <w:rsid w:val="00D93577"/>
    <w:rsid w:val="00DB15C7"/>
    <w:rsid w:val="00DE311A"/>
    <w:rsid w:val="00E10E86"/>
    <w:rsid w:val="00E77FB1"/>
    <w:rsid w:val="00EF7A41"/>
    <w:rsid w:val="00F137AD"/>
    <w:rsid w:val="00F57D86"/>
    <w:rsid w:val="00F70873"/>
    <w:rsid w:val="00F8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7B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1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A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E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81D78"/>
  </w:style>
  <w:style w:type="paragraph" w:styleId="NoSpacing">
    <w:name w:val="No Spacing"/>
    <w:uiPriority w:val="1"/>
    <w:qFormat/>
    <w:rsid w:val="00376E96"/>
  </w:style>
  <w:style w:type="character" w:customStyle="1" w:styleId="Heading2Char">
    <w:name w:val="Heading 2 Char"/>
    <w:basedOn w:val="DefaultParagraphFont"/>
    <w:link w:val="Heading2"/>
    <w:uiPriority w:val="9"/>
    <w:rsid w:val="00376E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36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6E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62C08"/>
    <w:rPr>
      <w:color w:val="808080"/>
    </w:rPr>
  </w:style>
  <w:style w:type="table" w:styleId="TableGridLight">
    <w:name w:val="Grid Table Light"/>
    <w:basedOn w:val="TableNormal"/>
    <w:uiPriority w:val="40"/>
    <w:rsid w:val="003A61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A617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9B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64B714-7F1D-5149-81B0-97C0F2C2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emine isceviren</cp:lastModifiedBy>
  <cp:revision>6</cp:revision>
  <cp:lastPrinted>2017-02-20T15:44:00Z</cp:lastPrinted>
  <dcterms:created xsi:type="dcterms:W3CDTF">2020-08-17T10:29:00Z</dcterms:created>
  <dcterms:modified xsi:type="dcterms:W3CDTF">2020-08-25T12:05:00Z</dcterms:modified>
</cp:coreProperties>
</file>