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028090"/>
          <w:sz w:val="72"/>
          <w:szCs w:val="72"/>
        </w:rPr>
        <w:t xml:space="preserve">ANTESALA</w:t>
      </w:r>
    </w:p>
    <w:p>
      <w:pPr>
        <w:spacing w:after="100" w:before="200"/>
        <w:jc w:val="center"/>
      </w:pPr>
      <w:r>
        <w:rPr>
          <w:i/>
          <w:iCs/>
          <w:color w:val="00A896"/>
          <w:sz w:val="28"/>
          <w:szCs w:val="28"/>
        </w:rPr>
        <w:t xml:space="preserve">Documento técnico del proyecto</w:t>
      </w:r>
    </w:p>
    <w:p>
      <w:pPr>
        <w:spacing w:after="1600" w:before="100"/>
        <w:jc w:val="center"/>
      </w:pPr>
      <w:r>
        <w:rPr>
          <w:color w:val="5C6B6E"/>
          <w:sz w:val="22"/>
          <w:szCs w:val="22"/>
        </w:rPr>
        <w:t xml:space="preserve">Predicción temprana de crisis conductuales en niños neurodivergentes</w:t>
      </w:r>
    </w:p>
    <w:p>
      <w:pPr>
        <w:spacing w:before="200"/>
        <w:jc w:val="center"/>
      </w:pPr>
      <w:r>
        <w:rPr>
          <w:b/>
          <w:bCs/>
          <w:color w:val="1E2A2E"/>
          <w:sz w:val="20"/>
          <w:szCs w:val="20"/>
        </w:rPr>
        <w:t xml:space="preserve">NeuroHack 2026  ·  Desafío Bluba SpA</w:t>
      </w:r>
    </w:p>
    <w:p>
      <w:pPr>
        <w:spacing w:before="60"/>
        <w:jc w:val="center"/>
      </w:pPr>
      <w:r>
        <w:rPr>
          <w:color w:val="5C6B6E"/>
          <w:sz w:val="18"/>
          <w:szCs w:val="18"/>
        </w:rPr>
        <w:t xml:space="preserve">Facultad de Ingeniería y Ciencias · Universidad de La Frontera</w:t>
      </w:r>
    </w:p>
    <w:p>
      <w:pPr>
        <w:spacing w:before="400"/>
        <w:jc w:val="center"/>
      </w:pPr>
      <w:r>
        <w:rPr>
          <w:color w:val="5C6B6E"/>
          <w:sz w:val="18"/>
          <w:szCs w:val="18"/>
        </w:rPr>
        <w:t xml:space="preserve">Agosto de 2026</w:t>
      </w:r>
    </w:p>
    <w:p>
      <w:r>
        <w:br w:type="page"/>
      </w:r>
    </w:p>
    <w:p>
      <w:pPr>
        <w:pStyle w:val="Heading1"/>
        <w:spacing w:after="200" w:before="400"/>
      </w:pPr>
      <w:r>
        <w:rPr>
          <w:b/>
          <w:bCs/>
          <w:color w:val="028090"/>
          <w:sz w:val="32"/>
          <w:szCs w:val="32"/>
        </w:rPr>
        <w:t xml:space="preserve">Tabla de contenidos</w:t>
      </w:r>
    </w:p>
    <w:p>
      <w:pPr>
        <w:spacing w:after="140"/>
      </w:pPr>
      <w:hyperlink w:history="1" w:anchor="sec1">
        <w:r>
          <w:rPr>
            <w:b/>
            <w:bCs/>
            <w:color w:val="00A896"/>
            <w:sz w:val="22"/>
            <w:szCs w:val="22"/>
            <w:u w:val="single"/>
          </w:rPr>
          <w:t xml:space="preserve">1. Resumen ejecutivo</w:t>
        </w:r>
      </w:hyperlink>
    </w:p>
    <w:p>
      <w:pPr>
        <w:spacing w:after="140"/>
      </w:pPr>
      <w:hyperlink w:history="1" w:anchor="sec2">
        <w:r>
          <w:rPr>
            <w:b/>
            <w:bCs/>
            <w:color w:val="00A896"/>
            <w:sz w:val="22"/>
            <w:szCs w:val="22"/>
            <w:u w:val="single"/>
          </w:rPr>
          <w:t xml:space="preserve">2. Contexto del desafío</w:t>
        </w:r>
      </w:hyperlink>
    </w:p>
    <w:p>
      <w:pPr>
        <w:spacing w:after="140"/>
      </w:pPr>
      <w:hyperlink w:history="1" w:anchor="sec3">
        <w:r>
          <w:rPr>
            <w:b/>
            <w:bCs/>
            <w:color w:val="00A896"/>
            <w:sz w:val="22"/>
            <w:szCs w:val="22"/>
            <w:u w:val="single"/>
          </w:rPr>
          <w:t xml:space="preserve">3. Fundamento teórico: pooling bayesiano jerárquico</w:t>
        </w:r>
      </w:hyperlink>
    </w:p>
    <w:p>
      <w:pPr>
        <w:spacing w:after="140"/>
      </w:pPr>
      <w:hyperlink w:history="1" w:anchor="sec4">
        <w:r>
          <w:rPr>
            <w:b/>
            <w:bCs/>
            <w:color w:val="00A896"/>
            <w:sz w:val="22"/>
            <w:szCs w:val="22"/>
            <w:u w:val="single"/>
          </w:rPr>
          <w:t xml:space="preserve">4. Variables del sistema</w:t>
        </w:r>
      </w:hyperlink>
    </w:p>
    <w:p>
      <w:pPr>
        <w:spacing w:after="140"/>
      </w:pPr>
      <w:hyperlink w:history="1" w:anchor="sec5">
        <w:r>
          <w:rPr>
            <w:b/>
            <w:bCs/>
            <w:color w:val="00A896"/>
            <w:sz w:val="22"/>
            <w:szCs w:val="22"/>
            <w:u w:val="single"/>
          </w:rPr>
          <w:t xml:space="preserve">5. Arquitectura general del sistema</w:t>
        </w:r>
      </w:hyperlink>
    </w:p>
    <w:p>
      <w:pPr>
        <w:spacing w:after="140"/>
      </w:pPr>
      <w:hyperlink w:history="1" w:anchor="sec6">
        <w:r>
          <w:rPr>
            <w:b/>
            <w:bCs/>
            <w:color w:val="00A896"/>
            <w:sz w:val="22"/>
            <w:szCs w:val="22"/>
            <w:u w:val="single"/>
          </w:rPr>
          <w:t xml:space="preserve">6. Modelo de riesgo, nivel de confianza y selección de la siguiente pregunta</w:t>
        </w:r>
      </w:hyperlink>
    </w:p>
    <w:p>
      <w:pPr>
        <w:spacing w:after="140"/>
      </w:pPr>
      <w:hyperlink w:history="1" w:anchor="sec7">
        <w:r>
          <w:rPr>
            <w:b/>
            <w:bCs/>
            <w:color w:val="00A896"/>
            <w:sz w:val="22"/>
            <w:szCs w:val="22"/>
            <w:u w:val="single"/>
          </w:rPr>
          <w:t xml:space="preserve">7. De la predicción a una recomendación accionable</w:t>
        </w:r>
      </w:hyperlink>
    </w:p>
    <w:p>
      <w:pPr>
        <w:spacing w:after="140"/>
      </w:pPr>
      <w:hyperlink w:history="1" w:anchor="sec8">
        <w:r>
          <w:rPr>
            <w:b/>
            <w:bCs/>
            <w:color w:val="00A896"/>
            <w:sz w:val="22"/>
            <w:szCs w:val="22"/>
            <w:u w:val="single"/>
          </w:rPr>
          <w:t xml:space="preserve">8. Stack tecnológico</w:t>
        </w:r>
      </w:hyperlink>
    </w:p>
    <w:p>
      <w:pPr>
        <w:spacing w:after="140"/>
      </w:pPr>
      <w:hyperlink w:history="1" w:anchor="sec9">
        <w:r>
          <w:rPr>
            <w:b/>
            <w:bCs/>
            <w:color w:val="00A896"/>
            <w:sz w:val="22"/>
            <w:szCs w:val="22"/>
            <w:u w:val="single"/>
          </w:rPr>
          <w:t xml:space="preserve">9. Carta Gantt — plan de trabajo por día</w:t>
        </w:r>
      </w:hyperlink>
    </w:p>
    <w:p>
      <w:pPr>
        <w:spacing w:after="140"/>
      </w:pPr>
      <w:hyperlink w:history="1" w:anchor="sec10">
        <w:r>
          <w:rPr>
            <w:b/>
            <w:bCs/>
            <w:color w:val="00A896"/>
            <w:sz w:val="22"/>
            <w:szCs w:val="22"/>
            <w:u w:val="single"/>
          </w:rPr>
          <w:t xml:space="preserve">10. Riesgos técnicos y mitigaciones</w:t>
        </w:r>
      </w:hyperlink>
    </w:p>
    <w:p>
      <w:pPr>
        <w:spacing w:after="140"/>
      </w:pPr>
      <w:hyperlink w:history="1" w:anchor="sec11">
        <w:r>
          <w:rPr>
            <w:b/>
            <w:bCs/>
            <w:color w:val="00A896"/>
            <w:sz w:val="22"/>
            <w:szCs w:val="22"/>
            <w:u w:val="single"/>
          </w:rPr>
          <w:t xml:space="preserve">11. Glosario consolidado de términos técnicos</w:t>
        </w:r>
      </w:hyperlink>
    </w:p>
    <w:p>
      <w:pPr>
        <w:spacing w:after="140"/>
      </w:pPr>
      <w:hyperlink w:history="1" w:anchor="sec12">
        <w:r>
          <w:rPr>
            <w:b/>
            <w:bCs/>
            <w:color w:val="00A896"/>
            <w:sz w:val="22"/>
            <w:szCs w:val="22"/>
            <w:u w:val="single"/>
          </w:rPr>
          <w:t xml:space="preserve">12. Anexo — Alcance real de las bases del desafío</w:t>
        </w:r>
      </w:hyperlink>
    </w:p>
    <w:p>
      <w:r>
        <w:br w:type="page"/>
      </w:r>
    </w:p>
    <w:p>
      <w:pPr>
        <w:pStyle w:val="Heading1"/>
        <w:spacing w:after="200" w:before="400"/>
      </w:pPr>
      <w:bookmarkStart w:name="sec1" w:id="1000"/>
      <w:r>
        <w:rPr>
          <w:b/>
          <w:bCs/>
          <w:color w:val="028090"/>
          <w:sz w:val="32"/>
          <w:szCs w:val="32"/>
        </w:rPr>
        <w:t xml:space="preserve">1. Resumen ejecutivo</w:t>
      </w:r>
      <w:bookmarkEnd w:id="1000"/>
    </w:p>
    <w:p>
      <w:pPr>
        <w:spacing w:after="160" w:line="300"/>
        <w:jc w:val="both"/>
      </w:pPr>
      <w:r>
        <w:rPr>
          <w:color w:val="1E2A2E"/>
          <w:sz w:val="21"/>
          <w:szCs w:val="21"/>
        </w:rPr>
        <w:t xml:space="preserve">Antesala es un prototipo de solución tecnológica desarrollado para el desafío propuesto por la empresa Bluba SpA en el marco de la hackatón NeuroHack 2026. El objetivo del desafío es diseñar un sistema capaz de identificar patrones de riesgo conductual y anticipar, con 24 horas de anticipación, una crisis conductual en niños neurodivergentes, utilizando la información cotidiana registrada por familias, terapeutas y equipos educativos en la plataforma Bluba.</w:t>
      </w:r>
    </w:p>
    <w:p>
      <w:pPr>
        <w:spacing w:after="160" w:line="300"/>
        <w:jc w:val="both"/>
      </w:pPr>
      <w:r>
        <w:rPr>
          <w:color w:val="1E2A2E"/>
          <w:sz w:val="21"/>
          <w:szCs w:val="21"/>
        </w:rPr>
        <w:t xml:space="preserve">A diferencia de un enfoque estándar de clasificación de riesgo (un modelo único aplicado igual a todos los niños), Antesala se construye sobre dos ideas centrales que se explican en detalle en este documento:</w:t>
      </w:r>
    </w:p>
    <w:p>
      <w:pPr>
        <w:pStyle w:val="ListParagraph"/>
        <w:numPr>
          <w:ilvl w:val="0"/>
          <w:numId w:val="1"/>
        </w:numPr>
        <w:spacing w:after="90" w:line="290"/>
      </w:pPr>
      <w:r>
        <w:rPr>
          <w:color w:val="1E2A2E"/>
          <w:sz w:val="21"/>
          <w:szCs w:val="21"/>
        </w:rPr>
        <w:t xml:space="preserve">Modelado idiográfico con pooling bayesiano jerárquico: cada niño tiene su propio patrón de comportamiento, pero cuando su historial es corto, el sistema "pide prestada" información del patrón general de la población hasta conocerlo mejor.</w:t>
      </w:r>
    </w:p>
    <w:p>
      <w:pPr>
        <w:pStyle w:val="ListParagraph"/>
        <w:numPr>
          <w:ilvl w:val="0"/>
          <w:numId w:val="1"/>
        </w:numPr>
        <w:spacing w:after="90" w:line="290"/>
      </w:pPr>
      <w:r>
        <w:rPr>
          <w:color w:val="1E2A2E"/>
          <w:sz w:val="21"/>
          <w:szCs w:val="21"/>
        </w:rPr>
        <w:t xml:space="preserve">Selección activa de la siguiente pregunta: en lugar de pedir todos los días el mismo formulario largo, el sistema calcula qué dato faltante reduciría más la incertidumbre de la predicción, y solicita únicamente ese dato a la familia.</w:t>
      </w:r>
    </w:p>
    <w:p>
      <w:pPr>
        <w:spacing w:after="160" w:line="300"/>
        <w:jc w:val="both"/>
      </w:pPr>
      <w:r>
        <w:rPr>
          <w:color w:val="1E2A2E"/>
          <w:sz w:val="21"/>
          <w:szCs w:val="21"/>
        </w:rPr>
        <w:t xml:space="preserve">Este documento reúne el fundamento teórico del modelo, el detalle de todas las variables utilizadas (provistas por Bluba y derivadas por el equipo), la arquitectura y el stack tecnológico elegido para construir el prototipo en el plazo de la hackatón, y una carta Gantt con los objetivos diarios de trabajo. Se incluyen además explicaciones de la terminología técnica empleada, pensadas para que cualquier integrante del equipo —tenga o no formación en machine learning— pueda entender, explicar y defender la propuesta ante el jurado.</w:t>
      </w:r>
    </w:p>
    <w:p>
      <w:pPr>
        <w:pStyle w:val="Heading1"/>
        <w:spacing w:after="200" w:before="400"/>
      </w:pPr>
      <w:bookmarkStart w:name="sec2" w:id="1001"/>
      <w:r>
        <w:rPr>
          <w:b/>
          <w:bCs/>
          <w:color w:val="028090"/>
          <w:sz w:val="32"/>
          <w:szCs w:val="32"/>
        </w:rPr>
        <w:t xml:space="preserve">2. Contexto del desafío</w:t>
      </w:r>
      <w:bookmarkEnd w:id="1001"/>
    </w:p>
    <w:p>
      <w:pPr>
        <w:spacing w:after="160" w:line="300"/>
        <w:jc w:val="both"/>
      </w:pPr>
      <w:r>
        <w:rPr>
          <w:color w:val="1E2A2E"/>
          <w:sz w:val="21"/>
          <w:szCs w:val="21"/>
        </w:rPr>
        <w:t xml:space="preserve">El desafío es entregado directamente por Bluba SpA, empresa cuya plataforma permite a familias, terapeutas y equipos escolares registrar información cotidiana de niños neurodivergentes (bitácora diaria y observaciones terapéuticas o escolares). Las bases de la hackatón (Sección 4, "Desafío Bluba") piden explícitamente que la solución:</w:t>
      </w:r>
    </w:p>
    <w:p>
      <w:pPr>
        <w:pStyle w:val="ListParagraph"/>
        <w:numPr>
          <w:ilvl w:val="0"/>
          <w:numId w:val="1"/>
        </w:numPr>
        <w:spacing w:after="90" w:line="290"/>
      </w:pPr>
      <w:r>
        <w:rPr>
          <w:color w:val="1E2A2E"/>
          <w:sz w:val="21"/>
          <w:szCs w:val="21"/>
        </w:rPr>
        <w:t xml:space="preserve">Identifique patrones de riesgo conductual a partir de datos cotidianos.</w:t>
      </w:r>
    </w:p>
    <w:p>
      <w:pPr>
        <w:pStyle w:val="ListParagraph"/>
        <w:numPr>
          <w:ilvl w:val="0"/>
          <w:numId w:val="1"/>
        </w:numPr>
        <w:spacing w:after="90" w:line="290"/>
      </w:pPr>
      <w:r>
        <w:rPr>
          <w:color w:val="1E2A2E"/>
          <w:sz w:val="21"/>
          <w:szCs w:val="21"/>
        </w:rPr>
        <w:t xml:space="preserve">Genere un indicador de probabilidad de desregulación o crisis para las próximas 24 horas.</w:t>
      </w:r>
    </w:p>
    <w:p>
      <w:pPr>
        <w:pStyle w:val="ListParagraph"/>
        <w:numPr>
          <w:ilvl w:val="0"/>
          <w:numId w:val="1"/>
        </w:numPr>
        <w:spacing w:after="90" w:line="290"/>
      </w:pPr>
      <w:r>
        <w:rPr>
          <w:color w:val="1E2A2E"/>
          <w:sz w:val="21"/>
          <w:szCs w:val="21"/>
        </w:rPr>
        <w:t xml:space="preserve">Entregue explicaciones comprensibles y estrategias preventivas accionables.</w:t>
      </w:r>
    </w:p>
    <w:p>
      <w:pPr>
        <w:pStyle w:val="ListParagraph"/>
        <w:numPr>
          <w:ilvl w:val="0"/>
          <w:numId w:val="1"/>
        </w:numPr>
        <w:spacing w:after="90" w:line="290"/>
      </w:pPr>
      <w:r>
        <w:rPr>
          <w:color w:val="1E2A2E"/>
          <w:sz w:val="21"/>
          <w:szCs w:val="21"/>
        </w:rPr>
        <w:t xml:space="preserve">Gestione escenarios reales donde los datos pueden estar incompletos o ser inconsistentes.</w:t>
      </w:r>
    </w:p>
    <w:p>
      <w:pPr>
        <w:pStyle w:val="ListParagraph"/>
        <w:numPr>
          <w:ilvl w:val="0"/>
          <w:numId w:val="1"/>
        </w:numPr>
        <w:spacing w:after="90" w:line="290"/>
      </w:pPr>
      <w:r>
        <w:rPr>
          <w:color w:val="1E2A2E"/>
          <w:sz w:val="21"/>
          <w:szCs w:val="21"/>
        </w:rPr>
        <w:t xml:space="preserve">Determine el nivel de confianza de una predicción según la calidad de los datos disponibles.</w:t>
      </w:r>
    </w:p>
    <w:p>
      <w:pPr>
        <w:pStyle w:val="ListParagraph"/>
        <w:numPr>
          <w:ilvl w:val="0"/>
          <w:numId w:val="1"/>
        </w:numPr>
        <w:spacing w:after="90" w:line="290"/>
      </w:pPr>
      <w:r>
        <w:rPr>
          <w:color w:val="1E2A2E"/>
          <w:sz w:val="21"/>
          <w:szCs w:val="21"/>
        </w:rPr>
        <w:t xml:space="preserve">Incentive y facilite el registro oportuno de información relevante.</w:t>
      </w:r>
    </w:p>
    <w:p>
      <w:pPr>
        <w:pStyle w:val="ListParagraph"/>
        <w:numPr>
          <w:ilvl w:val="0"/>
          <w:numId w:val="1"/>
        </w:numPr>
        <w:spacing w:after="90" w:line="290"/>
      </w:pPr>
      <w:r>
        <w:rPr>
          <w:color w:val="1E2A2E"/>
          <w:sz w:val="21"/>
          <w:szCs w:val="21"/>
        </w:rPr>
        <w:t xml:space="preserve">Identifique qué variables aportan mayor valor predictivo.</w:t>
      </w:r>
    </w:p>
    <w:p>
      <w:pPr>
        <w:pStyle w:val="ListParagraph"/>
        <w:numPr>
          <w:ilvl w:val="0"/>
          <w:numId w:val="1"/>
        </w:numPr>
        <w:spacing w:after="90" w:line="290"/>
      </w:pPr>
      <w:r>
        <w:rPr>
          <w:color w:val="1E2A2E"/>
          <w:sz w:val="21"/>
          <w:szCs w:val="21"/>
        </w:rPr>
        <w:t xml:space="preserve">Reduzca la carga de registro para las familias y equipos de apoyo.</w:t>
      </w:r>
    </w:p>
    <w:p>
      <w:pPr>
        <w:pStyle w:val="ListParagraph"/>
        <w:numPr>
          <w:ilvl w:val="0"/>
          <w:numId w:val="1"/>
        </w:numPr>
        <w:spacing w:after="90" w:line="290"/>
      </w:pPr>
      <w:r>
        <w:rPr>
          <w:color w:val="1E2A2E"/>
          <w:sz w:val="21"/>
          <w:szCs w:val="21"/>
        </w:rPr>
        <w:t xml:space="preserve">Genere alertas cuando la información disponible no sea suficiente para una recomendación confiable.</w:t>
      </w:r>
    </w:p>
    <w:p>
      <w:pPr>
        <w:spacing w:after="160" w:line="300"/>
        <w:jc w:val="both"/>
      </w:pPr>
      <w:r>
        <w:rPr>
          <w:color w:val="1E2A2E"/>
          <w:sz w:val="21"/>
          <w:szCs w:val="21"/>
        </w:rPr>
        <w:t xml:space="preserve">Es importante notar que las bases no especifican el funcionamiento interno de la plataforma Bluba (no hay detalle de su arquitectura, su interfaz o si ya cuenta con algún modelo predictivo). Lo único que las bases detallan es la lista de variables que la plataforma captura hoy mediante registro manual (ver Sección 4.1 de este documento). Por lo tanto, Antesala se diseña como una capa de inteligencia adicional que podría integrarse a futuro sobre esa base de datos, y así se planteará ante el jurado: como un prototipo de razonamiento y de interfaz, no como una modificación del sistema real de Bluba, cuyo detalle técnico no fue proporcionado.</w:t>
      </w:r>
    </w:p>
    <w:p>
      <w:r>
        <w:br w:type="page"/>
      </w:r>
    </w:p>
    <w:p>
      <w:pPr>
        <w:pStyle w:val="Heading1"/>
        <w:spacing w:after="200" w:before="400"/>
      </w:pPr>
      <w:bookmarkStart w:name="sec3" w:id="1002"/>
      <w:r>
        <w:rPr>
          <w:b/>
          <w:bCs/>
          <w:color w:val="028090"/>
          <w:sz w:val="32"/>
          <w:szCs w:val="32"/>
        </w:rPr>
        <w:t xml:space="preserve">3. Fundamento teórico: pooling bayesiano jerárquico</w:t>
      </w:r>
      <w:bookmarkEnd w:id="1002"/>
    </w:p>
    <w:p>
      <w:pPr>
        <w:spacing w:after="160" w:line="300"/>
        <w:jc w:val="both"/>
      </w:pPr>
      <w:r>
        <w:rPr>
          <w:color w:val="1E2A2E"/>
          <w:sz w:val="21"/>
          <w:szCs w:val="21"/>
        </w:rPr>
        <w:t xml:space="preserve">Esta sección explica, de principio a fin y sin dar por sentado conocimiento previo de estadística, el concepto central que distingue a Antesala: el pooling (agrupamiento) bayesiano jerárquico. Se explican primero las piezas básicas (qué es un modelo bayesiano) y luego se construye el concepto completo paso a paso, con una fórmula simplificada y un ejemplo numérico concreto.</w:t>
      </w:r>
    </w:p>
    <w:p>
      <w:pPr>
        <w:pStyle w:val="Heading2"/>
        <w:spacing w:after="150" w:before="300"/>
      </w:pPr>
      <w:r>
        <w:rPr>
          <w:b/>
          <w:bCs/>
          <w:color w:val="1E2A2E"/>
          <w:sz w:val="26"/>
          <w:szCs w:val="26"/>
        </w:rPr>
        <w:t xml:space="preserve">3.1 ¿Qué es un modelo bayesiano?</w:t>
      </w:r>
    </w:p>
    <w:p>
      <w:pPr>
        <w:spacing w:after="160" w:line="300"/>
        <w:jc w:val="both"/>
      </w:pPr>
      <w:r>
        <w:rPr>
          <w:color w:val="1E2A2E"/>
          <w:sz w:val="21"/>
          <w:szCs w:val="21"/>
        </w:rPr>
        <w:t xml:space="preserve">En estadística "clásica", se suele estimar un valor (por ejemplo, la probabilidad de que un niño tenga una crisis) mirando solo los datos observados, como si no supiéramos nada antes de verlos. La estadística bayesiana propone algo distinto: partir de una creencia inicial razonable (llamada prior o distribución a priori) y actualizarla a medida que llegan datos nuevos, usando la evidencia observada (llamada likelihood o verosimilitud) para llegar a una creencia actualizada (llamada posterior o distribución a posteriori).</w:t>
      </w:r>
    </w:p>
    <w:tbl>
      <w:tblPr>
        <w:tblW w:type="pct" w:w="100%"/>
        <w:tblBorders>
          <w:top w:val="single" w:color="00A896" w:sz="4"/>
          <w:left w:val="single" w:color="00A896" w:sz="4"/>
          <w:bottom w:val="single" w:color="00A896" w:sz="4"/>
          <w:right w:val="single" w:color="00A896" w:sz="4"/>
          <w:insideH w:val="single" w:color="auto" w:sz="4"/>
          <w:insideV w:val="single" w:color="auto" w:sz="4"/>
        </w:tblBorders>
      </w:tblPr>
      <w:tblGrid>
        <w:gridCol w:w="100"/>
      </w:tblGrid>
      <w:tr>
        <w:tc>
          <w:tcPr>
            <w:shd w:fill="EDF5F3" w:color="auto" w:val="clear"/>
            <w:tcMar>
              <w:top w:type="dxa" w:w="150"/>
              <w:left w:type="dxa" w:w="200"/>
              <w:bottom w:type="dxa" w:w="150"/>
              <w:right w:type="dxa" w:w="200"/>
            </w:tcMar>
          </w:tcPr>
          <w:p>
            <w:pPr>
              <w:spacing w:after="80"/>
            </w:pPr>
            <w:r>
              <w:rPr>
                <w:b/>
                <w:bCs/>
                <w:color w:val="028090"/>
                <w:sz w:val="21"/>
                <w:szCs w:val="21"/>
              </w:rPr>
              <w:t xml:space="preserve">Analogía</w:t>
            </w:r>
          </w:p>
          <w:p>
            <w:pPr>
              <w:spacing w:after="0" w:line="280"/>
            </w:pPr>
            <w:r>
              <w:rPr>
                <w:color w:val="1E2A2E"/>
                <w:sz w:val="20"/>
                <w:szCs w:val="20"/>
              </w:rPr>
              <w:t xml:space="preserve">Es como un médico que, antes de ver a un paciente nuevo, ya tiene una idea general de qué tan común es cierta condición en la población (el prior). Cuando examina al paciente y ve sus síntomas específicos (la evidencia), ajusta esa idea general para llegar a un diagnóstico particular para esa persona (el posterior). No parte de cero, pero tampoco ignora la evidencia nueva.</w:t>
            </w:r>
          </w:p>
        </w:tc>
      </w:tr>
    </w:tbl>
    <w:p>
      <w:pPr>
        <w:spacing w:after="160" w:line="300"/>
        <w:jc w:val="both"/>
      </w:pPr>
      <w:r>
        <w:rPr>
          <w:color w:val="1E2A2E"/>
          <w:sz w:val="21"/>
          <w:szCs w:val="21"/>
        </w:rPr>
        <w:t xml:space="preserve"/>
      </w:r>
    </w:p>
    <w:p>
      <w:pPr>
        <w:spacing w:after="160" w:line="300"/>
        <w:jc w:val="both"/>
      </w:pPr>
      <w:r>
        <w:rPr>
          <w:b/>
          <w:bCs/>
          <w:color w:val="1E2A2E"/>
          <w:sz w:val="21"/>
          <w:szCs w:val="21"/>
        </w:rPr>
        <w:t xml:space="preserve">En términos simples: </w:t>
      </w:r>
      <w:r>
        <w:rPr>
          <w:color w:val="1E2A2E"/>
          <w:sz w:val="21"/>
          <w:szCs w:val="21"/>
        </w:rPr>
        <w:t xml:space="preserve">posterior = una combinación entre lo que ya creíamos (prior) y lo que los datos nuevos nos dicen (likelihood). Cuanta más evidencia específica tengamos, más pesa la evidencia nueva por sobre la creencia inicial.</w:t>
      </w:r>
    </w:p>
    <w:p>
      <w:pPr>
        <w:pStyle w:val="Heading2"/>
        <w:spacing w:after="150" w:before="300"/>
      </w:pPr>
      <w:r>
        <w:rPr>
          <w:b/>
          <w:bCs/>
          <w:color w:val="1E2A2E"/>
          <w:sz w:val="26"/>
          <w:szCs w:val="26"/>
        </w:rPr>
        <w:t xml:space="preserve">3.2 El problema que resolvemos: estimar un patrón por niño con pocos datos</w:t>
      </w:r>
    </w:p>
    <w:p>
      <w:pPr>
        <w:spacing w:after="160" w:line="300"/>
        <w:jc w:val="both"/>
      </w:pPr>
      <w:r>
        <w:rPr>
          <w:color w:val="1E2A2E"/>
          <w:sz w:val="21"/>
          <w:szCs w:val="21"/>
        </w:rPr>
        <w:t xml:space="preserve">El desafío de Bluba pide predecir el riesgo de crisis usando el historial cotidiano de cada niño. Pero hay un problema práctico: algunos niños llevarán meses de registro en la plataforma, mientras que otros recién se están incorporando y tienen apenas uno o dos días de historial. Si tratamos a todos los niños de la misma forma, tenemos dos malas alternativas:</w:t>
      </w:r>
    </w:p>
    <w:p>
      <w:pPr>
        <w:pStyle w:val="Heading3"/>
        <w:spacing w:after="100" w:before="200"/>
      </w:pPr>
      <w:r>
        <w:rPr>
          <w:b/>
          <w:bCs/>
          <w:color w:val="00A896"/>
          <w:sz w:val="23"/>
          <w:szCs w:val="23"/>
        </w:rPr>
        <w:t xml:space="preserve">Alternativa A — "Sin pooling" (un modelo independiente por niño)</w:t>
      </w:r>
    </w:p>
    <w:p>
      <w:pPr>
        <w:spacing w:after="160" w:line="300"/>
        <w:jc w:val="both"/>
      </w:pPr>
      <w:r>
        <w:rPr>
          <w:color w:val="1E2A2E"/>
          <w:sz w:val="21"/>
          <w:szCs w:val="21"/>
        </w:rPr>
        <w:t xml:space="preserve">Se calcula el patrón de riesgo de cada niño usando solo sus propios datos, sin mirar a los demás. El problema es que, con pocos días de historial, cualquier estimación es extremadamente inestable: si un niño nuevo tuvo una mala racha de dos días con crisis, el modelo podría concluir —incorrectamente— que tiene un 100% de probabilidad de crisis todos los días. Esto es lo que en estadística se llama sobreajuste (overfitting): el modelo confunde ruido aleatorio de una muestra pequeña con un patrón real.</w:t>
      </w:r>
    </w:p>
    <w:p>
      <w:pPr>
        <w:pStyle w:val="Heading3"/>
        <w:spacing w:after="100" w:before="200"/>
      </w:pPr>
      <w:r>
        <w:rPr>
          <w:b/>
          <w:bCs/>
          <w:color w:val="00A896"/>
          <w:sz w:val="23"/>
          <w:szCs w:val="23"/>
        </w:rPr>
        <w:t xml:space="preserve">Alternativa B — "Pooling completo" (un modelo único para todos los niños)</w:t>
      </w:r>
    </w:p>
    <w:p>
      <w:pPr>
        <w:spacing w:after="160" w:line="300"/>
        <w:jc w:val="both"/>
      </w:pPr>
      <w:r>
        <w:rPr>
          <w:color w:val="1E2A2E"/>
          <w:sz w:val="21"/>
          <w:szCs w:val="21"/>
        </w:rPr>
        <w:t xml:space="preserve">Se calcula un solo patrón general usando los datos de todos los niños juntos, y se aplica igual a cada uno. El problema opuesto: se pierde toda la información individual. Un niño cuyo patrón normal es muy distinto al promedio (por ejemplo, uno que duerme naturalmente menos horas sin que eso sea una señal de alerta) sería mal evaluado, porque el modelo lo compara contra un promedio que no lo representa.</w:t>
      </w:r>
    </w:p>
    <w:p>
      <w:pPr>
        <w:pStyle w:val="Heading3"/>
        <w:spacing w:after="100" w:before="200"/>
      </w:pPr>
      <w:r>
        <w:rPr>
          <w:b/>
          <w:bCs/>
          <w:color w:val="00A896"/>
          <w:sz w:val="23"/>
          <w:szCs w:val="23"/>
        </w:rPr>
        <w:t xml:space="preserve">La solución — "Pooling parcial" o jerárquico</w:t>
      </w:r>
    </w:p>
    <w:p>
      <w:pPr>
        <w:spacing w:after="160" w:line="300"/>
        <w:jc w:val="both"/>
      </w:pPr>
      <w:r>
        <w:rPr>
          <w:color w:val="1E2A2E"/>
          <w:sz w:val="21"/>
          <w:szCs w:val="21"/>
        </w:rPr>
        <w:t xml:space="preserve">El pooling bayesiano jerárquico es un término medio matemáticamente fundamentado entre las dos alternativas anteriores. En vez de elegir entre "solo los datos del niño" o "solo el promedio general", combina ambas fuentes de información, ponderando cada una según qué tan confiable es. Cuando el niño tiene poco historial, el modelo se apoya más en el patrón general de la población (tal como un médico se apoya en la prevalencia general de una condición cuando aún no conoce bien a un paciente). Cuando el niño ya tiene mucho historial propio, el modelo confía cada vez más en su patrón individual y cada vez menos en el promedio general.</w:t>
      </w:r>
    </w:p>
    <w:p>
      <w:pPr>
        <w:pStyle w:val="Heading2"/>
        <w:spacing w:after="150" w:before="300"/>
      </w:pPr>
      <w:r>
        <w:rPr>
          <w:b/>
          <w:bCs/>
          <w:color w:val="1E2A2E"/>
          <w:sz w:val="26"/>
          <w:szCs w:val="26"/>
        </w:rPr>
        <w:t xml:space="preserve">3.3 ¿Por qué se llama "jerárquico"?</w:t>
      </w:r>
    </w:p>
    <w:p>
      <w:pPr>
        <w:spacing w:after="160" w:line="300"/>
        <w:jc w:val="both"/>
      </w:pPr>
      <w:r>
        <w:rPr>
          <w:color w:val="1E2A2E"/>
          <w:sz w:val="21"/>
          <w:szCs w:val="21"/>
        </w:rPr>
        <w:t xml:space="preserve">Se llama jerárquico porque el modelo organiza la información en niveles, uno dentro de otro:</w:t>
      </w:r>
    </w:p>
    <w:p>
      <w:pPr>
        <w:pStyle w:val="ListParagraph"/>
        <w:numPr>
          <w:ilvl w:val="0"/>
          <w:numId w:val="1"/>
        </w:numPr>
        <w:spacing w:after="90" w:line="290"/>
      </w:pPr>
      <w:r>
        <w:rPr>
          <w:color w:val="1E2A2E"/>
          <w:sz w:val="21"/>
          <w:szCs w:val="21"/>
        </w:rPr>
        <w:t xml:space="preserve">Nivel 1 — Observaciones diarias: los registros de bitácora de un día específico de un niño específico (sueño, rutina, comportamiento, etc.).</w:t>
      </w:r>
    </w:p>
    <w:p>
      <w:pPr>
        <w:pStyle w:val="ListParagraph"/>
        <w:numPr>
          <w:ilvl w:val="0"/>
          <w:numId w:val="1"/>
        </w:numPr>
        <w:spacing w:after="90" w:line="290"/>
      </w:pPr>
      <w:r>
        <w:rPr>
          <w:color w:val="1E2A2E"/>
          <w:sz w:val="21"/>
          <w:szCs w:val="21"/>
        </w:rPr>
        <w:t xml:space="preserve">Nivel 2 — El niño: el patrón propio de cada niño, que se estima a partir de sus observaciones diarias.</w:t>
      </w:r>
    </w:p>
    <w:p>
      <w:pPr>
        <w:pStyle w:val="ListParagraph"/>
        <w:numPr>
          <w:ilvl w:val="0"/>
          <w:numId w:val="1"/>
        </w:numPr>
        <w:spacing w:after="90" w:line="290"/>
      </w:pPr>
      <w:r>
        <w:rPr>
          <w:color w:val="1E2A2E"/>
          <w:sz w:val="21"/>
          <w:szCs w:val="21"/>
        </w:rPr>
        <w:t xml:space="preserve">Nivel 3 — La población general: el patrón promedio de todos los niños de la plataforma, que ayuda a estimar el patrón de un niño cuando este aún tiene pocas observaciones propias.</w:t>
      </w:r>
    </w:p>
    <w:p>
      <w:pPr>
        <w:spacing w:after="160" w:line="300"/>
        <w:jc w:val="both"/>
      </w:pPr>
      <w:r>
        <w:rPr>
          <w:color w:val="1E2A2E"/>
          <w:sz w:val="21"/>
          <w:szCs w:val="21"/>
        </w:rPr>
        <w:t xml:space="preserve">La información fluye en ambas direcciones entre niveles: los datos de cada niño ayudan a estimar el patrón general de la población, y el patrón general de la población ayuda a estimar (o "rellenar", en un sentido estadístico) el patrón de un niño del que aún sabemos poco. Este flujo de información en dos direcciones es la característica que distingue a un modelo jerárquico de un modelo simple.</w:t>
      </w:r>
    </w:p>
    <w:p>
      <w:pPr>
        <w:pStyle w:val="Heading2"/>
        <w:spacing w:after="150" w:before="300"/>
      </w:pPr>
      <w:r>
        <w:rPr>
          <w:b/>
          <w:bCs/>
          <w:color w:val="1E2A2E"/>
          <w:sz w:val="26"/>
          <w:szCs w:val="26"/>
        </w:rPr>
        <w:t xml:space="preserve">3.4 El mecanismo matemático: shrinkage (contracción hacia la media)</w:t>
      </w:r>
    </w:p>
    <w:p>
      <w:pPr>
        <w:spacing w:after="160" w:line="300"/>
        <w:jc w:val="both"/>
      </w:pPr>
      <w:r>
        <w:rPr>
          <w:color w:val="1E2A2E"/>
          <w:sz w:val="21"/>
          <w:szCs w:val="21"/>
        </w:rPr>
        <w:t xml:space="preserve">El fenómeno mediante el cual la estimación de un niño con poco historial se acerca ("se contrae") hacia el promedio general se llama shrinkage. La versión simplificada de la fórmula que Antesala utiliza es la siguiente:</w:t>
      </w:r>
    </w:p>
    <w:tbl>
      <w:tblPr>
        <w:tblW w:type="pct" w:w="100%"/>
        <w:tblBorders>
          <w:top w:val="single" w:color="C7D9D6" w:sz="2"/>
          <w:left w:val="single" w:color="C7D9D6" w:sz="2"/>
          <w:bottom w:val="single" w:color="C7D9D6" w:sz="2"/>
          <w:right w:val="single" w:color="C7D9D6" w:sz="2"/>
          <w:insideH w:val="single" w:color="auto" w:sz="4"/>
          <w:insideV w:val="single" w:color="auto" w:sz="4"/>
        </w:tblBorders>
      </w:tblPr>
      <w:tblGrid>
        <w:gridCol w:w="100"/>
      </w:tblGrid>
      <w:tr>
        <w:tc>
          <w:tcPr>
            <w:shd w:fill="FAFCFB" w:color="auto" w:val="clear"/>
            <w:tcMar>
              <w:top w:type="dxa" w:w="180"/>
              <w:left w:type="dxa" w:w="300"/>
              <w:bottom w:type="dxa" w:w="180"/>
              <w:right w:type="dxa" w:w="300"/>
            </w:tcMar>
          </w:tcPr>
          <w:p>
            <w:pPr>
              <w:jc w:val="center"/>
            </w:pPr>
            <w:r>
              <w:rPr>
                <w:rFonts w:ascii="Courier New" w:cs="Courier New" w:eastAsia="Courier New" w:hAnsi="Courier New"/>
                <w:color w:val="1E2A2E"/>
                <w:sz w:val="22"/>
                <w:szCs w:val="22"/>
              </w:rPr>
              <w:t xml:space="preserve">theta_i = w_i · ybar_i  +  (1 − w_i) · mu</w:t>
            </w:r>
          </w:p>
        </w:tc>
      </w:tr>
    </w:tbl>
    <w:p>
      <w:pPr>
        <w:spacing w:after="160" w:line="300"/>
        <w:jc w:val="both"/>
      </w:pPr>
      <w:r>
        <w:rPr>
          <w:color w:val="1E2A2E"/>
          <w:sz w:val="21"/>
          <w:szCs w:val="21"/>
        </w:rPr>
        <w:t xml:space="preserve"/>
      </w:r>
    </w:p>
    <w:p>
      <w:pPr>
        <w:spacing w:after="160" w:line="300"/>
        <w:jc w:val="both"/>
      </w:pPr>
      <w:r>
        <w:rPr>
          <w:b/>
          <w:bCs/>
          <w:color w:val="1E2A2E"/>
          <w:sz w:val="21"/>
          <w:szCs w:val="21"/>
        </w:rPr>
        <w:t xml:space="preserve">Donde:  </w:t>
      </w:r>
    </w:p>
    <w:p>
      <w:pPr>
        <w:pStyle w:val="ListParagraph"/>
        <w:numPr>
          <w:ilvl w:val="0"/>
          <w:numId w:val="1"/>
        </w:numPr>
        <w:spacing w:after="90" w:line="290"/>
      </w:pPr>
      <w:r>
        <w:rPr>
          <w:color w:val="1E2A2E"/>
          <w:sz w:val="21"/>
          <w:szCs w:val="21"/>
        </w:rPr>
        <w:t xml:space="preserve">theta_i: la estimación final (ajustada) del patrón de riesgo del niño i.</w:t>
      </w:r>
    </w:p>
    <w:p>
      <w:pPr>
        <w:pStyle w:val="ListParagraph"/>
        <w:numPr>
          <w:ilvl w:val="0"/>
          <w:numId w:val="1"/>
        </w:numPr>
        <w:spacing w:after="90" w:line="290"/>
      </w:pPr>
      <w:r>
        <w:rPr>
          <w:color w:val="1E2A2E"/>
          <w:sz w:val="21"/>
          <w:szCs w:val="21"/>
        </w:rPr>
        <w:t xml:space="preserve">ybar_i: el promedio observado usando solo los datos propios del niño i (por ejemplo, su tasa histórica de días con desregulación).</w:t>
      </w:r>
    </w:p>
    <w:p>
      <w:pPr>
        <w:pStyle w:val="ListParagraph"/>
        <w:numPr>
          <w:ilvl w:val="0"/>
          <w:numId w:val="1"/>
        </w:numPr>
        <w:spacing w:after="90" w:line="290"/>
      </w:pPr>
      <w:r>
        <w:rPr>
          <w:color w:val="1E2A2E"/>
          <w:sz w:val="21"/>
          <w:szCs w:val="21"/>
        </w:rPr>
        <w:t xml:space="preserve">mu: el promedio general de la población (calculado con los datos de todos los niños de la plataforma).</w:t>
      </w:r>
    </w:p>
    <w:p>
      <w:pPr>
        <w:pStyle w:val="ListParagraph"/>
        <w:numPr>
          <w:ilvl w:val="0"/>
          <w:numId w:val="1"/>
        </w:numPr>
        <w:spacing w:after="90" w:line="290"/>
      </w:pPr>
      <w:r>
        <w:rPr>
          <w:color w:val="1E2A2E"/>
          <w:sz w:val="21"/>
          <w:szCs w:val="21"/>
        </w:rPr>
        <w:t xml:space="preserve">w_i: un peso entre 0 y 1 que indica cuánto confiar en los datos propios del niño, calculado como:</w:t>
      </w:r>
    </w:p>
    <w:tbl>
      <w:tblPr>
        <w:tblW w:type="pct" w:w="100%"/>
        <w:tblBorders>
          <w:top w:val="single" w:color="C7D9D6" w:sz="2"/>
          <w:left w:val="single" w:color="C7D9D6" w:sz="2"/>
          <w:bottom w:val="single" w:color="C7D9D6" w:sz="2"/>
          <w:right w:val="single" w:color="C7D9D6" w:sz="2"/>
          <w:insideH w:val="single" w:color="auto" w:sz="4"/>
          <w:insideV w:val="single" w:color="auto" w:sz="4"/>
        </w:tblBorders>
      </w:tblPr>
      <w:tblGrid>
        <w:gridCol w:w="100"/>
      </w:tblGrid>
      <w:tr>
        <w:tc>
          <w:tcPr>
            <w:shd w:fill="FAFCFB" w:color="auto" w:val="clear"/>
            <w:tcMar>
              <w:top w:type="dxa" w:w="180"/>
              <w:left w:type="dxa" w:w="300"/>
              <w:bottom w:type="dxa" w:w="180"/>
              <w:right w:type="dxa" w:w="300"/>
            </w:tcMar>
          </w:tcPr>
          <w:p>
            <w:pPr>
              <w:jc w:val="center"/>
            </w:pPr>
            <w:r>
              <w:rPr>
                <w:rFonts w:ascii="Courier New" w:cs="Courier New" w:eastAsia="Courier New" w:hAnsi="Courier New"/>
                <w:color w:val="1E2A2E"/>
                <w:sz w:val="22"/>
                <w:szCs w:val="22"/>
              </w:rPr>
              <w:t xml:space="preserve">w_i = n_i / (n_i + k)</w:t>
            </w:r>
          </w:p>
        </w:tc>
      </w:tr>
    </w:tbl>
    <w:p>
      <w:pPr>
        <w:spacing w:after="160" w:line="300"/>
        <w:jc w:val="both"/>
      </w:pPr>
      <w:r>
        <w:rPr>
          <w:color w:val="1E2A2E"/>
          <w:sz w:val="21"/>
          <w:szCs w:val="21"/>
        </w:rPr>
        <w:t xml:space="preserve"/>
      </w:r>
    </w:p>
    <w:p>
      <w:pPr>
        <w:pStyle w:val="ListParagraph"/>
        <w:numPr>
          <w:ilvl w:val="0"/>
          <w:numId w:val="1"/>
        </w:numPr>
        <w:spacing w:after="90" w:line="290"/>
      </w:pPr>
      <w:r>
        <w:rPr>
          <w:color w:val="1E2A2E"/>
          <w:sz w:val="21"/>
          <w:szCs w:val="21"/>
        </w:rPr>
        <w:t xml:space="preserve">n_i: la cantidad de días de historial que tiene el niño i.</w:t>
      </w:r>
    </w:p>
    <w:p>
      <w:pPr>
        <w:pStyle w:val="ListParagraph"/>
        <w:numPr>
          <w:ilvl w:val="0"/>
          <w:numId w:val="1"/>
        </w:numPr>
        <w:spacing w:after="90" w:line="290"/>
      </w:pPr>
      <w:r>
        <w:rPr>
          <w:color w:val="1E2A2E"/>
          <w:sz w:val="21"/>
          <w:szCs w:val="21"/>
        </w:rPr>
        <w:t xml:space="preserve">k: una constante que representa cuántos días de historial se necesitan, en promedio, para empezar a confiar más en el patrón individual que en el general (en la versión simplificada de Antesala se usa k = 5, es decir, aproximadamente una semana de registros).</w:t>
      </w:r>
    </w:p>
    <w:p>
      <w:pPr>
        <w:spacing w:after="160" w:line="300"/>
        <w:jc w:val="both"/>
      </w:pPr>
      <w:r>
        <w:rPr>
          <w:color w:val="1E2A2E"/>
          <w:sz w:val="21"/>
          <w:szCs w:val="21"/>
        </w:rPr>
        <w:t xml:space="preserve">Nótese el comportamiento de w_i en los dos extremos: si un niño tiene muy pocos días de historial (n_i cercano a 0), w_i se acerca a 0 y la estimación depende casi completamente del promedio general (mu). Si un niño tiene mucho historial (n_i mucho mayor que k), w_i se acerca a 1 y la estimación depende casi completamente de su propio promedio (ybar_i). Esta transición es gradual, no un interruptor binario, lo que evita saltos bruscos en la predicción a medida que se acumulan más datos.</w:t>
      </w:r>
    </w:p>
    <w:p>
      <w:pPr>
        <w:pStyle w:val="Heading3"/>
        <w:spacing w:after="100" w:before="200"/>
      </w:pPr>
      <w:r>
        <w:rPr>
          <w:b/>
          <w:bCs/>
          <w:color w:val="00A896"/>
          <w:sz w:val="23"/>
          <w:szCs w:val="23"/>
        </w:rPr>
        <w:t xml:space="preserve">Ejemplo numérico concreto</w:t>
      </w:r>
    </w:p>
    <w:p>
      <w:pPr>
        <w:spacing w:after="160" w:line="300"/>
        <w:jc w:val="both"/>
      </w:pPr>
      <w:r>
        <w:rPr>
          <w:color w:val="1E2A2E"/>
          <w:sz w:val="21"/>
          <w:szCs w:val="21"/>
        </w:rPr>
        <w:t xml:space="preserve">Supongamos que, según los datos históricos de todos los niños en la plataforma Bluba, la tasa general de días con desregulación conductual es mu = 0.20 (20%). Comparemos dos niños: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3200"/>
      </w:tblGrid>
      <w:tr>
        <w:tc>
          <w:tcPr>
            <w:tcW w:type="dxa" w:w="2600"/>
            <w:shd w:fill="028090" w:color="auto" w:val="clear"/>
            <w:tcMar>
              <w:top w:type="dxa" w:w="100"/>
              <w:left w:type="dxa" w:w="120"/>
              <w:bottom w:type="dxa" w:w="100"/>
              <w:right w:type="dxa" w:w="120"/>
            </w:tcMar>
            <w:vAlign w:val="center"/>
          </w:tcPr>
          <w:p>
            <w:r>
              <w:rPr>
                <w:b/>
                <w:bCs/>
                <w:color w:val="FFFFFF"/>
                <w:sz w:val="19"/>
                <w:szCs w:val="19"/>
              </w:rPr>
              <w:t xml:space="preserve">Caso</w:t>
            </w:r>
          </w:p>
        </w:tc>
        <w:tc>
          <w:tcPr>
            <w:tcW w:type="dxa" w:w="1600"/>
            <w:shd w:fill="028090" w:color="auto" w:val="clear"/>
            <w:tcMar>
              <w:top w:type="dxa" w:w="100"/>
              <w:left w:type="dxa" w:w="120"/>
              <w:bottom w:type="dxa" w:w="100"/>
              <w:right w:type="dxa" w:w="120"/>
            </w:tcMar>
            <w:vAlign w:val="center"/>
          </w:tcPr>
          <w:p>
            <w:r>
              <w:rPr>
                <w:b/>
                <w:bCs/>
                <w:color w:val="FFFFFF"/>
                <w:sz w:val="19"/>
                <w:szCs w:val="19"/>
              </w:rPr>
              <w:t xml:space="preserve">Días de historial (n)</w:t>
            </w:r>
          </w:p>
        </w:tc>
        <w:tc>
          <w:tcPr>
            <w:tcW w:type="dxa" w:w="1600"/>
            <w:shd w:fill="028090" w:color="auto" w:val="clear"/>
            <w:tcMar>
              <w:top w:type="dxa" w:w="100"/>
              <w:left w:type="dxa" w:w="120"/>
              <w:bottom w:type="dxa" w:w="100"/>
              <w:right w:type="dxa" w:w="120"/>
            </w:tcMar>
            <w:vAlign w:val="center"/>
          </w:tcPr>
          <w:p>
            <w:r>
              <w:rPr>
                <w:b/>
                <w:bCs/>
                <w:color w:val="FFFFFF"/>
                <w:sz w:val="19"/>
                <w:szCs w:val="19"/>
              </w:rPr>
              <w:t xml:space="preserve">Promedio propio (ȳ)</w:t>
            </w:r>
          </w:p>
        </w:tc>
        <w:tc>
          <w:tcPr>
            <w:tcW w:type="dxa" w:w="3200"/>
            <w:shd w:fill="028090" w:color="auto" w:val="clear"/>
            <w:tcMar>
              <w:top w:type="dxa" w:w="100"/>
              <w:left w:type="dxa" w:w="120"/>
              <w:bottom w:type="dxa" w:w="100"/>
              <w:right w:type="dxa" w:w="120"/>
            </w:tcMar>
            <w:vAlign w:val="center"/>
          </w:tcPr>
          <w:p>
            <w:r>
              <w:rPr>
                <w:b/>
                <w:bCs/>
                <w:color w:val="FFFFFF"/>
                <w:sz w:val="19"/>
                <w:szCs w:val="19"/>
              </w:rPr>
              <w:t xml:space="preserve">Estimación ajustada (θ)</w:t>
            </w:r>
          </w:p>
        </w:tc>
      </w:tr>
      <w:tr>
        <w:tc>
          <w:tcPr>
            <w:tcW w:type="dxa" w:w="26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Niño A — historial largo</w:t>
            </w:r>
          </w:p>
        </w:tc>
        <w:tc>
          <w:tcPr>
            <w:tcW w:type="dxa" w:w="16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30 días</w:t>
            </w:r>
          </w:p>
        </w:tc>
        <w:tc>
          <w:tcPr>
            <w:tcW w:type="dxa" w:w="16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40% (0.40)</w:t>
            </w:r>
          </w:p>
        </w:tc>
        <w:tc>
          <w:tcPr>
            <w:tcW w:type="dxa" w:w="32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w = 30/35 = 0.86 → θ ≈ 0.86×0.40 + 0.14×0.20 ≈ 37%</w:t>
            </w:r>
          </w:p>
        </w:tc>
      </w:tr>
      <w:tr>
        <w:tc>
          <w:tcPr>
            <w:tcW w:type="dxa" w:w="2600"/>
            <w:shd w:fill="EDF5F3" w:color="auto" w:val="clear"/>
            <w:tcMar>
              <w:top w:type="dxa" w:w="90"/>
              <w:left w:type="dxa" w:w="120"/>
              <w:bottom w:type="dxa" w:w="90"/>
              <w:right w:type="dxa" w:w="120"/>
            </w:tcMar>
            <w:vAlign w:val="center"/>
          </w:tcPr>
          <w:p>
            <w:pPr>
              <w:spacing w:line="260"/>
            </w:pPr>
            <w:r>
              <w:rPr>
                <w:b w:val="false"/>
                <w:bCs w:val="false"/>
                <w:color w:val="1E2A2E"/>
                <w:sz w:val="18"/>
                <w:szCs w:val="18"/>
              </w:rPr>
              <w:t xml:space="preserve">Niño B — recién llegado</w:t>
            </w:r>
          </w:p>
        </w:tc>
        <w:tc>
          <w:tcPr>
            <w:tcW w:type="dxa" w:w="1600"/>
            <w:shd w:fill="EDF5F3" w:color="auto" w:val="clear"/>
            <w:tcMar>
              <w:top w:type="dxa" w:w="90"/>
              <w:left w:type="dxa" w:w="120"/>
              <w:bottom w:type="dxa" w:w="90"/>
              <w:right w:type="dxa" w:w="120"/>
            </w:tcMar>
            <w:vAlign w:val="center"/>
          </w:tcPr>
          <w:p>
            <w:pPr>
              <w:spacing w:line="260"/>
            </w:pPr>
            <w:r>
              <w:rPr>
                <w:b w:val="false"/>
                <w:bCs w:val="false"/>
                <w:color w:val="1E2A2E"/>
                <w:sz w:val="18"/>
                <w:szCs w:val="18"/>
              </w:rPr>
              <w:t xml:space="preserve">2 días</w:t>
            </w:r>
          </w:p>
        </w:tc>
        <w:tc>
          <w:tcPr>
            <w:tcW w:type="dxa" w:w="1600"/>
            <w:shd w:fill="EDF5F3" w:color="auto" w:val="clear"/>
            <w:tcMar>
              <w:top w:type="dxa" w:w="90"/>
              <w:left w:type="dxa" w:w="120"/>
              <w:bottom w:type="dxa" w:w="90"/>
              <w:right w:type="dxa" w:w="120"/>
            </w:tcMar>
            <w:vAlign w:val="center"/>
          </w:tcPr>
          <w:p>
            <w:pPr>
              <w:spacing w:line="260"/>
            </w:pPr>
            <w:r>
              <w:rPr>
                <w:b w:val="false"/>
                <w:bCs w:val="false"/>
                <w:color w:val="1E2A2E"/>
                <w:sz w:val="18"/>
                <w:szCs w:val="18"/>
              </w:rPr>
              <w:t xml:space="preserve">100% (dos de dos días con crisis)</w:t>
            </w:r>
          </w:p>
        </w:tc>
        <w:tc>
          <w:tcPr>
            <w:tcW w:type="dxa" w:w="3200"/>
            <w:shd w:fill="EDF5F3" w:color="auto" w:val="clear"/>
            <w:tcMar>
              <w:top w:type="dxa" w:w="90"/>
              <w:left w:type="dxa" w:w="120"/>
              <w:bottom w:type="dxa" w:w="90"/>
              <w:right w:type="dxa" w:w="120"/>
            </w:tcMar>
            <w:vAlign w:val="center"/>
          </w:tcPr>
          <w:p>
            <w:pPr>
              <w:spacing w:line="260"/>
            </w:pPr>
            <w:r>
              <w:rPr>
                <w:b w:val="false"/>
                <w:bCs w:val="false"/>
                <w:color w:val="1E2A2E"/>
                <w:sz w:val="18"/>
                <w:szCs w:val="18"/>
              </w:rPr>
              <w:t xml:space="preserve">w = 2/7 = 0.29 → θ ≈ 0.29×1.0 + 0.71×0.20 ≈ 43%</w:t>
            </w:r>
          </w:p>
        </w:tc>
      </w:tr>
    </w:tbl>
    <w:p>
      <w:pPr>
        <w:spacing w:after="160" w:line="300"/>
        <w:jc w:val="both"/>
      </w:pPr>
      <w:r>
        <w:rPr>
          <w:color w:val="1E2A2E"/>
          <w:sz w:val="21"/>
          <w:szCs w:val="21"/>
        </w:rPr>
        <w:t xml:space="preserve"/>
      </w:r>
    </w:p>
    <w:p>
      <w:pPr>
        <w:spacing w:after="160" w:line="300"/>
        <w:jc w:val="both"/>
      </w:pPr>
      <w:r>
        <w:rPr>
          <w:color w:val="1E2A2E"/>
          <w:sz w:val="21"/>
          <w:szCs w:val="21"/>
        </w:rPr>
        <w:t xml:space="preserve">El resultado es revelador: el Niño B tuvo crisis en el 100% de sus dos días registrados, pero sería un error grave concluir que su riesgo real es del 100%. Con tan poca evidencia, el modelo jerárquico corrige esa estimación hacia abajo, acercándola al patrón general (43% en vez de 100%), reconociendo que dos días no son suficiente evidencia para una conclusión tan extrema. El Niño A, en cambio, con 30 días de historial propio, mantiene una estimación mucho más cercana a su propio promedio (37% en vez de 20%), porque ya hay suficiente evidencia individual para confiar en su patrón particular. Ningún niño queda evaluado con un promedio genérico ni con una extrapolación ingenua de pocos datos: cada uno recibe el nivel de personalización que su propio historial permite justificar.</w:t>
      </w:r>
    </w:p>
    <w:p>
      <w:pPr>
        <w:pStyle w:val="Heading2"/>
        <w:spacing w:after="150" w:before="300"/>
      </w:pPr>
      <w:r>
        <w:rPr>
          <w:b/>
          <w:bCs/>
          <w:color w:val="1E2A2E"/>
          <w:sz w:val="26"/>
          <w:szCs w:val="26"/>
        </w:rPr>
        <w:t xml:space="preserve">3.5 La versión formal del modelo (para quienes quieran profundizar)</w:t>
      </w:r>
    </w:p>
    <w:p>
      <w:pPr>
        <w:spacing w:after="160" w:line="300"/>
        <w:jc w:val="both"/>
      </w:pPr>
      <w:r>
        <w:rPr>
          <w:color w:val="1E2A2E"/>
          <w:sz w:val="21"/>
          <w:szCs w:val="21"/>
        </w:rPr>
        <w:t xml:space="preserve">La fórmula de la sección anterior es una simplificación práctica de un modelo jerárquico bayesiano completo. En su forma más rigurosa, el modelo se escribe en dos niveles:</w:t>
      </w:r>
    </w:p>
    <w:tbl>
      <w:tblPr>
        <w:tblW w:type="pct" w:w="100%"/>
        <w:tblBorders>
          <w:top w:val="single" w:color="C7D9D6" w:sz="2"/>
          <w:left w:val="single" w:color="C7D9D6" w:sz="2"/>
          <w:bottom w:val="single" w:color="C7D9D6" w:sz="2"/>
          <w:right w:val="single" w:color="C7D9D6" w:sz="2"/>
          <w:insideH w:val="single" w:color="auto" w:sz="4"/>
          <w:insideV w:val="single" w:color="auto" w:sz="4"/>
        </w:tblBorders>
      </w:tblPr>
      <w:tblGrid>
        <w:gridCol w:w="100"/>
      </w:tblGrid>
      <w:tr>
        <w:tc>
          <w:tcPr>
            <w:shd w:fill="FAFCFB" w:color="auto" w:val="clear"/>
            <w:tcMar>
              <w:top w:type="dxa" w:w="180"/>
              <w:left w:type="dxa" w:w="300"/>
              <w:bottom w:type="dxa" w:w="180"/>
              <w:right w:type="dxa" w:w="300"/>
            </w:tcMar>
          </w:tcPr>
          <w:p>
            <w:pPr>
              <w:jc w:val="center"/>
            </w:pPr>
            <w:r>
              <w:rPr>
                <w:rFonts w:ascii="Courier New" w:cs="Courier New" w:eastAsia="Courier New" w:hAnsi="Courier New"/>
                <w:color w:val="1E2A2E"/>
                <w:sz w:val="22"/>
                <w:szCs w:val="22"/>
              </w:rPr>
              <w:t xml:space="preserve">Nivel poblacional:   theta_i ~ Normal(mu, tau²)</w:t>
            </w:r>
          </w:p>
        </w:tc>
      </w:tr>
    </w:tbl>
    <w:tbl>
      <w:tblPr>
        <w:tblW w:type="pct" w:w="100%"/>
        <w:tblBorders>
          <w:top w:val="single" w:color="C7D9D6" w:sz="2"/>
          <w:left w:val="single" w:color="C7D9D6" w:sz="2"/>
          <w:bottom w:val="single" w:color="C7D9D6" w:sz="2"/>
          <w:right w:val="single" w:color="C7D9D6" w:sz="2"/>
          <w:insideH w:val="single" w:color="auto" w:sz="4"/>
          <w:insideV w:val="single" w:color="auto" w:sz="4"/>
        </w:tblBorders>
      </w:tblPr>
      <w:tblGrid>
        <w:gridCol w:w="100"/>
      </w:tblGrid>
      <w:tr>
        <w:tc>
          <w:tcPr>
            <w:shd w:fill="FAFCFB" w:color="auto" w:val="clear"/>
            <w:tcMar>
              <w:top w:type="dxa" w:w="180"/>
              <w:left w:type="dxa" w:w="300"/>
              <w:bottom w:type="dxa" w:w="180"/>
              <w:right w:type="dxa" w:w="300"/>
            </w:tcMar>
          </w:tcPr>
          <w:p>
            <w:pPr>
              <w:jc w:val="center"/>
            </w:pPr>
            <w:r>
              <w:rPr>
                <w:rFonts w:ascii="Courier New" w:cs="Courier New" w:eastAsia="Courier New" w:hAnsi="Courier New"/>
                <w:color w:val="1E2A2E"/>
                <w:sz w:val="22"/>
                <w:szCs w:val="22"/>
              </w:rPr>
              <w:t xml:space="preserve">Nivel individual:    y_i,j | theta_i ~ Normal(theta_i, sigma²)</w:t>
            </w:r>
          </w:p>
        </w:tc>
      </w:tr>
    </w:tbl>
    <w:p>
      <w:pPr>
        <w:spacing w:after="160" w:line="300"/>
        <w:jc w:val="both"/>
      </w:pPr>
      <w:r>
        <w:rPr>
          <w:color w:val="1E2A2E"/>
          <w:sz w:val="21"/>
          <w:szCs w:val="21"/>
        </w:rPr>
        <w:t xml:space="preserve"/>
      </w:r>
    </w:p>
    <w:p>
      <w:pPr>
        <w:pStyle w:val="ListParagraph"/>
        <w:numPr>
          <w:ilvl w:val="0"/>
          <w:numId w:val="1"/>
        </w:numPr>
        <w:spacing w:after="90" w:line="290"/>
      </w:pPr>
      <w:r>
        <w:rPr>
          <w:color w:val="1E2A2E"/>
          <w:sz w:val="21"/>
          <w:szCs w:val="21"/>
        </w:rPr>
        <w:t xml:space="preserve">mu: el promedio general de la población (qué tan común es la desregulación entre todos los niños).</w:t>
      </w:r>
    </w:p>
    <w:p>
      <w:pPr>
        <w:pStyle w:val="ListParagraph"/>
        <w:numPr>
          <w:ilvl w:val="0"/>
          <w:numId w:val="1"/>
        </w:numPr>
        <w:spacing w:after="90" w:line="290"/>
      </w:pPr>
      <w:r>
        <w:rPr>
          <w:color w:val="1E2A2E"/>
          <w:sz w:val="21"/>
          <w:szCs w:val="21"/>
        </w:rPr>
        <w:t xml:space="preserve">tau²: la varianza entre niños — qué tan distintos son los niños entre sí. Si tau² es grande, significa que los niños varían mucho unos de otros, y el modelo debería confiar más en los datos propios de cada uno.</w:t>
      </w:r>
    </w:p>
    <w:p>
      <w:pPr>
        <w:pStyle w:val="ListParagraph"/>
        <w:numPr>
          <w:ilvl w:val="0"/>
          <w:numId w:val="1"/>
        </w:numPr>
        <w:spacing w:after="90" w:line="290"/>
      </w:pPr>
      <w:r>
        <w:rPr>
          <w:color w:val="1E2A2E"/>
          <w:sz w:val="21"/>
          <w:szCs w:val="21"/>
        </w:rPr>
        <w:t xml:space="preserve">sigma²: la varianza dentro de un mismo niño — qué tan variable es el comportamiento de un niño de un día a otro, más allá de su propio patrón promedio.</w:t>
      </w:r>
    </w:p>
    <w:p>
      <w:pPr>
        <w:spacing w:after="160" w:line="300"/>
        <w:jc w:val="both"/>
      </w:pPr>
      <w:r>
        <w:rPr>
          <w:color w:val="1E2A2E"/>
          <w:sz w:val="21"/>
          <w:szCs w:val="21"/>
        </w:rPr>
        <w:t xml:space="preserve">En este modelo formal, el peso w_i de la sección anterior no es una constante elegida a mano, sino que se deriva matemáticamente de la razón entre estas varianzas: cuanto mayor es la varianza entre niños (tau²) en comparación con la incertidumbre de la muestra de un niño (sigma²/n_i), más peso recibe el dato individual. La fórmula simplificada con la constante k (Sección 3.4) es una aproximación práctica de este mismo principio, elegida porque puede calcularse en segundos con pandas/numpy sin necesidad de entrenar un modelo probabilístico completo, algo esencial dado el plazo de 48 horas de trabajo autónomo de la hackatón.</w:t>
      </w:r>
    </w:p>
    <w:tbl>
      <w:tblPr>
        <w:tblW w:type="pct" w:w="100%"/>
        <w:tblBorders>
          <w:top w:val="single" w:color="00A896" w:sz="4"/>
          <w:left w:val="single" w:color="00A896" w:sz="4"/>
          <w:bottom w:val="single" w:color="00A896" w:sz="4"/>
          <w:right w:val="single" w:color="00A896" w:sz="4"/>
          <w:insideH w:val="single" w:color="auto" w:sz="4"/>
          <w:insideV w:val="single" w:color="auto" w:sz="4"/>
        </w:tblBorders>
      </w:tblPr>
      <w:tblGrid>
        <w:gridCol w:w="100"/>
      </w:tblGrid>
      <w:tr>
        <w:tc>
          <w:tcPr>
            <w:shd w:fill="EDF5F3" w:color="auto" w:val="clear"/>
            <w:tcMar>
              <w:top w:type="dxa" w:w="150"/>
              <w:left w:type="dxa" w:w="200"/>
              <w:bottom w:type="dxa" w:w="150"/>
              <w:right w:type="dxa" w:w="200"/>
            </w:tcMar>
          </w:tcPr>
          <w:p>
            <w:pPr>
              <w:spacing w:after="80"/>
            </w:pPr>
            <w:r>
              <w:rPr>
                <w:b/>
                <w:bCs/>
                <w:color w:val="028090"/>
                <w:sz w:val="21"/>
                <w:szCs w:val="21"/>
              </w:rPr>
              <w:t xml:space="preserve">Términos técnicos usados en esta sección</w:t>
            </w:r>
          </w:p>
          <w:p>
            <w:pPr>
              <w:spacing w:after="0" w:line="280"/>
            </w:pPr>
            <w:r>
              <w:rPr>
                <w:color w:val="1E2A2E"/>
                <w:sz w:val="20"/>
                <w:szCs w:val="20"/>
              </w:rPr>
              <w:t xml:space="preserve">Varianza: una medida de qué tan dispersos están los datos respecto a su promedio (mientras más dispersos, mayor varianza). Modelo probabilístico: un modelo que en vez de entregar una sola respuesta fija, entrega una distribución de posibles respuestas junto con qué tan probable es cada una. MCMC (Markov Chain Monte Carlo) y PyMC: MCMC es una técnica computacional para estimar modelos bayesianos complejos cuando no existe una fórmula matemática simple para la respuesta exacta; PyMC es una librería de Python que implementa MCMC y permitiría, en una versión futura y más madura de Antesala, ajustar el modelo jerárquico completo con todos sus parámetros (mu, tau², sigma²) aprendidos automáticamente de los datos, en vez de fijar la constante k a mano.</w:t>
            </w:r>
          </w:p>
        </w:tc>
      </w:tr>
    </w:tbl>
    <w:p>
      <w:pPr>
        <w:pStyle w:val="Heading2"/>
        <w:spacing w:after="150" w:before="300"/>
      </w:pPr>
      <w:r>
        <w:rPr>
          <w:b/>
          <w:bCs/>
          <w:color w:val="1E2A2E"/>
          <w:sz w:val="26"/>
          <w:szCs w:val="26"/>
        </w:rPr>
        <w:t xml:space="preserve">3.6 Cómo se aplica esto concretamente en Antesala</w:t>
      </w:r>
    </w:p>
    <w:p>
      <w:pPr>
        <w:spacing w:after="160" w:line="300"/>
        <w:jc w:val="both"/>
      </w:pPr>
      <w:r>
        <w:rPr>
          <w:color w:val="1E2A2E"/>
          <w:sz w:val="21"/>
          <w:szCs w:val="21"/>
        </w:rPr>
        <w:t xml:space="preserve">En Antesala, el pooling jerárquico no se aplica sobre un solo número (por ejemplo, "tasa de crisis"), sino sobre el perfil de línea base de cada niño para cada variable relevante: horas de sueño habituales, nivel de interacción social habitual, frecuencia habitual de eventos de regulación, entre otras (ver Sección 4 para el detalle completo de variables). Para cada una de estas variables, el sistema mantiene:</w:t>
      </w:r>
    </w:p>
    <w:p>
      <w:pPr>
        <w:pStyle w:val="ListParagraph"/>
        <w:numPr>
          <w:ilvl w:val="0"/>
          <w:numId w:val="1"/>
        </w:numPr>
        <w:spacing w:after="90" w:line="290"/>
      </w:pPr>
      <w:r>
        <w:rPr>
          <w:color w:val="1E2A2E"/>
          <w:sz w:val="21"/>
          <w:szCs w:val="21"/>
        </w:rPr>
        <w:t xml:space="preserve">Un valor de referencia poblacional (mu), calculado con los datos históricos agregados de todos los niños en la plataforma.</w:t>
      </w:r>
    </w:p>
    <w:p>
      <w:pPr>
        <w:pStyle w:val="ListParagraph"/>
        <w:numPr>
          <w:ilvl w:val="0"/>
          <w:numId w:val="1"/>
        </w:numPr>
        <w:spacing w:after="90" w:line="290"/>
      </w:pPr>
      <w:r>
        <w:rPr>
          <w:color w:val="1E2A2E"/>
          <w:sz w:val="21"/>
          <w:szCs w:val="21"/>
        </w:rPr>
        <w:t xml:space="preserve">Un valor de referencia individual (ȳ), calculado con el historial propio del niño, cuando existe.</w:t>
      </w:r>
    </w:p>
    <w:p>
      <w:pPr>
        <w:pStyle w:val="ListParagraph"/>
        <w:numPr>
          <w:ilvl w:val="0"/>
          <w:numId w:val="1"/>
        </w:numPr>
        <w:spacing w:after="90" w:line="290"/>
      </w:pPr>
      <w:r>
        <w:rPr>
          <w:color w:val="1E2A2E"/>
          <w:sz w:val="21"/>
          <w:szCs w:val="21"/>
        </w:rPr>
        <w:t xml:space="preserve">Una estimación ajustada (theta) que combina ambos según la cantidad de historial disponible, tal como se describió en la Sección 3.4.</w:t>
      </w:r>
    </w:p>
    <w:p>
      <w:pPr>
        <w:spacing w:after="160" w:line="300"/>
        <w:jc w:val="both"/>
      </w:pPr>
      <w:r>
        <w:rPr>
          <w:color w:val="1E2A2E"/>
          <w:sz w:val="21"/>
          <w:szCs w:val="21"/>
        </w:rPr>
        <w:t xml:space="preserve">El modelo de riesgo (Sección 6) no compara el registro de hoy contra un promedio genérico ni contra un promedio individual poco confiable, sino contra esta estimación ajustada. Esto responde directamente a uno de los puntos más difíciles del desafío de Bluba: cómo evaluar a un niño que recién se incorpora a la plataforma y del que aún no se sabe casi nada (el llamado problema de "arranque en frío" o cold start), sin caer ni en conclusiones extremas por falta de datos ni en tratarlo como si fuera un niño genérico.</w:t>
      </w:r>
    </w:p>
    <w:p>
      <w:pPr>
        <w:pStyle w:val="Heading2"/>
        <w:spacing w:after="150" w:before="300"/>
      </w:pPr>
      <w:r>
        <w:rPr>
          <w:b/>
          <w:bCs/>
          <w:color w:val="1E2A2E"/>
          <w:sz w:val="26"/>
          <w:szCs w:val="26"/>
        </w:rPr>
        <w:t xml:space="preserve">3.7 Cómo se implementa en el plazo de la hackatón (48 horas)</w:t>
      </w:r>
    </w:p>
    <w:p>
      <w:pPr>
        <w:spacing w:after="160" w:line="300"/>
        <w:jc w:val="both"/>
      </w:pPr>
      <w:r>
        <w:rPr>
          <w:color w:val="1E2A2E"/>
          <w:sz w:val="21"/>
          <w:szCs w:val="21"/>
        </w:rPr>
        <w:t xml:space="preserve">Existen dos niveles de fidelidad posibles para implementar este enfoque, y Antesala contempla ambos como parte de una estrategia de riesgo controlado:</w:t>
      </w:r>
    </w:p>
    <w:p>
      <w:pPr>
        <w:pStyle w:val="Heading3"/>
        <w:spacing w:after="100" w:before="200"/>
      </w:pPr>
      <w:r>
        <w:rPr>
          <w:b/>
          <w:bCs/>
          <w:color w:val="00A896"/>
          <w:sz w:val="23"/>
          <w:szCs w:val="23"/>
        </w:rPr>
        <w:t xml:space="preserve">Nivel 1 — Shrinkage manual (implementación base, garantizada)</w:t>
      </w:r>
    </w:p>
    <w:p>
      <w:pPr>
        <w:spacing w:after="160" w:line="300"/>
        <w:jc w:val="both"/>
      </w:pPr>
      <w:r>
        <w:rPr>
          <w:color w:val="1E2A2E"/>
          <w:sz w:val="21"/>
          <w:szCs w:val="21"/>
        </w:rPr>
        <w:t xml:space="preserve">Se implementa directamente la fórmula simplificada de la Sección 3.4 con pandas y numpy: se calcula mu (promedio poblacional) y ȳ_i (promedio individual) directamente de los datos, y se combinan con el peso w_i. Esta versión no requiere entrenar ningún modelo probabilístico, corre en milisegundos, y es completamente explicable ante el jurado con la fórmula y el ejemplo numérico de la Sección 3.4. Este es el nivel que se garantiza tener funcionando en la demo.</w:t>
      </w:r>
    </w:p>
    <w:p>
      <w:pPr>
        <w:pStyle w:val="Heading3"/>
        <w:spacing w:after="100" w:before="200"/>
      </w:pPr>
      <w:r>
        <w:rPr>
          <w:b/>
          <w:bCs/>
          <w:color w:val="00A896"/>
          <w:sz w:val="23"/>
          <w:szCs w:val="23"/>
        </w:rPr>
        <w:t xml:space="preserve">Nivel 2 — Modelo bayesiano completo con PyMC (extensión, si el tiempo alcanza)</w:t>
      </w:r>
    </w:p>
    <w:p>
      <w:pPr>
        <w:spacing w:after="160" w:line="300"/>
        <w:jc w:val="both"/>
      </w:pPr>
      <w:r>
        <w:rPr>
          <w:color w:val="1E2A2E"/>
          <w:sz w:val="21"/>
          <w:szCs w:val="21"/>
        </w:rPr>
        <w:t xml:space="preserve">Si el cronograma lo permite (ver Sección 9, Carta Gantt), se explora una implementación con la librería PyMC, que estima automáticamente mu, tau² y sigma² a partir de los datos mediante MCMC, en vez de fijar la constante k a mano. Esta versión es más rigurosa, pero conlleva mayor riesgo técnico (tiempos de cómputo más largos, mayor complejidad de depuración) y no es indispensable para demostrar el valor del enfoque ante el jurado. Se trata como un diferenciador adicional para el pitch ("nuestro modelo base ya funciona con shrinkage manual, y estamos validando una versión bayesiana completa con PyMC"), no como una dependencia crítica del MVP.</w:t>
      </w:r>
    </w:p>
    <w:p>
      <w:pPr>
        <w:pStyle w:val="Heading2"/>
        <w:spacing w:after="150" w:before="300"/>
      </w:pPr>
      <w:r>
        <w:rPr>
          <w:b/>
          <w:bCs/>
          <w:color w:val="1E2A2E"/>
          <w:sz w:val="26"/>
          <w:szCs w:val="26"/>
        </w:rPr>
        <w:t xml:space="preserve">3.8 La conexión con el selector de "la pregunta del día"</w:t>
      </w:r>
    </w:p>
    <w:p>
      <w:pPr>
        <w:spacing w:after="160" w:line="300"/>
        <w:jc w:val="both"/>
      </w:pPr>
      <w:r>
        <w:rPr>
          <w:color w:val="1E2A2E"/>
          <w:sz w:val="21"/>
          <w:szCs w:val="21"/>
        </w:rPr>
        <w:t xml:space="preserve">El modelo jerárquico no solo mejora la calidad de la predicción: también es la base matemática del segundo gran diferenciador de Antesala, el mecanismo que decide qué única pregunta conviene hacerle hoy a la familia (desarrollado en detalle en la Sección 6.3). La lógica es la siguiente: mientras más se apoya la estimación de un niño en el promedio poblacional (w_i bajo, historial corto), mayor es la incertidumbre sobre su verdadero patrón individual. Esa incertidumbre es precisamente lo que el selector de pregunta intenta reducir de la forma más eficiente posible, identificando qué dato faltante, si se registrara hoy, movería más la estimación theta_i hacia el verdadero patrón del niño. En otras palabras: el pooling jerárquico le dice al sistema qué tan seguro está de lo que sabe de cada niño, y el selector de pregunta usa exactamente esa información para decidir qué preguntar a continuación.</w:t>
      </w:r>
    </w:p>
    <w:p>
      <w:r>
        <w:br w:type="page"/>
      </w:r>
    </w:p>
    <w:p>
      <w:pPr>
        <w:pStyle w:val="Heading1"/>
        <w:spacing w:after="200" w:before="400"/>
      </w:pPr>
      <w:bookmarkStart w:name="sec4" w:id="1003"/>
      <w:r>
        <w:rPr>
          <w:b/>
          <w:bCs/>
          <w:color w:val="028090"/>
          <w:sz w:val="32"/>
          <w:szCs w:val="32"/>
        </w:rPr>
        <w:t xml:space="preserve">4. Variables del sistema</w:t>
      </w:r>
      <w:bookmarkEnd w:id="1003"/>
    </w:p>
    <w:p>
      <w:pPr>
        <w:spacing w:after="160" w:line="300"/>
        <w:jc w:val="both"/>
      </w:pPr>
      <w:r>
        <w:rPr>
          <w:color w:val="1E2A2E"/>
          <w:sz w:val="21"/>
          <w:szCs w:val="21"/>
        </w:rPr>
        <w:t xml:space="preserve">Esta sección detalla todas las variables que Antesala utiliza: las que provienen directamente de la lista publicada por Bluba en las bases del desafío (Sección 4 de las bases), y las que el equipo deriva a partir de estas mediante ingeniería de variables (feature engineering), necesarias para que un modelo pueda razonar sobre tendencias en el tiempo y no solo sobre el dato de un día aislado.</w:t>
      </w:r>
    </w:p>
    <w:p>
      <w:pPr>
        <w:pStyle w:val="Heading2"/>
        <w:spacing w:after="150" w:before="300"/>
      </w:pPr>
      <w:r>
        <w:rPr>
          <w:b/>
          <w:bCs/>
          <w:color w:val="1E2A2E"/>
          <w:sz w:val="26"/>
          <w:szCs w:val="26"/>
        </w:rPr>
        <w:t xml:space="preserve">4.1 Variables provistas por Bluba (registro cotidiano)</w:t>
      </w:r>
    </w:p>
    <w:p>
      <w:pPr>
        <w:spacing w:after="160" w:line="300"/>
        <w:jc w:val="both"/>
      </w:pPr>
      <w:r>
        <w:rPr>
          <w:color w:val="1E2A2E"/>
          <w:sz w:val="21"/>
          <w:szCs w:val="21"/>
        </w:rPr>
        <w:t xml:space="preserve">Estas son las variables que las bases del desafío indican que ya se registran en la plataforma, a través de la bitácora diaria y las observaciones terapéuticas o escolares. Todas se registran manualmente por familias, terapeutas o equipos educativos.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1800"/>
        <w:gridCol w:w="2800"/>
      </w:tblGrid>
      <w:tr>
        <w:tc>
          <w:tcPr>
            <w:tcW w:type="dxa" w:w="4600"/>
            <w:shd w:fill="028090" w:color="auto" w:val="clear"/>
            <w:tcMar>
              <w:top w:type="dxa" w:w="100"/>
              <w:left w:type="dxa" w:w="120"/>
              <w:bottom w:type="dxa" w:w="100"/>
              <w:right w:type="dxa" w:w="120"/>
            </w:tcMar>
            <w:vAlign w:val="center"/>
          </w:tcPr>
          <w:p>
            <w:r>
              <w:rPr>
                <w:b/>
                <w:bCs/>
                <w:color w:val="FFFFFF"/>
                <w:sz w:val="19"/>
                <w:szCs w:val="19"/>
              </w:rPr>
              <w:t xml:space="preserve">Variable (según bases de Bluba)</w:t>
            </w:r>
          </w:p>
        </w:tc>
        <w:tc>
          <w:tcPr>
            <w:tcW w:type="dxa" w:w="1800"/>
            <w:shd w:fill="028090" w:color="auto" w:val="clear"/>
            <w:tcMar>
              <w:top w:type="dxa" w:w="100"/>
              <w:left w:type="dxa" w:w="120"/>
              <w:bottom w:type="dxa" w:w="100"/>
              <w:right w:type="dxa" w:w="120"/>
            </w:tcMar>
            <w:vAlign w:val="center"/>
          </w:tcPr>
          <w:p>
            <w:r>
              <w:rPr>
                <w:b/>
                <w:bCs/>
                <w:color w:val="FFFFFF"/>
                <w:sz w:val="19"/>
                <w:szCs w:val="19"/>
              </w:rPr>
              <w:t xml:space="preserve">Tipo de dato</w:t>
            </w:r>
          </w:p>
        </w:tc>
        <w:tc>
          <w:tcPr>
            <w:tcW w:type="dxa" w:w="2800"/>
            <w:shd w:fill="028090" w:color="auto" w:val="clear"/>
            <w:tcMar>
              <w:top w:type="dxa" w:w="100"/>
              <w:left w:type="dxa" w:w="120"/>
              <w:bottom w:type="dxa" w:w="100"/>
              <w:right w:type="dxa" w:w="120"/>
            </w:tcMar>
            <w:vAlign w:val="center"/>
          </w:tcPr>
          <w:p>
            <w:r>
              <w:rPr>
                <w:b/>
                <w:bCs/>
                <w:color w:val="FFFFFF"/>
                <w:sz w:val="19"/>
                <w:szCs w:val="19"/>
              </w:rPr>
              <w:t xml:space="preserve">Por qué es predictiva</w:t>
            </w:r>
          </w:p>
        </w:tc>
      </w:tr>
      <w:tr>
        <w:tc>
          <w:tcPr>
            <w:tcW w:type="dxa" w:w="46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Horas y calidad del sueño</w:t>
            </w:r>
          </w:p>
        </w:tc>
        <w:tc>
          <w:tcPr>
            <w:tcW w:type="dxa" w:w="18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Numérica / categórica</w:t>
            </w:r>
          </w:p>
        </w:tc>
        <w:tc>
          <w:tcPr>
            <w:tcW w:type="dxa" w:w="28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El sueño insuficiente o de mala calidad es uno de los predictores más consistentes de desregulación conductual al día siguiente en la literatura de neurodivergencia.</w:t>
            </w:r>
          </w:p>
        </w:tc>
      </w:tr>
      <w:tr>
        <w:tc>
          <w:tcPr>
            <w:tcW w:type="dxa" w:w="4600"/>
            <w:shd w:fill="EDF5F3" w:color="auto" w:val="clear"/>
            <w:tcMar>
              <w:top w:type="dxa" w:w="90"/>
              <w:left w:type="dxa" w:w="120"/>
              <w:bottom w:type="dxa" w:w="90"/>
              <w:right w:type="dxa" w:w="120"/>
            </w:tcMar>
            <w:vAlign w:val="center"/>
          </w:tcPr>
          <w:p>
            <w:pPr>
              <w:spacing w:line="260"/>
            </w:pPr>
            <w:r>
              <w:rPr>
                <w:b w:val="false"/>
                <w:bCs w:val="false"/>
                <w:color w:val="1E2A2E"/>
                <w:sz w:val="18"/>
                <w:szCs w:val="18"/>
              </w:rPr>
              <w:t xml:space="preserve">Estado basal al despertar</w:t>
            </w:r>
          </w:p>
        </w:tc>
        <w:tc>
          <w:tcPr>
            <w:tcW w:type="dxa" w:w="1800"/>
            <w:shd w:fill="EDF5F3" w:color="auto" w:val="clear"/>
            <w:tcMar>
              <w:top w:type="dxa" w:w="90"/>
              <w:left w:type="dxa" w:w="120"/>
              <w:bottom w:type="dxa" w:w="90"/>
              <w:right w:type="dxa" w:w="120"/>
            </w:tcMar>
            <w:vAlign w:val="center"/>
          </w:tcPr>
          <w:p>
            <w:pPr>
              <w:spacing w:line="260"/>
            </w:pPr>
            <w:r>
              <w:rPr>
                <w:b w:val="false"/>
                <w:bCs w:val="false"/>
                <w:color w:val="1E2A2E"/>
                <w:sz w:val="18"/>
                <w:szCs w:val="18"/>
              </w:rPr>
              <w:t xml:space="preserve">Categórica ordinal</w:t>
            </w:r>
          </w:p>
        </w:tc>
        <w:tc>
          <w:tcPr>
            <w:tcW w:type="dxa" w:w="2800"/>
            <w:shd w:fill="EDF5F3" w:color="auto" w:val="clear"/>
            <w:tcMar>
              <w:top w:type="dxa" w:w="90"/>
              <w:left w:type="dxa" w:w="120"/>
              <w:bottom w:type="dxa" w:w="90"/>
              <w:right w:type="dxa" w:w="120"/>
            </w:tcMar>
            <w:vAlign w:val="center"/>
          </w:tcPr>
          <w:p>
            <w:pPr>
              <w:spacing w:line="260"/>
            </w:pPr>
            <w:r>
              <w:rPr>
                <w:b w:val="false"/>
                <w:bCs w:val="false"/>
                <w:color w:val="1E2A2E"/>
                <w:sz w:val="18"/>
                <w:szCs w:val="18"/>
              </w:rPr>
              <w:t xml:space="preserve">El estado de ánimo al despertar suele anticipar cómo transcurrirá el resto del día.</w:t>
            </w:r>
          </w:p>
        </w:tc>
      </w:tr>
      <w:tr>
        <w:tc>
          <w:tcPr>
            <w:tcW w:type="dxa" w:w="46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Nivel de apoyo requerido para iniciar el día</w:t>
            </w:r>
          </w:p>
        </w:tc>
        <w:tc>
          <w:tcPr>
            <w:tcW w:type="dxa" w:w="18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Categórica ordinal</w:t>
            </w:r>
          </w:p>
        </w:tc>
        <w:tc>
          <w:tcPr>
            <w:tcW w:type="dxa" w:w="28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Un mayor apoyo requerido de lo habitual puede indicar que el niño está teniendo más dificultad para autorregularse.</w:t>
            </w:r>
          </w:p>
        </w:tc>
      </w:tr>
      <w:tr>
        <w:tc>
          <w:tcPr>
            <w:tcW w:type="dxa" w:w="4600"/>
            <w:shd w:fill="EDF5F3" w:color="auto" w:val="clear"/>
            <w:tcMar>
              <w:top w:type="dxa" w:w="90"/>
              <w:left w:type="dxa" w:w="120"/>
              <w:bottom w:type="dxa" w:w="90"/>
              <w:right w:type="dxa" w:w="120"/>
            </w:tcMar>
            <w:vAlign w:val="center"/>
          </w:tcPr>
          <w:p>
            <w:pPr>
              <w:spacing w:line="260"/>
            </w:pPr>
            <w:r>
              <w:rPr>
                <w:b w:val="false"/>
                <w:bCs w:val="false"/>
                <w:color w:val="1E2A2E"/>
                <w:sz w:val="18"/>
                <w:szCs w:val="18"/>
              </w:rPr>
              <w:t xml:space="preserve">Salud gastrointestinal</w:t>
            </w:r>
          </w:p>
        </w:tc>
        <w:tc>
          <w:tcPr>
            <w:tcW w:type="dxa" w:w="1800"/>
            <w:shd w:fill="EDF5F3" w:color="auto" w:val="clear"/>
            <w:tcMar>
              <w:top w:type="dxa" w:w="90"/>
              <w:left w:type="dxa" w:w="120"/>
              <w:bottom w:type="dxa" w:w="90"/>
              <w:right w:type="dxa" w:w="120"/>
            </w:tcMar>
            <w:vAlign w:val="center"/>
          </w:tcPr>
          <w:p>
            <w:pPr>
              <w:spacing w:line="260"/>
            </w:pPr>
            <w:r>
              <w:rPr>
                <w:b w:val="false"/>
                <w:bCs w:val="false"/>
                <w:color w:val="1E2A2E"/>
                <w:sz w:val="18"/>
                <w:szCs w:val="18"/>
              </w:rPr>
              <w:t xml:space="preserve">Categórica</w:t>
            </w:r>
          </w:p>
        </w:tc>
        <w:tc>
          <w:tcPr>
            <w:tcW w:type="dxa" w:w="2800"/>
            <w:shd w:fill="EDF5F3" w:color="auto" w:val="clear"/>
            <w:tcMar>
              <w:top w:type="dxa" w:w="90"/>
              <w:left w:type="dxa" w:w="120"/>
              <w:bottom w:type="dxa" w:w="90"/>
              <w:right w:type="dxa" w:w="120"/>
            </w:tcMar>
            <w:vAlign w:val="center"/>
          </w:tcPr>
          <w:p>
            <w:pPr>
              <w:spacing w:line="260"/>
            </w:pPr>
            <w:r>
              <w:rPr>
                <w:b w:val="false"/>
                <w:bCs w:val="false"/>
                <w:color w:val="1E2A2E"/>
                <w:sz w:val="18"/>
                <w:szCs w:val="18"/>
              </w:rPr>
              <w:t xml:space="preserve">El malestar físico no siempre se comunica verbalmente y puede expresarse como cambio conductual.</w:t>
            </w:r>
          </w:p>
        </w:tc>
      </w:tr>
      <w:tr>
        <w:tc>
          <w:tcPr>
            <w:tcW w:type="dxa" w:w="46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Cambios en la alimentación</w:t>
            </w:r>
          </w:p>
        </w:tc>
        <w:tc>
          <w:tcPr>
            <w:tcW w:type="dxa" w:w="18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Categórica</w:t>
            </w:r>
          </w:p>
        </w:tc>
        <w:tc>
          <w:tcPr>
            <w:tcW w:type="dxa" w:w="28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Alteraciones en la ingesta pueden ser tanto causa como síntoma temprano de desregulación.</w:t>
            </w:r>
          </w:p>
        </w:tc>
      </w:tr>
      <w:tr>
        <w:tc>
          <w:tcPr>
            <w:tcW w:type="dxa" w:w="4600"/>
            <w:shd w:fill="EDF5F3" w:color="auto" w:val="clear"/>
            <w:tcMar>
              <w:top w:type="dxa" w:w="90"/>
              <w:left w:type="dxa" w:w="120"/>
              <w:bottom w:type="dxa" w:w="90"/>
              <w:right w:type="dxa" w:w="120"/>
            </w:tcMar>
            <w:vAlign w:val="center"/>
          </w:tcPr>
          <w:p>
            <w:pPr>
              <w:spacing w:line="260"/>
            </w:pPr>
            <w:r>
              <w:rPr>
                <w:b w:val="false"/>
                <w:bCs w:val="false"/>
                <w:color w:val="1E2A2E"/>
                <w:sz w:val="18"/>
                <w:szCs w:val="18"/>
              </w:rPr>
              <w:t xml:space="preserve">Cambios en la rutina</w:t>
            </w:r>
          </w:p>
        </w:tc>
        <w:tc>
          <w:tcPr>
            <w:tcW w:type="dxa" w:w="1800"/>
            <w:shd w:fill="EDF5F3" w:color="auto" w:val="clear"/>
            <w:tcMar>
              <w:top w:type="dxa" w:w="90"/>
              <w:left w:type="dxa" w:w="120"/>
              <w:bottom w:type="dxa" w:w="90"/>
              <w:right w:type="dxa" w:w="120"/>
            </w:tcMar>
            <w:vAlign w:val="center"/>
          </w:tcPr>
          <w:p>
            <w:pPr>
              <w:spacing w:line="260"/>
            </w:pPr>
            <w:r>
              <w:rPr>
                <w:b w:val="false"/>
                <w:bCs w:val="false"/>
                <w:color w:val="1E2A2E"/>
                <w:sz w:val="18"/>
                <w:szCs w:val="18"/>
              </w:rPr>
              <w:t xml:space="preserve">Booleana / categórica</w:t>
            </w:r>
          </w:p>
        </w:tc>
        <w:tc>
          <w:tcPr>
            <w:tcW w:type="dxa" w:w="2800"/>
            <w:shd w:fill="EDF5F3" w:color="auto" w:val="clear"/>
            <w:tcMar>
              <w:top w:type="dxa" w:w="90"/>
              <w:left w:type="dxa" w:w="120"/>
              <w:bottom w:type="dxa" w:w="90"/>
              <w:right w:type="dxa" w:w="120"/>
            </w:tcMar>
            <w:vAlign w:val="center"/>
          </w:tcPr>
          <w:p>
            <w:pPr>
              <w:spacing w:line="260"/>
            </w:pPr>
            <w:r>
              <w:rPr>
                <w:b w:val="false"/>
                <w:bCs w:val="false"/>
                <w:color w:val="1E2A2E"/>
                <w:sz w:val="18"/>
                <w:szCs w:val="18"/>
              </w:rPr>
              <w:t xml:space="preserve">Los cambios de rutina son un disparador (trigger) frecuente y bien documentado de crisis en niños neurodivergentes.</w:t>
            </w:r>
          </w:p>
        </w:tc>
      </w:tr>
      <w:tr>
        <w:tc>
          <w:tcPr>
            <w:tcW w:type="dxa" w:w="46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Comportamiento observado</w:t>
            </w:r>
          </w:p>
        </w:tc>
        <w:tc>
          <w:tcPr>
            <w:tcW w:type="dxa" w:w="18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Categórica / texto corto</w:t>
            </w:r>
          </w:p>
        </w:tc>
        <w:tc>
          <w:tcPr>
            <w:tcW w:type="dxa" w:w="28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Registro directo de conductas específicas observadas durante el día.</w:t>
            </w:r>
          </w:p>
        </w:tc>
      </w:tr>
      <w:tr>
        <w:tc>
          <w:tcPr>
            <w:tcW w:type="dxa" w:w="4600"/>
            <w:shd w:fill="EDF5F3" w:color="auto" w:val="clear"/>
            <w:tcMar>
              <w:top w:type="dxa" w:w="90"/>
              <w:left w:type="dxa" w:w="120"/>
              <w:bottom w:type="dxa" w:w="90"/>
              <w:right w:type="dxa" w:w="120"/>
            </w:tcMar>
            <w:vAlign w:val="center"/>
          </w:tcPr>
          <w:p>
            <w:pPr>
              <w:spacing w:line="260"/>
            </w:pPr>
            <w:r>
              <w:rPr>
                <w:b w:val="false"/>
                <w:bCs w:val="false"/>
                <w:color w:val="1E2A2E"/>
                <w:sz w:val="18"/>
                <w:szCs w:val="18"/>
              </w:rPr>
              <w:t xml:space="preserve">Estado de alerta</w:t>
            </w:r>
          </w:p>
        </w:tc>
        <w:tc>
          <w:tcPr>
            <w:tcW w:type="dxa" w:w="1800"/>
            <w:shd w:fill="EDF5F3" w:color="auto" w:val="clear"/>
            <w:tcMar>
              <w:top w:type="dxa" w:w="90"/>
              <w:left w:type="dxa" w:w="120"/>
              <w:bottom w:type="dxa" w:w="90"/>
              <w:right w:type="dxa" w:w="120"/>
            </w:tcMar>
            <w:vAlign w:val="center"/>
          </w:tcPr>
          <w:p>
            <w:pPr>
              <w:spacing w:line="260"/>
            </w:pPr>
            <w:r>
              <w:rPr>
                <w:b w:val="false"/>
                <w:bCs w:val="false"/>
                <w:color w:val="1E2A2E"/>
                <w:sz w:val="18"/>
                <w:szCs w:val="18"/>
              </w:rPr>
              <w:t xml:space="preserve">Categórica ordinal</w:t>
            </w:r>
          </w:p>
        </w:tc>
        <w:tc>
          <w:tcPr>
            <w:tcW w:type="dxa" w:w="2800"/>
            <w:shd w:fill="EDF5F3" w:color="auto" w:val="clear"/>
            <w:tcMar>
              <w:top w:type="dxa" w:w="90"/>
              <w:left w:type="dxa" w:w="120"/>
              <w:bottom w:type="dxa" w:w="90"/>
              <w:right w:type="dxa" w:w="120"/>
            </w:tcMar>
            <w:vAlign w:val="center"/>
          </w:tcPr>
          <w:p>
            <w:pPr>
              <w:spacing w:line="260"/>
            </w:pPr>
            <w:r>
              <w:rPr>
                <w:b w:val="false"/>
                <w:bCs w:val="false"/>
                <w:color w:val="1E2A2E"/>
                <w:sz w:val="18"/>
                <w:szCs w:val="18"/>
              </w:rPr>
              <w:t xml:space="preserve">Refleja el nivel de activación fisiológica del niño (hipo o hiperalerta).</w:t>
            </w:r>
          </w:p>
        </w:tc>
      </w:tr>
      <w:tr>
        <w:tc>
          <w:tcPr>
            <w:tcW w:type="dxa" w:w="46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Regulaciones o desregulaciones durante el día</w:t>
            </w:r>
          </w:p>
        </w:tc>
        <w:tc>
          <w:tcPr>
            <w:tcW w:type="dxa" w:w="18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Conteo / categórica</w:t>
            </w:r>
          </w:p>
        </w:tc>
        <w:tc>
          <w:tcPr>
            <w:tcW w:type="dxa" w:w="28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Es la señal más directa y cercana a la variable objetivo (crisis).</w:t>
            </w:r>
          </w:p>
        </w:tc>
      </w:tr>
      <w:tr>
        <w:tc>
          <w:tcPr>
            <w:tcW w:type="dxa" w:w="4600"/>
            <w:shd w:fill="EDF5F3" w:color="auto" w:val="clear"/>
            <w:tcMar>
              <w:top w:type="dxa" w:w="90"/>
              <w:left w:type="dxa" w:w="120"/>
              <w:bottom w:type="dxa" w:w="90"/>
              <w:right w:type="dxa" w:w="120"/>
            </w:tcMar>
            <w:vAlign w:val="center"/>
          </w:tcPr>
          <w:p>
            <w:pPr>
              <w:spacing w:line="260"/>
            </w:pPr>
            <w:r>
              <w:rPr>
                <w:b w:val="false"/>
                <w:bCs w:val="false"/>
                <w:color w:val="1E2A2E"/>
                <w:sz w:val="18"/>
                <w:szCs w:val="18"/>
              </w:rPr>
              <w:t xml:space="preserve">Participación en actividades terapéuticas o escolares</w:t>
            </w:r>
          </w:p>
        </w:tc>
        <w:tc>
          <w:tcPr>
            <w:tcW w:type="dxa" w:w="1800"/>
            <w:shd w:fill="EDF5F3" w:color="auto" w:val="clear"/>
            <w:tcMar>
              <w:top w:type="dxa" w:w="90"/>
              <w:left w:type="dxa" w:w="120"/>
              <w:bottom w:type="dxa" w:w="90"/>
              <w:right w:type="dxa" w:w="120"/>
            </w:tcMar>
            <w:vAlign w:val="center"/>
          </w:tcPr>
          <w:p>
            <w:pPr>
              <w:spacing w:line="260"/>
            </w:pPr>
            <w:r>
              <w:rPr>
                <w:b w:val="false"/>
                <w:bCs w:val="false"/>
                <w:color w:val="1E2A2E"/>
                <w:sz w:val="18"/>
                <w:szCs w:val="18"/>
              </w:rPr>
              <w:t xml:space="preserve">Booleana / categórica</w:t>
            </w:r>
          </w:p>
        </w:tc>
        <w:tc>
          <w:tcPr>
            <w:tcW w:type="dxa" w:w="2800"/>
            <w:shd w:fill="EDF5F3" w:color="auto" w:val="clear"/>
            <w:tcMar>
              <w:top w:type="dxa" w:w="90"/>
              <w:left w:type="dxa" w:w="120"/>
              <w:bottom w:type="dxa" w:w="90"/>
              <w:right w:type="dxa" w:w="120"/>
            </w:tcMar>
            <w:vAlign w:val="center"/>
          </w:tcPr>
          <w:p>
            <w:pPr>
              <w:spacing w:line="260"/>
            </w:pPr>
            <w:r>
              <w:rPr>
                <w:b w:val="false"/>
                <w:bCs w:val="false"/>
                <w:color w:val="1E2A2E"/>
                <w:sz w:val="18"/>
                <w:szCs w:val="18"/>
              </w:rPr>
              <w:t xml:space="preserve">La ausencia o interrupción de actividades estructuradas puede afectar la estabilidad conductual.</w:t>
            </w:r>
          </w:p>
        </w:tc>
      </w:tr>
      <w:tr>
        <w:tc>
          <w:tcPr>
            <w:tcW w:type="dxa" w:w="46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Interacciones sociales</w:t>
            </w:r>
          </w:p>
        </w:tc>
        <w:tc>
          <w:tcPr>
            <w:tcW w:type="dxa" w:w="18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Categórica ordinal</w:t>
            </w:r>
          </w:p>
        </w:tc>
        <w:tc>
          <w:tcPr>
            <w:tcW w:type="dxa" w:w="28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Cambios en la calidad o cantidad de interacción social pueden anticipar sobrecarga sensorial o emocional.</w:t>
            </w:r>
          </w:p>
        </w:tc>
      </w:tr>
      <w:tr>
        <w:tc>
          <w:tcPr>
            <w:tcW w:type="dxa" w:w="4600"/>
            <w:shd w:fill="EDF5F3" w:color="auto" w:val="clear"/>
            <w:tcMar>
              <w:top w:type="dxa" w:w="90"/>
              <w:left w:type="dxa" w:w="120"/>
              <w:bottom w:type="dxa" w:w="90"/>
              <w:right w:type="dxa" w:w="120"/>
            </w:tcMar>
            <w:vAlign w:val="center"/>
          </w:tcPr>
          <w:p>
            <w:pPr>
              <w:spacing w:line="260"/>
            </w:pPr>
            <w:r>
              <w:rPr>
                <w:b w:val="false"/>
                <w:bCs w:val="false"/>
                <w:color w:val="1E2A2E"/>
                <w:sz w:val="18"/>
                <w:szCs w:val="18"/>
              </w:rPr>
              <w:t xml:space="preserve">Alimentación y recreos</w:t>
            </w:r>
          </w:p>
        </w:tc>
        <w:tc>
          <w:tcPr>
            <w:tcW w:type="dxa" w:w="1800"/>
            <w:shd w:fill="EDF5F3" w:color="auto" w:val="clear"/>
            <w:tcMar>
              <w:top w:type="dxa" w:w="90"/>
              <w:left w:type="dxa" w:w="120"/>
              <w:bottom w:type="dxa" w:w="90"/>
              <w:right w:type="dxa" w:w="120"/>
            </w:tcMar>
            <w:vAlign w:val="center"/>
          </w:tcPr>
          <w:p>
            <w:pPr>
              <w:spacing w:line="260"/>
            </w:pPr>
            <w:r>
              <w:rPr>
                <w:b w:val="false"/>
                <w:bCs w:val="false"/>
                <w:color w:val="1E2A2E"/>
                <w:sz w:val="18"/>
                <w:szCs w:val="18"/>
              </w:rPr>
              <w:t xml:space="preserve">Categórica</w:t>
            </w:r>
          </w:p>
        </w:tc>
        <w:tc>
          <w:tcPr>
            <w:tcW w:type="dxa" w:w="2800"/>
            <w:shd w:fill="EDF5F3" w:color="auto" w:val="clear"/>
            <w:tcMar>
              <w:top w:type="dxa" w:w="90"/>
              <w:left w:type="dxa" w:w="120"/>
              <w:bottom w:type="dxa" w:w="90"/>
              <w:right w:type="dxa" w:w="120"/>
            </w:tcMar>
            <w:vAlign w:val="center"/>
          </w:tcPr>
          <w:p>
            <w:pPr>
              <w:spacing w:line="260"/>
            </w:pPr>
            <w:r>
              <w:rPr>
                <w:b w:val="false"/>
                <w:bCs w:val="false"/>
                <w:color w:val="1E2A2E"/>
                <w:sz w:val="18"/>
                <w:szCs w:val="18"/>
              </w:rPr>
              <w:t xml:space="preserve">Contexto adicional sobre la rutina escolar del niño.</w:t>
            </w:r>
          </w:p>
        </w:tc>
      </w:tr>
      <w:tr>
        <w:tc>
          <w:tcPr>
            <w:tcW w:type="dxa" w:w="46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Eventos relevantes o situaciones excepcionales</w:t>
            </w:r>
          </w:p>
        </w:tc>
        <w:tc>
          <w:tcPr>
            <w:tcW w:type="dxa" w:w="18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Texto libre / categórica</w:t>
            </w:r>
          </w:p>
        </w:tc>
        <w:tc>
          <w:tcPr>
            <w:tcW w:type="dxa" w:w="28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Captura contexto atípico (visitas, eventos, cambios ambientales) no cubierto por las demás variables.</w:t>
            </w:r>
          </w:p>
        </w:tc>
      </w:tr>
      <w:tr>
        <w:tc>
          <w:tcPr>
            <w:tcW w:type="dxa" w:w="4600"/>
            <w:shd w:fill="EDF5F3" w:color="auto" w:val="clear"/>
            <w:tcMar>
              <w:top w:type="dxa" w:w="90"/>
              <w:left w:type="dxa" w:w="120"/>
              <w:bottom w:type="dxa" w:w="90"/>
              <w:right w:type="dxa" w:w="120"/>
            </w:tcMar>
            <w:vAlign w:val="center"/>
          </w:tcPr>
          <w:p>
            <w:pPr>
              <w:spacing w:line="260"/>
            </w:pPr>
            <w:r>
              <w:rPr>
                <w:b w:val="false"/>
                <w:bCs w:val="false"/>
                <w:color w:val="1E2A2E"/>
                <w:sz w:val="18"/>
                <w:szCs w:val="18"/>
              </w:rPr>
              <w:t xml:space="preserve">Registro histórico de crisis conductuales</w:t>
            </w:r>
          </w:p>
        </w:tc>
        <w:tc>
          <w:tcPr>
            <w:tcW w:type="dxa" w:w="1800"/>
            <w:shd w:fill="EDF5F3" w:color="auto" w:val="clear"/>
            <w:tcMar>
              <w:top w:type="dxa" w:w="90"/>
              <w:left w:type="dxa" w:w="120"/>
              <w:bottom w:type="dxa" w:w="90"/>
              <w:right w:type="dxa" w:w="120"/>
            </w:tcMar>
            <w:vAlign w:val="center"/>
          </w:tcPr>
          <w:p>
            <w:pPr>
              <w:spacing w:line="260"/>
            </w:pPr>
            <w:r>
              <w:rPr>
                <w:b w:val="false"/>
                <w:bCs w:val="false"/>
                <w:color w:val="1E2A2E"/>
                <w:sz w:val="18"/>
                <w:szCs w:val="18"/>
              </w:rPr>
              <w:t xml:space="preserve">Serie temporal booleana</w:t>
            </w:r>
          </w:p>
        </w:tc>
        <w:tc>
          <w:tcPr>
            <w:tcW w:type="dxa" w:w="2800"/>
            <w:shd w:fill="EDF5F3" w:color="auto" w:val="clear"/>
            <w:tcMar>
              <w:top w:type="dxa" w:w="90"/>
              <w:left w:type="dxa" w:w="120"/>
              <w:bottom w:type="dxa" w:w="90"/>
              <w:right w:type="dxa" w:w="120"/>
            </w:tcMar>
            <w:vAlign w:val="center"/>
          </w:tcPr>
          <w:p>
            <w:pPr>
              <w:spacing w:line="260"/>
            </w:pPr>
            <w:r>
              <w:rPr>
                <w:b w:val="false"/>
                <w:bCs w:val="false"/>
                <w:color w:val="1E2A2E"/>
                <w:sz w:val="18"/>
                <w:szCs w:val="18"/>
              </w:rPr>
              <w:t xml:space="preserve">Es la variable objetivo histórica: permite construir la variable a predecir y calcular la línea base individual (Sección 3).</w:t>
            </w:r>
          </w:p>
        </w:tc>
      </w:tr>
      <w:tr>
        <w:tc>
          <w:tcPr>
            <w:tcW w:type="dxa" w:w="46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Otros antecedentes registrados por familias y equipos de apoyo</w:t>
            </w:r>
          </w:p>
        </w:tc>
        <w:tc>
          <w:tcPr>
            <w:tcW w:type="dxa" w:w="18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Texto libre</w:t>
            </w:r>
          </w:p>
        </w:tc>
        <w:tc>
          <w:tcPr>
            <w:tcW w:type="dxa" w:w="28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Campo abierto para información relevante no capturada por las categorías anteriores.</w:t>
            </w:r>
          </w:p>
        </w:tc>
      </w:tr>
    </w:tbl>
    <w:p>
      <w:pPr>
        <w:spacing w:before="200"/>
      </w:pPr>
    </w:p>
    <w:p>
      <w:pPr>
        <w:pStyle w:val="Heading2"/>
        <w:spacing w:after="150" w:before="300"/>
      </w:pPr>
      <w:r>
        <w:rPr>
          <w:b/>
          <w:bCs/>
          <w:color w:val="1E2A2E"/>
          <w:sz w:val="26"/>
          <w:szCs w:val="26"/>
        </w:rPr>
        <w:t xml:space="preserve">4.2 Variable objetivo (lo que el modelo intenta predecir)</w:t>
      </w:r>
    </w:p>
    <w:p>
      <w:pPr>
        <w:spacing w:after="160" w:line="300"/>
        <w:jc w:val="both"/>
      </w:pPr>
      <w:r>
        <w:rPr>
          <w:color w:val="1E2A2E"/>
          <w:sz w:val="21"/>
          <w:szCs w:val="21"/>
        </w:rPr>
        <w:t xml:space="preserve">Todas las variables anteriores son insumos (features). El modelo necesita además una variable objetivo (target): el resultado que se quiere predecir. Se define como:</w:t>
      </w:r>
    </w:p>
    <w:tbl>
      <w:tblPr>
        <w:tblW w:type="pct" w:w="100%"/>
        <w:tblBorders>
          <w:top w:val="single" w:color="C7D9D6" w:sz="2"/>
          <w:left w:val="single" w:color="C7D9D6" w:sz="2"/>
          <w:bottom w:val="single" w:color="C7D9D6" w:sz="2"/>
          <w:right w:val="single" w:color="C7D9D6" w:sz="2"/>
          <w:insideH w:val="single" w:color="auto" w:sz="4"/>
          <w:insideV w:val="single" w:color="auto" w:sz="4"/>
        </w:tblBorders>
      </w:tblPr>
      <w:tblGrid>
        <w:gridCol w:w="100"/>
      </w:tblGrid>
      <w:tr>
        <w:tc>
          <w:tcPr>
            <w:shd w:fill="FAFCFB" w:color="auto" w:val="clear"/>
            <w:tcMar>
              <w:top w:type="dxa" w:w="180"/>
              <w:left w:type="dxa" w:w="300"/>
              <w:bottom w:type="dxa" w:w="180"/>
              <w:right w:type="dxa" w:w="300"/>
            </w:tcMar>
          </w:tcPr>
          <w:p>
            <w:pPr>
              <w:jc w:val="center"/>
            </w:pPr>
            <w:r>
              <w:rPr>
                <w:rFonts w:ascii="Courier New" w:cs="Courier New" w:eastAsia="Courier New" w:hAnsi="Courier New"/>
                <w:color w:val="1E2A2E"/>
                <w:sz w:val="22"/>
                <w:szCs w:val="22"/>
              </w:rPr>
              <w:t xml:space="preserve">crisis_24h = 1  si ocurre una crisis o desregulación significativa en las próximas 24 horas; 0 en caso contrario</w:t>
            </w:r>
          </w:p>
        </w:tc>
      </w:tr>
    </w:tbl>
    <w:p>
      <w:pPr>
        <w:spacing w:after="160" w:line="300"/>
        <w:jc w:val="both"/>
      </w:pPr>
      <w:r>
        <w:rPr>
          <w:color w:val="1E2A2E"/>
          <w:sz w:val="21"/>
          <w:szCs w:val="21"/>
        </w:rPr>
        <w:t xml:space="preserve">Esta variable se construye a partir del "registro histórico de crisis conductuales" mencionado en la tabla anterior, desplazando la serie de tiempo un día hacia adelante: para cada día d, crisis_24h toma el valor registrado en el día d+1. Esto convierte el problema en una tarea de clasificación binaria supervisada estándar, donde el modelo aprende, a partir de los datos del día d, a estimar la probabilidad de que d+1 sea un día de crisis.</w:t>
      </w:r>
    </w:p>
    <w:p>
      <w:pPr>
        <w:pStyle w:val="Heading2"/>
        <w:spacing w:after="150" w:before="300"/>
      </w:pPr>
      <w:r>
        <w:rPr>
          <w:b/>
          <w:bCs/>
          <w:color w:val="1E2A2E"/>
          <w:sz w:val="26"/>
          <w:szCs w:val="26"/>
        </w:rPr>
        <w:t xml:space="preserve">4.3 Variables derivadas (ingeniería de variables)</w:t>
      </w:r>
    </w:p>
    <w:p>
      <w:pPr>
        <w:spacing w:after="160" w:line="300"/>
        <w:jc w:val="both"/>
      </w:pPr>
      <w:r>
        <w:rPr>
          <w:color w:val="1E2A2E"/>
          <w:sz w:val="21"/>
          <w:szCs w:val="21"/>
        </w:rPr>
        <w:t xml:space="preserve">Un modelo que solo mire el registro de un único día pierde información valiosa sobre tendencias. Por eso, a partir de las variables originales, el equipo construye variables derivadas que capturan cambios en el tiempo. Estas son las que se implementarán con pandas (ver Sección 8):</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5000"/>
      </w:tblGrid>
      <w:tr>
        <w:tc>
          <w:tcPr>
            <w:tcW w:type="dxa" w:w="4200"/>
            <w:shd w:fill="028090" w:color="auto" w:val="clear"/>
            <w:tcMar>
              <w:top w:type="dxa" w:w="100"/>
              <w:left w:type="dxa" w:w="120"/>
              <w:bottom w:type="dxa" w:w="100"/>
              <w:right w:type="dxa" w:w="120"/>
            </w:tcMar>
            <w:vAlign w:val="center"/>
          </w:tcPr>
          <w:p>
            <w:r>
              <w:rPr>
                <w:b/>
                <w:bCs/>
                <w:color w:val="FFFFFF"/>
                <w:sz w:val="19"/>
                <w:szCs w:val="19"/>
              </w:rPr>
              <w:t xml:space="preserve">Variable derivada</w:t>
            </w:r>
          </w:p>
        </w:tc>
        <w:tc>
          <w:tcPr>
            <w:tcW w:type="dxa" w:w="5000"/>
            <w:shd w:fill="028090" w:color="auto" w:val="clear"/>
            <w:tcMar>
              <w:top w:type="dxa" w:w="100"/>
              <w:left w:type="dxa" w:w="120"/>
              <w:bottom w:type="dxa" w:w="100"/>
              <w:right w:type="dxa" w:w="120"/>
            </w:tcMar>
            <w:vAlign w:val="center"/>
          </w:tcPr>
          <w:p>
            <w:r>
              <w:rPr>
                <w:b/>
                <w:bCs/>
                <w:color w:val="FFFFFF"/>
                <w:sz w:val="19"/>
                <w:szCs w:val="19"/>
              </w:rPr>
              <w:t xml:space="preserve">Qué aporta al modelo</w:t>
            </w:r>
          </w:p>
        </w:tc>
      </w:tr>
      <w:tr>
        <w:tc>
          <w:tcPr>
            <w:tcW w:type="dxa" w:w="4200"/>
            <w:shd w:fill="FFFFFF" w:color="auto" w:val="clear"/>
            <w:tcMar>
              <w:top w:type="dxa" w:w="90"/>
              <w:left w:type="dxa" w:w="120"/>
              <w:bottom w:type="dxa" w:w="90"/>
              <w:right w:type="dxa" w:w="120"/>
            </w:tcMar>
            <w:vAlign w:val="center"/>
          </w:tcPr>
          <w:p>
            <w:pPr>
              <w:spacing w:line="260"/>
            </w:pPr>
            <w:r>
              <w:rPr>
                <w:b/>
                <w:bCs/>
                <w:color w:val="1E2A2E"/>
                <w:sz w:val="18"/>
                <w:szCs w:val="18"/>
              </w:rPr>
              <w:t xml:space="preserve">Promedio móvil de sueño (3 y 7 días)</w:t>
            </w:r>
          </w:p>
        </w:tc>
        <w:tc>
          <w:tcPr>
            <w:tcW w:type="dxa" w:w="50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Detecta si la reducción de sueño es un evento aislado o una tendencia sostenida.</w:t>
            </w:r>
          </w:p>
        </w:tc>
      </w:tr>
      <w:tr>
        <w:tc>
          <w:tcPr>
            <w:tcW w:type="dxa" w:w="4200"/>
            <w:shd w:fill="EDF5F3" w:color="auto" w:val="clear"/>
            <w:tcMar>
              <w:top w:type="dxa" w:w="90"/>
              <w:left w:type="dxa" w:w="120"/>
              <w:bottom w:type="dxa" w:w="90"/>
              <w:right w:type="dxa" w:w="120"/>
            </w:tcMar>
            <w:vAlign w:val="center"/>
          </w:tcPr>
          <w:p>
            <w:pPr>
              <w:spacing w:line="260"/>
            </w:pPr>
            <w:r>
              <w:rPr>
                <w:b/>
                <w:bCs/>
                <w:color w:val="1E2A2E"/>
                <w:sz w:val="18"/>
                <w:szCs w:val="18"/>
              </w:rPr>
              <w:t xml:space="preserve">Desviación respecto a la línea base individual (theta_i)</w:t>
            </w:r>
          </w:p>
        </w:tc>
        <w:tc>
          <w:tcPr>
            <w:tcW w:type="dxa" w:w="5000"/>
            <w:shd w:fill="EDF5F3" w:color="auto" w:val="clear"/>
            <w:tcMar>
              <w:top w:type="dxa" w:w="90"/>
              <w:left w:type="dxa" w:w="120"/>
              <w:bottom w:type="dxa" w:w="90"/>
              <w:right w:type="dxa" w:w="120"/>
            </w:tcMar>
            <w:vAlign w:val="center"/>
          </w:tcPr>
          <w:p>
            <w:pPr>
              <w:spacing w:line="260"/>
            </w:pPr>
            <w:r>
              <w:rPr>
                <w:b w:val="false"/>
                <w:bCs w:val="false"/>
                <w:color w:val="1E2A2E"/>
                <w:sz w:val="18"/>
                <w:szCs w:val="18"/>
              </w:rPr>
              <w:t xml:space="preserve">Compara el dato de hoy contra el patrón ajustado del niño (Sección 3), no contra un promedio genérico.</w:t>
            </w:r>
          </w:p>
        </w:tc>
      </w:tr>
      <w:tr>
        <w:tc>
          <w:tcPr>
            <w:tcW w:type="dxa" w:w="4200"/>
            <w:shd w:fill="FFFFFF" w:color="auto" w:val="clear"/>
            <w:tcMar>
              <w:top w:type="dxa" w:w="90"/>
              <w:left w:type="dxa" w:w="120"/>
              <w:bottom w:type="dxa" w:w="90"/>
              <w:right w:type="dxa" w:w="120"/>
            </w:tcMar>
            <w:vAlign w:val="center"/>
          </w:tcPr>
          <w:p>
            <w:pPr>
              <w:spacing w:line="260"/>
            </w:pPr>
            <w:r>
              <w:rPr>
                <w:b/>
                <w:bCs/>
                <w:color w:val="1E2A2E"/>
                <w:sz w:val="18"/>
                <w:szCs w:val="18"/>
              </w:rPr>
              <w:t xml:space="preserve">Días desde la última crisis registrada</w:t>
            </w:r>
          </w:p>
        </w:tc>
        <w:tc>
          <w:tcPr>
            <w:tcW w:type="dxa" w:w="50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Un intervalo corto desde la última crisis puede indicar un período de mayor vulnerabilidad.</w:t>
            </w:r>
          </w:p>
        </w:tc>
      </w:tr>
      <w:tr>
        <w:tc>
          <w:tcPr>
            <w:tcW w:type="dxa" w:w="4200"/>
            <w:shd w:fill="EDF5F3" w:color="auto" w:val="clear"/>
            <w:tcMar>
              <w:top w:type="dxa" w:w="90"/>
              <w:left w:type="dxa" w:w="120"/>
              <w:bottom w:type="dxa" w:w="90"/>
              <w:right w:type="dxa" w:w="120"/>
            </w:tcMar>
            <w:vAlign w:val="center"/>
          </w:tcPr>
          <w:p>
            <w:pPr>
              <w:spacing w:line="260"/>
            </w:pPr>
            <w:r>
              <w:rPr>
                <w:b/>
                <w:bCs/>
                <w:color w:val="1E2A2E"/>
                <w:sz w:val="18"/>
                <w:szCs w:val="18"/>
              </w:rPr>
              <w:t xml:space="preserve">Conteo de eventos de desregulación en ventanas de 1, 3 y 7 días</w:t>
            </w:r>
          </w:p>
        </w:tc>
        <w:tc>
          <w:tcPr>
            <w:tcW w:type="dxa" w:w="5000"/>
            <w:shd w:fill="EDF5F3" w:color="auto" w:val="clear"/>
            <w:tcMar>
              <w:top w:type="dxa" w:w="90"/>
              <w:left w:type="dxa" w:w="120"/>
              <w:bottom w:type="dxa" w:w="90"/>
              <w:right w:type="dxa" w:w="120"/>
            </w:tcMar>
            <w:vAlign w:val="center"/>
          </w:tcPr>
          <w:p>
            <w:pPr>
              <w:spacing w:line="260"/>
            </w:pPr>
            <w:r>
              <w:rPr>
                <w:b w:val="false"/>
                <w:bCs w:val="false"/>
                <w:color w:val="1E2A2E"/>
                <w:sz w:val="18"/>
                <w:szCs w:val="18"/>
              </w:rPr>
              <w:t xml:space="preserve">Captura la frecuencia reciente de episodios, no solo su ocurrencia puntual.</w:t>
            </w:r>
          </w:p>
        </w:tc>
      </w:tr>
      <w:tr>
        <w:tc>
          <w:tcPr>
            <w:tcW w:type="dxa" w:w="4200"/>
            <w:shd w:fill="FFFFFF" w:color="auto" w:val="clear"/>
            <w:tcMar>
              <w:top w:type="dxa" w:w="90"/>
              <w:left w:type="dxa" w:w="120"/>
              <w:bottom w:type="dxa" w:w="90"/>
              <w:right w:type="dxa" w:w="120"/>
            </w:tcMar>
            <w:vAlign w:val="center"/>
          </w:tcPr>
          <w:p>
            <w:pPr>
              <w:spacing w:line="260"/>
            </w:pPr>
            <w:r>
              <w:rPr>
                <w:b/>
                <w:bCs/>
                <w:color w:val="1E2A2E"/>
                <w:sz w:val="18"/>
                <w:szCs w:val="18"/>
              </w:rPr>
              <w:t xml:space="preserve">Indicador binario de cambio de rutina reciente</w:t>
            </w:r>
          </w:p>
        </w:tc>
        <w:tc>
          <w:tcPr>
            <w:tcW w:type="dxa" w:w="50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Convierte el campo cualitativo "cambios en la rutina" en una señal comparable en el tiempo.</w:t>
            </w:r>
          </w:p>
        </w:tc>
      </w:tr>
      <w:tr>
        <w:tc>
          <w:tcPr>
            <w:tcW w:type="dxa" w:w="4200"/>
            <w:shd w:fill="EDF5F3" w:color="auto" w:val="clear"/>
            <w:tcMar>
              <w:top w:type="dxa" w:w="90"/>
              <w:left w:type="dxa" w:w="120"/>
              <w:bottom w:type="dxa" w:w="90"/>
              <w:right w:type="dxa" w:w="120"/>
            </w:tcMar>
            <w:vAlign w:val="center"/>
          </w:tcPr>
          <w:p>
            <w:pPr>
              <w:spacing w:line="260"/>
            </w:pPr>
            <w:r>
              <w:rPr>
                <w:b/>
                <w:bCs/>
                <w:color w:val="1E2A2E"/>
                <w:sz w:val="18"/>
                <w:szCs w:val="18"/>
              </w:rPr>
              <w:t xml:space="preserve">Antigüedad del último registro por variable</w:t>
            </w:r>
          </w:p>
        </w:tc>
        <w:tc>
          <w:tcPr>
            <w:tcW w:type="dxa" w:w="5000"/>
            <w:shd w:fill="EDF5F3" w:color="auto" w:val="clear"/>
            <w:tcMar>
              <w:top w:type="dxa" w:w="90"/>
              <w:left w:type="dxa" w:w="120"/>
              <w:bottom w:type="dxa" w:w="90"/>
              <w:right w:type="dxa" w:w="120"/>
            </w:tcMar>
            <w:vAlign w:val="center"/>
          </w:tcPr>
          <w:p>
            <w:pPr>
              <w:spacing w:line="260"/>
            </w:pPr>
            <w:r>
              <w:rPr>
                <w:b w:val="false"/>
                <w:bCs w:val="false"/>
                <w:color w:val="1E2A2E"/>
                <w:sz w:val="18"/>
                <w:szCs w:val="18"/>
              </w:rPr>
              <w:t xml:space="preserve">Indica hace cuántos días se registró por última vez cada variable, insumo clave para el cálculo de confianza (Sección 6.2).</w:t>
            </w:r>
          </w:p>
        </w:tc>
      </w:tr>
      <w:tr>
        <w:tc>
          <w:tcPr>
            <w:tcW w:type="dxa" w:w="4200"/>
            <w:shd w:fill="FFFFFF" w:color="auto" w:val="clear"/>
            <w:tcMar>
              <w:top w:type="dxa" w:w="90"/>
              <w:left w:type="dxa" w:w="120"/>
              <w:bottom w:type="dxa" w:w="90"/>
              <w:right w:type="dxa" w:w="120"/>
            </w:tcMar>
            <w:vAlign w:val="center"/>
          </w:tcPr>
          <w:p>
            <w:pPr>
              <w:spacing w:line="260"/>
            </w:pPr>
            <w:r>
              <w:rPr>
                <w:b/>
                <w:bCs/>
                <w:color w:val="1E2A2E"/>
                <w:sz w:val="18"/>
                <w:szCs w:val="18"/>
              </w:rPr>
              <w:t xml:space="preserve">Indicador de dato faltante por variable (missing indicator)</w:t>
            </w:r>
          </w:p>
        </w:tc>
        <w:tc>
          <w:tcPr>
            <w:tcW w:type="dxa" w:w="50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Marca explícitamente qué variables no fueron registradas hoy, en vez de imputarlas en silencio (ver 4.4).</w:t>
            </w:r>
          </w:p>
        </w:tc>
      </w:tr>
      <w:tr>
        <w:tc>
          <w:tcPr>
            <w:tcW w:type="dxa" w:w="4200"/>
            <w:shd w:fill="EDF5F3" w:color="auto" w:val="clear"/>
            <w:tcMar>
              <w:top w:type="dxa" w:w="90"/>
              <w:left w:type="dxa" w:w="120"/>
              <w:bottom w:type="dxa" w:w="90"/>
              <w:right w:type="dxa" w:w="120"/>
            </w:tcMar>
            <w:vAlign w:val="center"/>
          </w:tcPr>
          <w:p>
            <w:pPr>
              <w:spacing w:line="260"/>
            </w:pPr>
            <w:r>
              <w:rPr>
                <w:b/>
                <w:bCs/>
                <w:color w:val="1E2A2E"/>
                <w:sz w:val="18"/>
                <w:szCs w:val="18"/>
              </w:rPr>
              <w:t xml:space="preserve">Fuente del registro (familia / escuela / terapeuta)</w:t>
            </w:r>
          </w:p>
        </w:tc>
        <w:tc>
          <w:tcPr>
            <w:tcW w:type="dxa" w:w="5000"/>
            <w:shd w:fill="EDF5F3" w:color="auto" w:val="clear"/>
            <w:tcMar>
              <w:top w:type="dxa" w:w="90"/>
              <w:left w:type="dxa" w:w="120"/>
              <w:bottom w:type="dxa" w:w="90"/>
              <w:right w:type="dxa" w:w="120"/>
            </w:tcMar>
            <w:vAlign w:val="center"/>
          </w:tcPr>
          <w:p>
            <w:pPr>
              <w:spacing w:line="260"/>
            </w:pPr>
            <w:r>
              <w:rPr>
                <w:b w:val="false"/>
                <w:bCs w:val="false"/>
                <w:color w:val="1E2A2E"/>
                <w:sz w:val="18"/>
                <w:szCs w:val="18"/>
              </w:rPr>
              <w:t xml:space="preserve">Distintas fuentes pueden tener distinta confiabilidad o granularidad de observación.</w:t>
            </w:r>
          </w:p>
        </w:tc>
      </w:tr>
      <w:tr>
        <w:tc>
          <w:tcPr>
            <w:tcW w:type="dxa" w:w="4200"/>
            <w:shd w:fill="FFFFFF" w:color="auto" w:val="clear"/>
            <w:tcMar>
              <w:top w:type="dxa" w:w="90"/>
              <w:left w:type="dxa" w:w="120"/>
              <w:bottom w:type="dxa" w:w="90"/>
              <w:right w:type="dxa" w:w="120"/>
            </w:tcMar>
            <w:vAlign w:val="center"/>
          </w:tcPr>
          <w:p>
            <w:pPr>
              <w:spacing w:line="260"/>
            </w:pPr>
            <w:r>
              <w:rPr>
                <w:b/>
                <w:bCs/>
                <w:color w:val="1E2A2E"/>
                <w:sz w:val="18"/>
                <w:szCs w:val="18"/>
              </w:rPr>
              <w:t xml:space="preserve">Día de la semana / día escolar vs. no escolar</w:t>
            </w:r>
          </w:p>
        </w:tc>
        <w:tc>
          <w:tcPr>
            <w:tcW w:type="dxa" w:w="50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La rutina y sus disparadores suelen diferir entre días de semana y fines de semana.</w:t>
            </w:r>
          </w:p>
        </w:tc>
      </w:tr>
    </w:tbl>
    <w:p>
      <w:pPr>
        <w:spacing w:before="200"/>
      </w:pPr>
    </w:p>
    <w:p>
      <w:pPr>
        <w:pStyle w:val="Heading2"/>
        <w:spacing w:after="150" w:before="300"/>
      </w:pPr>
      <w:r>
        <w:rPr>
          <w:b/>
          <w:bCs/>
          <w:color w:val="1E2A2E"/>
          <w:sz w:val="26"/>
          <w:szCs w:val="26"/>
        </w:rPr>
        <w:t xml:space="preserve">4.4 Tratamiento de datos incompletos</w:t>
      </w:r>
    </w:p>
    <w:p>
      <w:pPr>
        <w:spacing w:after="160" w:line="300"/>
        <w:jc w:val="both"/>
      </w:pPr>
      <w:r>
        <w:rPr>
          <w:color w:val="1E2A2E"/>
          <w:sz w:val="21"/>
          <w:szCs w:val="21"/>
        </w:rPr>
        <w:t xml:space="preserve">Las bases del desafío piden explícitamente que la solución funcione en "escenarios reales donde los datos pueden ser incompletos o inconsistentes". Para abordar esto correctamente, es útil distinguir tres tipos de ausencia de datos, una clasificación estándar en estadística:</w:t>
      </w:r>
    </w:p>
    <w:p>
      <w:pPr>
        <w:pStyle w:val="ListParagraph"/>
        <w:numPr>
          <w:ilvl w:val="0"/>
          <w:numId w:val="1"/>
        </w:numPr>
        <w:spacing w:after="90" w:line="290"/>
      </w:pPr>
      <w:r>
        <w:rPr>
          <w:color w:val="1E2A2E"/>
          <w:sz w:val="21"/>
          <w:szCs w:val="21"/>
        </w:rPr>
        <w:t xml:space="preserve">MCAR (Missing Completely At Random) — datos faltantes completamente al azar: la ausencia no tiene relación con ningún valor, ni observado ni no observado. Ejemplo: un familiar olvida registrar por simple distracción, sin relación con el estado del niño ese día.</w:t>
      </w:r>
    </w:p>
    <w:p>
      <w:pPr>
        <w:pStyle w:val="ListParagraph"/>
        <w:numPr>
          <w:ilvl w:val="0"/>
          <w:numId w:val="1"/>
        </w:numPr>
        <w:spacing w:after="90" w:line="290"/>
      </w:pPr>
      <w:r>
        <w:rPr>
          <w:color w:val="1E2A2E"/>
          <w:sz w:val="21"/>
          <w:szCs w:val="21"/>
        </w:rPr>
        <w:t xml:space="preserve">MAR (Missing At Random) — datos faltantes condicionados: la probabilidad de que falte un dato depende de otra variable que sí se observó. Ejemplo: los fines de semana se registra menos porque no hay colegio, no porque el niño esté mejor o peor.</w:t>
      </w:r>
    </w:p>
    <w:p>
      <w:pPr>
        <w:pStyle w:val="ListParagraph"/>
        <w:numPr>
          <w:ilvl w:val="0"/>
          <w:numId w:val="1"/>
        </w:numPr>
        <w:spacing w:after="90" w:line="290"/>
      </w:pPr>
      <w:r>
        <w:rPr>
          <w:color w:val="1E2A2E"/>
          <w:sz w:val="21"/>
          <w:szCs w:val="21"/>
        </w:rPr>
        <w:t xml:space="preserve">MNAR (Missing Not At Random) — datos faltantes no al azar: la ausencia depende del propio valor no observado. Ejemplo: una familia registra con menos frecuencia justamente en los días más difíciles, porque está desbordada — en este caso, el dato faltante en sí mismo es una señal de alerta.</w:t>
      </w:r>
    </w:p>
    <w:p>
      <w:pPr>
        <w:spacing w:after="160" w:line="300"/>
        <w:jc w:val="both"/>
      </w:pPr>
      <w:r>
        <w:rPr>
          <w:color w:val="1E2A2E"/>
          <w:sz w:val="21"/>
          <w:szCs w:val="21"/>
        </w:rPr>
        <w:t xml:space="preserve">Este último caso (MNAR) es particularmente relevante para el desafío de Bluba: el silencio en el registro no debe tratarse como "neutral", porque en la práctica clínica un vacío de información suele coincidir con los momentos de mayor dificultad para la familia. Por eso Antesala nunca imputa (rellena) un dato faltante de forma silenciosa como si fuera un valor neutro. En su lugar, se conservan explícitamente cuatro piezas de información por cada variable: el valor imputado (una estimación razonable, cuando corresponde), un indicador binario de que ese valor fue imputado y no observado, la antigüedad del último dato real disponible, y la fuente del registro. Esto permite que el modelo aprenda que "no hubo registro" es, en sí mismo, una señal con valor predictivo, y que la interfaz pueda mostrar honestamente frases como "no se pudo calcular una recomendación confiable porque faltan datos de sueño y rutina", en línea con lo que piden las bases.</w:t>
      </w:r>
    </w:p>
    <w:tbl>
      <w:tblPr>
        <w:tblW w:type="pct" w:w="100%"/>
        <w:tblBorders>
          <w:top w:val="single" w:color="00A896" w:sz="4"/>
          <w:left w:val="single" w:color="00A896" w:sz="4"/>
          <w:bottom w:val="single" w:color="00A896" w:sz="4"/>
          <w:right w:val="single" w:color="00A896" w:sz="4"/>
          <w:insideH w:val="single" w:color="auto" w:sz="4"/>
          <w:insideV w:val="single" w:color="auto" w:sz="4"/>
        </w:tblBorders>
      </w:tblPr>
      <w:tblGrid>
        <w:gridCol w:w="100"/>
      </w:tblGrid>
      <w:tr>
        <w:tc>
          <w:tcPr>
            <w:shd w:fill="EDF5F3" w:color="auto" w:val="clear"/>
            <w:tcMar>
              <w:top w:type="dxa" w:w="150"/>
              <w:left w:type="dxa" w:w="200"/>
              <w:bottom w:type="dxa" w:w="150"/>
              <w:right w:type="dxa" w:w="200"/>
            </w:tcMar>
          </w:tcPr>
          <w:p>
            <w:pPr>
              <w:spacing w:after="80"/>
            </w:pPr>
            <w:r>
              <w:rPr>
                <w:b/>
                <w:bCs/>
                <w:color w:val="028090"/>
                <w:sz w:val="21"/>
                <w:szCs w:val="21"/>
              </w:rPr>
              <w:t xml:space="preserve">Términos técnicos usados en esta sección</w:t>
            </w:r>
          </w:p>
          <w:p>
            <w:pPr>
              <w:spacing w:after="0" w:line="280"/>
            </w:pPr>
            <w:r>
              <w:rPr>
                <w:color w:val="1E2A2E"/>
                <w:sz w:val="20"/>
                <w:szCs w:val="20"/>
              </w:rPr>
              <w:t xml:space="preserve">Imputación: proceso de rellenar un dato faltante con un valor estimado (por ejemplo, el promedio o la mediana de esa variable), en vez de dejar un vacío que la mayoría de los modelos de machine learning no pueden procesar directamente. Feature engineering (ingeniería de variables): el proceso de transformar datos crudos en variables más informativas para un modelo, como convertir una fecha en "día de la semana" o una serie de valores diarios en un promedio móvil.</w:t>
            </w:r>
          </w:p>
        </w:tc>
      </w:tr>
    </w:tbl>
    <w:p>
      <w:r>
        <w:br w:type="page"/>
      </w:r>
    </w:p>
    <w:p>
      <w:pPr>
        <w:pStyle w:val="Heading1"/>
        <w:spacing w:after="200" w:before="400"/>
      </w:pPr>
      <w:bookmarkStart w:name="sec5" w:id="1004"/>
      <w:r>
        <w:rPr>
          <w:b/>
          <w:bCs/>
          <w:color w:val="028090"/>
          <w:sz w:val="32"/>
          <w:szCs w:val="32"/>
        </w:rPr>
        <w:t xml:space="preserve">5. Arquitectura general del sistema</w:t>
      </w:r>
      <w:bookmarkEnd w:id="1004"/>
    </w:p>
    <w:p>
      <w:pPr>
        <w:spacing w:after="160" w:line="300"/>
        <w:jc w:val="both"/>
      </w:pPr>
      <w:r>
        <w:rPr>
          <w:color w:val="1E2A2E"/>
          <w:sz w:val="21"/>
          <w:szCs w:val="21"/>
        </w:rPr>
        <w:t xml:space="preserve">Antesala se organiza como una tubería de procesamiento (pipeline) de siete etapas, desde el registro del dato hasta la recomendación final que ve la familia. Cada etapa se apoya en los conceptos explicados en las secciones anteriores.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shd w:fill="028090" w:color="auto" w:val="clear"/>
            <w:tcMar>
              <w:top w:type="dxa" w:w="100"/>
              <w:left w:type="dxa" w:w="120"/>
              <w:bottom w:type="dxa" w:w="100"/>
              <w:right w:type="dxa" w:w="120"/>
            </w:tcMar>
            <w:vAlign w:val="center"/>
          </w:tcPr>
          <w:p>
            <w:r>
              <w:rPr>
                <w:b/>
                <w:bCs/>
                <w:color w:val="FFFFFF"/>
                <w:sz w:val="19"/>
                <w:szCs w:val="19"/>
              </w:rPr>
              <w:t xml:space="preserve">Etapa del pipeline</w:t>
            </w:r>
          </w:p>
        </w:tc>
        <w:tc>
          <w:tcPr>
            <w:tcW w:type="dxa" w:w="6200"/>
            <w:shd w:fill="028090" w:color="auto" w:val="clear"/>
            <w:tcMar>
              <w:top w:type="dxa" w:w="100"/>
              <w:left w:type="dxa" w:w="120"/>
              <w:bottom w:type="dxa" w:w="100"/>
              <w:right w:type="dxa" w:w="120"/>
            </w:tcMar>
            <w:vAlign w:val="center"/>
          </w:tcPr>
          <w:p>
            <w:r>
              <w:rPr>
                <w:b/>
                <w:bCs/>
                <w:color w:val="FFFFFF"/>
                <w:sz w:val="19"/>
                <w:szCs w:val="19"/>
              </w:rPr>
              <w:t xml:space="preserve">Qué ocurre</w:t>
            </w:r>
          </w:p>
        </w:tc>
      </w:tr>
      <w:tr>
        <w:tc>
          <w:tcPr>
            <w:tcW w:type="dxa" w:w="3000"/>
            <w:shd w:fill="FFFFFF" w:color="auto" w:val="clear"/>
            <w:tcMar>
              <w:top w:type="dxa" w:w="90"/>
              <w:left w:type="dxa" w:w="120"/>
              <w:bottom w:type="dxa" w:w="90"/>
              <w:right w:type="dxa" w:w="120"/>
            </w:tcMar>
            <w:vAlign w:val="center"/>
          </w:tcPr>
          <w:p>
            <w:pPr>
              <w:spacing w:line="260"/>
            </w:pPr>
            <w:r>
              <w:rPr>
                <w:b/>
                <w:bCs/>
                <w:color w:val="1E2A2E"/>
                <w:sz w:val="18"/>
                <w:szCs w:val="18"/>
              </w:rPr>
              <w:t xml:space="preserve">1. Captura del dato</w:t>
            </w:r>
          </w:p>
        </w:tc>
        <w:tc>
          <w:tcPr>
            <w:tcW w:type="dxa" w:w="62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La familia, terapeuta o escuela registra información mediante botones rápidos, escalas o notas cortas (según Sección 8, stack de interfaz).</w:t>
            </w:r>
          </w:p>
        </w:tc>
      </w:tr>
      <w:tr>
        <w:tc>
          <w:tcPr>
            <w:tcW w:type="dxa" w:w="3000"/>
            <w:shd w:fill="EDF5F3" w:color="auto" w:val="clear"/>
            <w:tcMar>
              <w:top w:type="dxa" w:w="90"/>
              <w:left w:type="dxa" w:w="120"/>
              <w:bottom w:type="dxa" w:w="90"/>
              <w:right w:type="dxa" w:w="120"/>
            </w:tcMar>
            <w:vAlign w:val="center"/>
          </w:tcPr>
          <w:p>
            <w:pPr>
              <w:spacing w:line="260"/>
            </w:pPr>
            <w:r>
              <w:rPr>
                <w:b/>
                <w:bCs/>
                <w:color w:val="1E2A2E"/>
                <w:sz w:val="18"/>
                <w:szCs w:val="18"/>
              </w:rPr>
              <w:t xml:space="preserve">2. Normalización</w:t>
            </w:r>
          </w:p>
        </w:tc>
        <w:tc>
          <w:tcPr>
            <w:tcW w:type="dxa" w:w="6200"/>
            <w:shd w:fill="EDF5F3" w:color="auto" w:val="clear"/>
            <w:tcMar>
              <w:top w:type="dxa" w:w="90"/>
              <w:left w:type="dxa" w:w="120"/>
              <w:bottom w:type="dxa" w:w="90"/>
              <w:right w:type="dxa" w:w="120"/>
            </w:tcMar>
            <w:vAlign w:val="center"/>
          </w:tcPr>
          <w:p>
            <w:pPr>
              <w:spacing w:line="260"/>
            </w:pPr>
            <w:r>
              <w:rPr>
                <w:b w:val="false"/>
                <w:bCs w:val="false"/>
                <w:color w:val="1E2A2E"/>
                <w:sz w:val="18"/>
                <w:szCs w:val="18"/>
              </w:rPr>
              <w:t xml:space="preserve">Los datos crudos se transforman a un formato estándar (unidades, categorías, escalas) y se marca la fuente y el momento del registro.</w:t>
            </w:r>
          </w:p>
        </w:tc>
      </w:tr>
      <w:tr>
        <w:tc>
          <w:tcPr>
            <w:tcW w:type="dxa" w:w="3000"/>
            <w:shd w:fill="FFFFFF" w:color="auto" w:val="clear"/>
            <w:tcMar>
              <w:top w:type="dxa" w:w="90"/>
              <w:left w:type="dxa" w:w="120"/>
              <w:bottom w:type="dxa" w:w="90"/>
              <w:right w:type="dxa" w:w="120"/>
            </w:tcMar>
            <w:vAlign w:val="center"/>
          </w:tcPr>
          <w:p>
            <w:pPr>
              <w:spacing w:line="260"/>
            </w:pPr>
            <w:r>
              <w:rPr>
                <w:b/>
                <w:bCs/>
                <w:color w:val="1E2A2E"/>
                <w:sz w:val="18"/>
                <w:szCs w:val="18"/>
              </w:rPr>
              <w:t xml:space="preserve">3. Indicadores de ausencia</w:t>
            </w:r>
          </w:p>
        </w:tc>
        <w:tc>
          <w:tcPr>
            <w:tcW w:type="dxa" w:w="62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Se generan los indicadores de dato faltante, antigüedad del último registro y fuente, sin imputar en silencio (Sección 4.4).</w:t>
            </w:r>
          </w:p>
        </w:tc>
      </w:tr>
      <w:tr>
        <w:tc>
          <w:tcPr>
            <w:tcW w:type="dxa" w:w="3000"/>
            <w:shd w:fill="EDF5F3" w:color="auto" w:val="clear"/>
            <w:tcMar>
              <w:top w:type="dxa" w:w="90"/>
              <w:left w:type="dxa" w:w="120"/>
              <w:bottom w:type="dxa" w:w="90"/>
              <w:right w:type="dxa" w:w="120"/>
            </w:tcMar>
            <w:vAlign w:val="center"/>
          </w:tcPr>
          <w:p>
            <w:pPr>
              <w:spacing w:line="260"/>
            </w:pPr>
            <w:r>
              <w:rPr>
                <w:b/>
                <w:bCs/>
                <w:color w:val="1E2A2E"/>
                <w:sz w:val="18"/>
                <w:szCs w:val="18"/>
              </w:rPr>
              <w:t xml:space="preserve">4. Ventanas temporales</w:t>
            </w:r>
          </w:p>
        </w:tc>
        <w:tc>
          <w:tcPr>
            <w:tcW w:type="dxa" w:w="6200"/>
            <w:shd w:fill="EDF5F3" w:color="auto" w:val="clear"/>
            <w:tcMar>
              <w:top w:type="dxa" w:w="90"/>
              <w:left w:type="dxa" w:w="120"/>
              <w:bottom w:type="dxa" w:w="90"/>
              <w:right w:type="dxa" w:w="120"/>
            </w:tcMar>
            <w:vAlign w:val="center"/>
          </w:tcPr>
          <w:p>
            <w:pPr>
              <w:spacing w:line="260"/>
            </w:pPr>
            <w:r>
              <w:rPr>
                <w:b w:val="false"/>
                <w:bCs w:val="false"/>
                <w:color w:val="1E2A2E"/>
                <w:sz w:val="18"/>
                <w:szCs w:val="18"/>
              </w:rPr>
              <w:t xml:space="preserve">Se calculan promedios móviles, conteos y tendencias en ventanas de 1, 3 y 7 días (Sección 4.3).</w:t>
            </w:r>
          </w:p>
        </w:tc>
      </w:tr>
      <w:tr>
        <w:tc>
          <w:tcPr>
            <w:tcW w:type="dxa" w:w="3000"/>
            <w:shd w:fill="FFFFFF" w:color="auto" w:val="clear"/>
            <w:tcMar>
              <w:top w:type="dxa" w:w="90"/>
              <w:left w:type="dxa" w:w="120"/>
              <w:bottom w:type="dxa" w:w="90"/>
              <w:right w:type="dxa" w:w="120"/>
            </w:tcMar>
            <w:vAlign w:val="center"/>
          </w:tcPr>
          <w:p>
            <w:pPr>
              <w:spacing w:line="260"/>
            </w:pPr>
            <w:r>
              <w:rPr>
                <w:b/>
                <w:bCs/>
                <w:color w:val="1E2A2E"/>
                <w:sz w:val="18"/>
                <w:szCs w:val="18"/>
              </w:rPr>
              <w:t xml:space="preserve">5. Ajuste bayesiano jerárquico</w:t>
            </w:r>
          </w:p>
        </w:tc>
        <w:tc>
          <w:tcPr>
            <w:tcW w:type="dxa" w:w="62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Se calcula la línea base ajustada (theta_i) de cada variable relevante para ese niño, combinando su historial propio con el patrón poblacional (Sección 3).</w:t>
            </w:r>
          </w:p>
        </w:tc>
      </w:tr>
      <w:tr>
        <w:tc>
          <w:tcPr>
            <w:tcW w:type="dxa" w:w="3000"/>
            <w:shd w:fill="EDF5F3" w:color="auto" w:val="clear"/>
            <w:tcMar>
              <w:top w:type="dxa" w:w="90"/>
              <w:left w:type="dxa" w:w="120"/>
              <w:bottom w:type="dxa" w:w="90"/>
              <w:right w:type="dxa" w:w="120"/>
            </w:tcMar>
            <w:vAlign w:val="center"/>
          </w:tcPr>
          <w:p>
            <w:pPr>
              <w:spacing w:line="260"/>
            </w:pPr>
            <w:r>
              <w:rPr>
                <w:b/>
                <w:bCs/>
                <w:color w:val="1E2A2E"/>
                <w:sz w:val="18"/>
                <w:szCs w:val="18"/>
              </w:rPr>
              <w:t xml:space="preserve">6. Modelo de riesgo</w:t>
            </w:r>
          </w:p>
        </w:tc>
        <w:tc>
          <w:tcPr>
            <w:tcW w:type="dxa" w:w="6200"/>
            <w:shd w:fill="EDF5F3" w:color="auto" w:val="clear"/>
            <w:tcMar>
              <w:top w:type="dxa" w:w="90"/>
              <w:left w:type="dxa" w:w="120"/>
              <w:bottom w:type="dxa" w:w="90"/>
              <w:right w:type="dxa" w:w="120"/>
            </w:tcMar>
            <w:vAlign w:val="center"/>
          </w:tcPr>
          <w:p>
            <w:pPr>
              <w:spacing w:line="260"/>
            </w:pPr>
            <w:r>
              <w:rPr>
                <w:b w:val="false"/>
                <w:bCs w:val="false"/>
                <w:color w:val="1E2A2E"/>
                <w:sz w:val="18"/>
                <w:szCs w:val="18"/>
              </w:rPr>
              <w:t xml:space="preserve">Un modelo interpretable (heurística de respaldo + Random Forest / LightGBM) estima la probabilidad de crisis en las próximas 24 horas (Sección 6.1).</w:t>
            </w:r>
          </w:p>
        </w:tc>
      </w:tr>
      <w:tr>
        <w:tc>
          <w:tcPr>
            <w:tcW w:type="dxa" w:w="3000"/>
            <w:shd w:fill="FFFFFF" w:color="auto" w:val="clear"/>
            <w:tcMar>
              <w:top w:type="dxa" w:w="90"/>
              <w:left w:type="dxa" w:w="120"/>
              <w:bottom w:type="dxa" w:w="90"/>
              <w:right w:type="dxa" w:w="120"/>
            </w:tcMar>
            <w:vAlign w:val="center"/>
          </w:tcPr>
          <w:p>
            <w:pPr>
              <w:spacing w:line="260"/>
            </w:pPr>
            <w:r>
              <w:rPr>
                <w:b/>
                <w:bCs/>
                <w:color w:val="1E2A2E"/>
                <w:sz w:val="18"/>
                <w:szCs w:val="18"/>
              </w:rPr>
              <w:t xml:space="preserve">7. Confianza, pregunta activa y recomendación</w:t>
            </w:r>
          </w:p>
        </w:tc>
        <w:tc>
          <w:tcPr>
            <w:tcW w:type="dxa" w:w="62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Se calcula el nivel de confianza (6.2), se elige la pregunta más útil para hoy (6.3), y se genera una explicación accionable (Sección 7).</w:t>
            </w:r>
          </w:p>
        </w:tc>
      </w:tr>
    </w:tbl>
    <w:p>
      <w:pPr>
        <w:spacing w:before="200"/>
      </w:pPr>
    </w:p>
    <w:p>
      <w:pPr>
        <w:spacing w:after="160" w:line="300"/>
        <w:jc w:val="both"/>
      </w:pPr>
      <w:r>
        <w:rPr>
          <w:color w:val="1E2A2E"/>
          <w:sz w:val="21"/>
          <w:szCs w:val="21"/>
        </w:rPr>
        <w:t xml:space="preserve">Esta separación en etapas es importante no solo por claridad técnica: permite que distintos integrantes del equipo trabajen en paralelo (una persona en captura/interfaz, otra en el pipeline de datos, otra en el modelo) sin bloquearse mutuamente, lo cual es crítico dado el plazo acotado de la hackatón (ver Sección 9, Carta Gantt).</w:t>
      </w:r>
    </w:p>
    <w:p>
      <w:r>
        <w:br w:type="page"/>
      </w:r>
    </w:p>
    <w:p>
      <w:pPr>
        <w:pStyle w:val="Heading1"/>
        <w:spacing w:after="200" w:before="400"/>
      </w:pPr>
      <w:bookmarkStart w:name="sec6" w:id="1005"/>
      <w:r>
        <w:rPr>
          <w:b/>
          <w:bCs/>
          <w:color w:val="028090"/>
          <w:sz w:val="32"/>
          <w:szCs w:val="32"/>
        </w:rPr>
        <w:t xml:space="preserve">6. Modelo de riesgo, nivel de confianza y selección de la siguiente pregunta</w:t>
      </w:r>
      <w:bookmarkEnd w:id="1005"/>
    </w:p>
    <w:p>
      <w:pPr>
        <w:pStyle w:val="Heading2"/>
        <w:spacing w:after="150" w:before="300"/>
      </w:pPr>
      <w:r>
        <w:rPr>
          <w:b/>
          <w:bCs/>
          <w:color w:val="1E2A2E"/>
          <w:sz w:val="26"/>
          <w:szCs w:val="26"/>
        </w:rPr>
        <w:t xml:space="preserve">6.1 Modelo de riesgo</w:t>
      </w:r>
    </w:p>
    <w:p>
      <w:pPr>
        <w:spacing w:after="160" w:line="300"/>
        <w:jc w:val="both"/>
      </w:pPr>
      <w:r>
        <w:rPr>
          <w:color w:val="1E2A2E"/>
          <w:sz w:val="21"/>
          <w:szCs w:val="21"/>
        </w:rPr>
        <w:t xml:space="preserve">Antesala utiliza dos niveles de modelo, diseñados para que el prototipo nunca dependa de una sola pieza frágil el día de la demo:</w:t>
      </w:r>
    </w:p>
    <w:p>
      <w:pPr>
        <w:pStyle w:val="Heading3"/>
        <w:spacing w:after="100" w:before="200"/>
      </w:pPr>
      <w:r>
        <w:rPr>
          <w:b/>
          <w:bCs/>
          <w:color w:val="00A896"/>
          <w:sz w:val="23"/>
          <w:szCs w:val="23"/>
        </w:rPr>
        <w:t xml:space="preserve">Nivel de respaldo — score heurístico ponderado</w:t>
      </w:r>
    </w:p>
    <w:p>
      <w:pPr>
        <w:spacing w:after="160" w:line="300"/>
        <w:jc w:val="both"/>
      </w:pPr>
      <w:r>
        <w:rPr>
          <w:color w:val="1E2A2E"/>
          <w:sz w:val="21"/>
          <w:szCs w:val="21"/>
        </w:rPr>
        <w:t xml:space="preserve">Un puntaje simple, calculado como una suma ponderada de cuánto se desvía cada variable de hoy respecto a la línea base ajustada del niño (theta_i, Sección 3), donde cada variable tiene un peso clínico asignado por el equipo (por ejemplo, un cambio de rutina puede pesar más que una variación menor en el horario de la siesta). No requiere entrenamiento y funciona incluso con un solo registro disponible. Es la garantía de que la demo siempre puede mostrar un resultado, incluso si el modelo de aprendizaje automático fallara en vivo.</w:t>
      </w:r>
    </w:p>
    <w:p>
      <w:pPr>
        <w:pStyle w:val="Heading3"/>
        <w:spacing w:after="100" w:before="200"/>
      </w:pPr>
      <w:r>
        <w:rPr>
          <w:b/>
          <w:bCs/>
          <w:color w:val="00A896"/>
          <w:sz w:val="23"/>
          <w:szCs w:val="23"/>
        </w:rPr>
        <w:t xml:space="preserve">Nivel principal — modelo de aprendizaje automático (Random Forest / LightGBM)</w:t>
      </w:r>
    </w:p>
    <w:p>
      <w:pPr>
        <w:spacing w:after="160" w:line="300"/>
        <w:jc w:val="both"/>
      </w:pPr>
      <w:r>
        <w:rPr>
          <w:color w:val="1E2A2E"/>
          <w:sz w:val="21"/>
          <w:szCs w:val="21"/>
        </w:rPr>
        <w:t xml:space="preserve">Un modelo de ensamble de árboles de decisión, entrenado sobre las variables originales y derivadas (Sección 4), que estima la probabilidad de crisis_24h. Se eligió este tipo de modelo (por sobre, por ejemplo, una red neuronal) por tres razones concretas: puede manejar valores faltantes de forma nativa o con imputación simple sin degradarse drásticamente, entrega una medida de importancia de variables (feature importance) que responde directamente al requisito de las bases de "identificar qué variables aportan mayor valor predictivo", y permite calcular fácilmente una medida de incertidumbre (la variabilidad entre los árboles del ensamble) que es la pieza clave del selector de la siguiente pregunta (Sección 6.3).</w:t>
      </w:r>
    </w:p>
    <w:tbl>
      <w:tblPr>
        <w:tblW w:type="pct" w:w="100%"/>
        <w:tblBorders>
          <w:top w:val="single" w:color="00A896" w:sz="4"/>
          <w:left w:val="single" w:color="00A896" w:sz="4"/>
          <w:bottom w:val="single" w:color="00A896" w:sz="4"/>
          <w:right w:val="single" w:color="00A896" w:sz="4"/>
          <w:insideH w:val="single" w:color="auto" w:sz="4"/>
          <w:insideV w:val="single" w:color="auto" w:sz="4"/>
        </w:tblBorders>
      </w:tblPr>
      <w:tblGrid>
        <w:gridCol w:w="100"/>
      </w:tblGrid>
      <w:tr>
        <w:tc>
          <w:tcPr>
            <w:shd w:fill="EDF5F3" w:color="auto" w:val="clear"/>
            <w:tcMar>
              <w:top w:type="dxa" w:w="150"/>
              <w:left w:type="dxa" w:w="200"/>
              <w:bottom w:type="dxa" w:w="150"/>
              <w:right w:type="dxa" w:w="200"/>
            </w:tcMar>
          </w:tcPr>
          <w:p>
            <w:pPr>
              <w:spacing w:after="80"/>
            </w:pPr>
            <w:r>
              <w:rPr>
                <w:b/>
                <w:bCs/>
                <w:color w:val="028090"/>
                <w:sz w:val="21"/>
                <w:szCs w:val="21"/>
              </w:rPr>
              <w:t xml:space="preserve">Términos técnicos usados en esta sección</w:t>
            </w:r>
          </w:p>
          <w:p>
            <w:pPr>
              <w:spacing w:after="0" w:line="280"/>
            </w:pPr>
            <w:r>
              <w:rPr>
                <w:color w:val="1E2A2E"/>
                <w:sz w:val="20"/>
                <w:szCs w:val="20"/>
              </w:rPr>
              <w:t xml:space="preserve">Random Forest: un modelo que combina las predicciones de muchos árboles de decisión distintos (entrenados con variaciones aleatorias de los datos) y promedia sus resultados; esto suele ser más robusto que un solo árbol. LightGBM: una variante más veloz y eficiente de un enfoque relacionado (gradient boosting), útil cuando hay muchas variables y datos incompletos. Ensamble (ensemble): un modelo compuesto por varios modelos más simples combinados para mejorar la robustez de la predicción.</w:t>
            </w:r>
          </w:p>
        </w:tc>
      </w:tr>
    </w:tbl>
    <w:p>
      <w:pPr>
        <w:pStyle w:val="Heading2"/>
        <w:spacing w:after="150" w:before="300"/>
      </w:pPr>
      <w:r>
        <w:rPr>
          <w:b/>
          <w:bCs/>
          <w:color w:val="1E2A2E"/>
          <w:sz w:val="26"/>
          <w:szCs w:val="26"/>
        </w:rPr>
        <w:t xml:space="preserve">6.2 Cálculo del nivel de confianza</w:t>
      </w:r>
    </w:p>
    <w:p>
      <w:pPr>
        <w:spacing w:after="160" w:line="300"/>
        <w:jc w:val="both"/>
      </w:pPr>
      <w:r>
        <w:rPr>
          <w:color w:val="1E2A2E"/>
          <w:sz w:val="21"/>
          <w:szCs w:val="21"/>
        </w:rPr>
        <w:t xml:space="preserve">Las bases exigen explícitamente que la solución "determine el nivel de confianza de una predicción según la calidad de los datos disponibles" y que "genere alertas cuando la información disponible no sea suficiente". Antesala calcula la confianza combinando dos factores independientes:</w:t>
      </w:r>
    </w:p>
    <w:p>
      <w:pPr>
        <w:pStyle w:val="Heading3"/>
        <w:spacing w:after="100" w:before="200"/>
      </w:pPr>
      <w:r>
        <w:rPr>
          <w:b/>
          <w:bCs/>
          <w:color w:val="00A896"/>
          <w:sz w:val="23"/>
          <w:szCs w:val="23"/>
        </w:rPr>
        <w:t xml:space="preserve">Factor 1 — Completitud ponderada</w:t>
      </w:r>
    </w:p>
    <w:tbl>
      <w:tblPr>
        <w:tblW w:type="pct" w:w="100%"/>
        <w:tblBorders>
          <w:top w:val="single" w:color="C7D9D6" w:sz="2"/>
          <w:left w:val="single" w:color="C7D9D6" w:sz="2"/>
          <w:bottom w:val="single" w:color="C7D9D6" w:sz="2"/>
          <w:right w:val="single" w:color="C7D9D6" w:sz="2"/>
          <w:insideH w:val="single" w:color="auto" w:sz="4"/>
          <w:insideV w:val="single" w:color="auto" w:sz="4"/>
        </w:tblBorders>
      </w:tblPr>
      <w:tblGrid>
        <w:gridCol w:w="100"/>
      </w:tblGrid>
      <w:tr>
        <w:tc>
          <w:tcPr>
            <w:shd w:fill="FAFCFB" w:color="auto" w:val="clear"/>
            <w:tcMar>
              <w:top w:type="dxa" w:w="180"/>
              <w:left w:type="dxa" w:w="300"/>
              <w:bottom w:type="dxa" w:w="180"/>
              <w:right w:type="dxa" w:w="300"/>
            </w:tcMar>
          </w:tcPr>
          <w:p>
            <w:pPr>
              <w:jc w:val="center"/>
            </w:pPr>
            <w:r>
              <w:rPr>
                <w:rFonts w:ascii="Courier New" w:cs="Courier New" w:eastAsia="Courier New" w:hAnsi="Courier New"/>
                <w:color w:val="1E2A2E"/>
                <w:sz w:val="22"/>
                <w:szCs w:val="22"/>
              </w:rPr>
              <w:t xml:space="preserve">completitud = (Σ wᵢ · presenteᵢ) / (Σ wᵢ)</w:t>
            </w:r>
          </w:p>
        </w:tc>
      </w:tr>
    </w:tbl>
    <w:p>
      <w:pPr>
        <w:spacing w:after="160" w:line="300"/>
        <w:jc w:val="both"/>
      </w:pPr>
      <w:r>
        <w:rPr>
          <w:color w:val="1E2A2E"/>
          <w:sz w:val="21"/>
          <w:szCs w:val="21"/>
        </w:rPr>
        <w:t xml:space="preserve">Donde wᵢ es la importancia relativa de la variable i (obtenida del feature importance del modelo, Sección 6.1) y presenteᵢ vale 1 si la variable fue registrada hoy y 0 si falta. Esto asegura que la ausencia de una variable muy predictiva (como el sueño) penalice más la confianza que la ausencia de una variable secundaria.</w:t>
      </w:r>
    </w:p>
    <w:p>
      <w:pPr>
        <w:pStyle w:val="Heading3"/>
        <w:spacing w:after="100" w:before="200"/>
      </w:pPr>
      <w:r>
        <w:rPr>
          <w:b/>
          <w:bCs/>
          <w:color w:val="00A896"/>
          <w:sz w:val="23"/>
          <w:szCs w:val="23"/>
        </w:rPr>
        <w:t xml:space="preserve">Factor 2 — Suficiencia de historial</w:t>
      </w:r>
    </w:p>
    <w:tbl>
      <w:tblPr>
        <w:tblW w:type="pct" w:w="100%"/>
        <w:tblBorders>
          <w:top w:val="single" w:color="C7D9D6" w:sz="2"/>
          <w:left w:val="single" w:color="C7D9D6" w:sz="2"/>
          <w:bottom w:val="single" w:color="C7D9D6" w:sz="2"/>
          <w:right w:val="single" w:color="C7D9D6" w:sz="2"/>
          <w:insideH w:val="single" w:color="auto" w:sz="4"/>
          <w:insideV w:val="single" w:color="auto" w:sz="4"/>
        </w:tblBorders>
      </w:tblPr>
      <w:tblGrid>
        <w:gridCol w:w="100"/>
      </w:tblGrid>
      <w:tr>
        <w:tc>
          <w:tcPr>
            <w:shd w:fill="FAFCFB" w:color="auto" w:val="clear"/>
            <w:tcMar>
              <w:top w:type="dxa" w:w="180"/>
              <w:left w:type="dxa" w:w="300"/>
              <w:bottom w:type="dxa" w:w="180"/>
              <w:right w:type="dxa" w:w="300"/>
            </w:tcMar>
          </w:tcPr>
          <w:p>
            <w:pPr>
              <w:jc w:val="center"/>
            </w:pPr>
            <w:r>
              <w:rPr>
                <w:rFonts w:ascii="Courier New" w:cs="Courier New" w:eastAsia="Courier New" w:hAnsi="Courier New"/>
                <w:color w:val="1E2A2E"/>
                <w:sz w:val="22"/>
                <w:szCs w:val="22"/>
              </w:rPr>
              <w:t xml:space="preserve">factor_historial = n / (n + k)</w:t>
            </w:r>
          </w:p>
        </w:tc>
      </w:tr>
    </w:tbl>
    <w:p>
      <w:pPr>
        <w:spacing w:after="160" w:line="300"/>
        <w:jc w:val="both"/>
      </w:pPr>
      <w:r>
        <w:rPr>
          <w:color w:val="1E2A2E"/>
          <w:sz w:val="21"/>
          <w:szCs w:val="21"/>
        </w:rPr>
        <w:t xml:space="preserve">La misma función de shrinkage utilizada en el modelo bayesiano jerárquico (Sección 3.4), reutilizada aquí como una medida de qué tan consolidado está el patrón individual del niño: con historial corto, incluso datos completos hoy no bastan para una confianza alta, porque el sistema aún no conoce bien el patrón particular de ese niño.</w:t>
      </w:r>
    </w:p>
    <w:p>
      <w:pPr>
        <w:pStyle w:val="Heading3"/>
        <w:spacing w:after="100" w:before="200"/>
      </w:pPr>
      <w:r>
        <w:rPr>
          <w:b/>
          <w:bCs/>
          <w:color w:val="00A896"/>
          <w:sz w:val="23"/>
          <w:szCs w:val="23"/>
        </w:rPr>
        <w:t xml:space="preserve">Confianza final</w:t>
      </w:r>
    </w:p>
    <w:tbl>
      <w:tblPr>
        <w:tblW w:type="pct" w:w="100%"/>
        <w:tblBorders>
          <w:top w:val="single" w:color="C7D9D6" w:sz="2"/>
          <w:left w:val="single" w:color="C7D9D6" w:sz="2"/>
          <w:bottom w:val="single" w:color="C7D9D6" w:sz="2"/>
          <w:right w:val="single" w:color="C7D9D6" w:sz="2"/>
          <w:insideH w:val="single" w:color="auto" w:sz="4"/>
          <w:insideV w:val="single" w:color="auto" w:sz="4"/>
        </w:tblBorders>
      </w:tblPr>
      <w:tblGrid>
        <w:gridCol w:w="100"/>
      </w:tblGrid>
      <w:tr>
        <w:tc>
          <w:tcPr>
            <w:shd w:fill="FAFCFB" w:color="auto" w:val="clear"/>
            <w:tcMar>
              <w:top w:type="dxa" w:w="180"/>
              <w:left w:type="dxa" w:w="300"/>
              <w:bottom w:type="dxa" w:w="180"/>
              <w:right w:type="dxa" w:w="300"/>
            </w:tcMar>
          </w:tcPr>
          <w:p>
            <w:pPr>
              <w:jc w:val="center"/>
            </w:pPr>
            <w:r>
              <w:rPr>
                <w:rFonts w:ascii="Courier New" w:cs="Courier New" w:eastAsia="Courier New" w:hAnsi="Courier New"/>
                <w:color w:val="1E2A2E"/>
                <w:sz w:val="22"/>
                <w:szCs w:val="22"/>
              </w:rPr>
              <w:t xml:space="preserve">confianza = completitud × factor_historial</w:t>
            </w:r>
          </w:p>
        </w:tc>
      </w:tr>
    </w:tbl>
    <w:p>
      <w:pPr>
        <w:spacing w:after="160" w:line="300"/>
        <w:jc w:val="both"/>
      </w:pPr>
      <w:r>
        <w:rPr>
          <w:color w:val="1E2A2E"/>
          <w:sz w:val="21"/>
          <w:szCs w:val="21"/>
        </w:rPr>
        <w:t xml:space="preserve">El resultado se traduce en tres niveles para la interfaz: confianza menor a 0.4 dispara una alerta explícita del tipo "no se puede calcular una recomendación confiable" (cumpliendo el requisito de alertas de las bases); entre 0.4 y 0.7 se muestra la predicción junto con una advertencia de confianza moderada; sobre 0.7 se presenta como una recomendación de alta confianza. Es importante destacar que riesgo y confianza son dos números independientes: un riesgo alto con confianza baja no debe presentarse a la familia con la misma contundencia que un riesgo alto con confianza alta (ver ejemplo en Sección 7).</w:t>
      </w:r>
    </w:p>
    <w:p>
      <w:pPr>
        <w:pStyle w:val="Heading2"/>
        <w:spacing w:after="150" w:before="300"/>
      </w:pPr>
      <w:r>
        <w:rPr>
          <w:b/>
          <w:bCs/>
          <w:color w:val="1E2A2E"/>
          <w:sz w:val="26"/>
          <w:szCs w:val="26"/>
        </w:rPr>
        <w:t xml:space="preserve">6.3 Selector de "la pregunta del día" (valor de la información)</w:t>
      </w:r>
    </w:p>
    <w:p>
      <w:pPr>
        <w:spacing w:after="160" w:line="300"/>
        <w:jc w:val="both"/>
      </w:pPr>
      <w:r>
        <w:rPr>
          <w:color w:val="1E2A2E"/>
          <w:sz w:val="21"/>
          <w:szCs w:val="21"/>
        </w:rPr>
        <w:t xml:space="preserve">Este es el mecanismo que responde de forma más directa y sofisticada a dos requisitos explícitos de las bases: "incentivar y facilitar el registro oportuno de información relevante" y "reducir la carga de registro para las familias y equipos de apoyo". En vez de acortar el formulario de forma fija (por ejemplo, "pedir siempre 5 campos en vez de 14"), Antesala calcula, cada día y para cada niño, cuál es la única variable no registrada aún que más ayudaría a reducir la incertidumbre de la predicción de hoy.</w:t>
      </w:r>
    </w:p>
    <w:p>
      <w:pPr>
        <w:pStyle w:val="Heading3"/>
        <w:spacing w:after="100" w:before="200"/>
      </w:pPr>
      <w:r>
        <w:rPr>
          <w:b/>
          <w:bCs/>
          <w:color w:val="00A896"/>
          <w:sz w:val="23"/>
          <w:szCs w:val="23"/>
        </w:rPr>
        <w:t xml:space="preserve">Fundamento: la varianza del ensamble como medida de incertidumbre</w:t>
      </w:r>
    </w:p>
    <w:p>
      <w:pPr>
        <w:spacing w:after="160" w:line="300"/>
        <w:jc w:val="both"/>
      </w:pPr>
      <w:r>
        <w:rPr>
          <w:color w:val="1E2A2E"/>
          <w:sz w:val="21"/>
          <w:szCs w:val="21"/>
        </w:rPr>
        <w:t xml:space="preserve">Un Random Forest (Sección 6.1) genera su predicción promediando muchos árboles distintos. Cuando esos árboles coinciden mucho entre sí, la predicción es estable (baja varianza); cuando difieren mucho, la predicción es incierta (alta varianza). Esta varianza entre árboles se usa como una medida directa, ya disponible sin cálculo adicional, de cuán incierta es la predicción del día.</w:t>
      </w:r>
    </w:p>
    <w:p>
      <w:pPr>
        <w:pStyle w:val="Heading3"/>
        <w:spacing w:after="100" w:before="200"/>
      </w:pPr>
      <w:r>
        <w:rPr>
          <w:b/>
          <w:bCs/>
          <w:color w:val="00A896"/>
          <w:sz w:val="23"/>
          <w:szCs w:val="23"/>
        </w:rPr>
        <w:t xml:space="preserve">El algoritmo, paso a paso</w:t>
      </w:r>
    </w:p>
    <w:p>
      <w:pPr>
        <w:pStyle w:val="ListParagraph"/>
        <w:numPr>
          <w:ilvl w:val="0"/>
          <w:numId w:val="1"/>
        </w:numPr>
        <w:spacing w:after="90" w:line="290"/>
      </w:pPr>
      <w:r>
        <w:rPr>
          <w:color w:val="1E2A2E"/>
          <w:sz w:val="21"/>
          <w:szCs w:val="21"/>
        </w:rPr>
        <w:t xml:space="preserve">1. Para cada variable que hoy no ha sido registrada, se simula rellenarla con sus 2 o 3 valores más probables, usando la distribución histórica del niño (o la de la población, si es un niño nuevo — nuevamente el pooling jerárquico de la Sección 3 en acción).</w:t>
      </w:r>
    </w:p>
    <w:p>
      <w:pPr>
        <w:pStyle w:val="ListParagraph"/>
        <w:numPr>
          <w:ilvl w:val="0"/>
          <w:numId w:val="1"/>
        </w:numPr>
        <w:spacing w:after="90" w:line="290"/>
      </w:pPr>
      <w:r>
        <w:rPr>
          <w:color w:val="1E2A2E"/>
          <w:sz w:val="21"/>
          <w:szCs w:val="21"/>
        </w:rPr>
        <w:t xml:space="preserve">2. Para cada uno de esos escenarios simulados, se vuelve a calcular la varianza del ensamble.</w:t>
      </w:r>
    </w:p>
    <w:p>
      <w:pPr>
        <w:pStyle w:val="ListParagraph"/>
        <w:numPr>
          <w:ilvl w:val="0"/>
          <w:numId w:val="1"/>
        </w:numPr>
        <w:spacing w:after="90" w:line="290"/>
      </w:pPr>
      <w:r>
        <w:rPr>
          <w:color w:val="1E2A2E"/>
          <w:sz w:val="21"/>
          <w:szCs w:val="21"/>
        </w:rPr>
        <w:t xml:space="preserve">3. Se calcula cuánto bajaría, en promedio, la varianza si esa variable se registrara, comparado con la varianza actual (sin ese dato).</w:t>
      </w:r>
    </w:p>
    <w:p>
      <w:pPr>
        <w:pStyle w:val="ListParagraph"/>
        <w:numPr>
          <w:ilvl w:val="0"/>
          <w:numId w:val="1"/>
        </w:numPr>
        <w:spacing w:after="90" w:line="290"/>
      </w:pPr>
      <w:r>
        <w:rPr>
          <w:color w:val="1E2A2E"/>
          <w:sz w:val="21"/>
          <w:szCs w:val="21"/>
        </w:rPr>
        <w:t xml:space="preserve">4. La variable cuya reducción esperada de varianza es mayor se selecciona como "la pregunta del día".</w:t>
      </w:r>
    </w:p>
    <w:tbl>
      <w:tblPr>
        <w:tblW w:type="pct" w:w="100%"/>
        <w:tblBorders>
          <w:top w:val="single" w:color="C7D9D6" w:sz="2"/>
          <w:left w:val="single" w:color="C7D9D6" w:sz="2"/>
          <w:bottom w:val="single" w:color="C7D9D6" w:sz="2"/>
          <w:right w:val="single" w:color="C7D9D6" w:sz="2"/>
          <w:insideH w:val="single" w:color="auto" w:sz="4"/>
          <w:insideV w:val="single" w:color="auto" w:sz="4"/>
        </w:tblBorders>
      </w:tblPr>
      <w:tblGrid>
        <w:gridCol w:w="100"/>
      </w:tblGrid>
      <w:tr>
        <w:tc>
          <w:tcPr>
            <w:shd w:fill="FAFCFB" w:color="auto" w:val="clear"/>
            <w:tcMar>
              <w:top w:type="dxa" w:w="180"/>
              <w:left w:type="dxa" w:w="300"/>
              <w:bottom w:type="dxa" w:w="180"/>
              <w:right w:type="dxa" w:w="300"/>
            </w:tcMar>
          </w:tcPr>
          <w:p>
            <w:pPr>
              <w:jc w:val="center"/>
            </w:pPr>
            <w:r>
              <w:rPr>
                <w:rFonts w:ascii="Courier New" w:cs="Courier New" w:eastAsia="Courier New" w:hAnsi="Courier New"/>
                <w:color w:val="1E2A2E"/>
                <w:sz w:val="22"/>
                <w:szCs w:val="22"/>
              </w:rPr>
              <w:t xml:space="preserve">pregunta* = argmax_j [ Var(riesgo | datos de hoy) − E[ Var(riesgo | datos de hoy, variable j) ] ]</w:t>
            </w:r>
          </w:p>
        </w:tc>
      </w:tr>
    </w:tbl>
    <w:p>
      <w:pPr>
        <w:spacing w:after="160" w:line="300"/>
        <w:jc w:val="both"/>
      </w:pPr>
      <w:r>
        <w:rPr>
          <w:color w:val="1E2A2E"/>
          <w:sz w:val="21"/>
          <w:szCs w:val="21"/>
        </w:rPr>
        <w:t xml:space="preserve">Esta es una versión simplificada y computacionalmente económica (un solo paso, sin recursión) de una técnica más general llamada valor de la información esperado (Expected Value of Information), usada en teoría de decisiones para decidir qué dato conviene obtener antes de tomar una decisión bajo incertidumbre. La simplificación a un solo paso (greedy) es deliberada: es suficiente para el objetivo del prototipo y puede calcularse en tiempo real sin infraestructura adicional, algo esencial dado el plazo de la hackatón.</w:t>
      </w:r>
    </w:p>
    <w:tbl>
      <w:tblPr>
        <w:tblW w:type="pct" w:w="100%"/>
        <w:tblBorders>
          <w:top w:val="single" w:color="00A896" w:sz="4"/>
          <w:left w:val="single" w:color="00A896" w:sz="4"/>
          <w:bottom w:val="single" w:color="00A896" w:sz="4"/>
          <w:right w:val="single" w:color="00A896" w:sz="4"/>
          <w:insideH w:val="single" w:color="auto" w:sz="4"/>
          <w:insideV w:val="single" w:color="auto" w:sz="4"/>
        </w:tblBorders>
      </w:tblPr>
      <w:tblGrid>
        <w:gridCol w:w="100"/>
      </w:tblGrid>
      <w:tr>
        <w:tc>
          <w:tcPr>
            <w:shd w:fill="EDF5F3" w:color="auto" w:val="clear"/>
            <w:tcMar>
              <w:top w:type="dxa" w:w="150"/>
              <w:left w:type="dxa" w:w="200"/>
              <w:bottom w:type="dxa" w:w="150"/>
              <w:right w:type="dxa" w:w="200"/>
            </w:tcMar>
          </w:tcPr>
          <w:p>
            <w:pPr>
              <w:spacing w:after="80"/>
            </w:pPr>
            <w:r>
              <w:rPr>
                <w:b/>
                <w:bCs/>
                <w:color w:val="028090"/>
                <w:sz w:val="21"/>
                <w:szCs w:val="21"/>
              </w:rPr>
              <w:t xml:space="preserve">Por qué este mecanismo es difícil de replicar sin el enfoque de Antesala</w:t>
            </w:r>
          </w:p>
          <w:p>
            <w:pPr>
              <w:spacing w:after="0" w:line="280"/>
            </w:pPr>
            <w:r>
              <w:rPr>
                <w:color w:val="1E2A2E"/>
                <w:sz w:val="20"/>
                <w:szCs w:val="20"/>
              </w:rPr>
              <w:t xml:space="preserve">Para calcular qué variable reduce más la incertidumbre, un sistema necesita: (a) una medida de incertidumbre explícita, que la mayoría de los modelos simples de clasificación no entregan por defecto; (b) una noción de "cuánto se sabe de este niño en particular", que es exactamente lo que aporta el pooling jerárquico; y (c) una forma barata de simular "qué pasaría si" sin reentrenar el modelo. La combinación de las tres piezas —no cada una por separado— es lo que hace de este mecanismo un diferenciador genuino frente a un formulario simplemente más corto.</w:t>
            </w:r>
          </w:p>
        </w:tc>
      </w:tr>
    </w:tbl>
    <w:p>
      <w:r>
        <w:br w:type="page"/>
      </w:r>
    </w:p>
    <w:p>
      <w:pPr>
        <w:pStyle w:val="Heading1"/>
        <w:spacing w:after="200" w:before="400"/>
      </w:pPr>
      <w:bookmarkStart w:name="sec7" w:id="1006"/>
      <w:r>
        <w:rPr>
          <w:b/>
          <w:bCs/>
          <w:color w:val="028090"/>
          <w:sz w:val="32"/>
          <w:szCs w:val="32"/>
        </w:rPr>
        <w:t xml:space="preserve">7. De la predicción a una recomendación accionable</w:t>
      </w:r>
      <w:bookmarkEnd w:id="1006"/>
    </w:p>
    <w:p>
      <w:pPr>
        <w:spacing w:after="160" w:line="300"/>
        <w:jc w:val="both"/>
      </w:pPr>
      <w:r>
        <w:rPr>
          <w:color w:val="1E2A2E"/>
          <w:sz w:val="21"/>
          <w:szCs w:val="21"/>
        </w:rPr>
        <w:t xml:space="preserve">Las bases piden explícitamente que la solución entregue "explicaciones comprensibles y accionables (estrategias preventivas)", no solo un número de riesgo. Antesala resuelve esto con un mapeo determinístico (una tabla de reglas, no otro modelo) entre los principales factores que explican el riesgo del día (obtenidos del feature importance del modelo, Sección 6.1) y una biblioteca corta de recomendaciones preventivas revisadas por el equipo. Esta decisión de diseño es intencional: mantener la recomendación como una regla simple y auditable, en vez de generarla con otro modelo de caja negra, es coherente con el criterio de explicabilidad que valoran tanto las bases del desafío como el jurado.</w:t>
      </w:r>
    </w:p>
    <w:p>
      <w:pPr>
        <w:pStyle w:val="Heading3"/>
        <w:spacing w:after="100" w:before="200"/>
      </w:pPr>
      <w:r>
        <w:rPr>
          <w:b/>
          <w:bCs/>
          <w:color w:val="00A896"/>
          <w:sz w:val="23"/>
          <w:szCs w:val="23"/>
        </w:rPr>
        <w:t xml:space="preserve">Ejemplo de salida completa del sistema</w:t>
      </w:r>
    </w:p>
    <w:p>
      <w:pPr>
        <w:spacing w:after="160" w:line="300"/>
        <w:jc w:val="both"/>
      </w:pPr>
      <w:r>
        <w:rPr>
          <w:color w:val="1E2A2E"/>
          <w:sz w:val="21"/>
          <w:szCs w:val="21"/>
        </w:rPr>
        <w:t xml:space="preserve">A continuación, un ejemplo de cómo se presentaría la salida de Antesala para un caso concreto, usando el mismo formato de lenguaje natural que Bluba utiliza en su propio ejemplo dentro de las bases del desafío: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shd w:fill="FAFCFB" w:color="auto" w:val="clear"/>
            <w:tcMar>
              <w:top w:type="dxa" w:w="200"/>
              <w:left w:type="dxa" w:w="260"/>
              <w:bottom w:type="dxa" w:w="200"/>
              <w:right w:type="dxa" w:w="260"/>
            </w:tcMar>
          </w:tcPr>
          <w:p>
            <w:pPr>
              <w:spacing w:after="120" w:line="280"/>
            </w:pPr>
            <w:r>
              <w:rPr>
                <w:b/>
                <w:bCs/>
                <w:color w:val="C1666B"/>
                <w:sz w:val="21"/>
                <w:szCs w:val="21"/>
              </w:rPr>
              <w:t xml:space="preserve">Riesgo alto </w:t>
            </w:r>
            <w:r>
              <w:rPr>
                <w:color w:val="1E2A2E"/>
                <w:sz w:val="21"/>
                <w:szCs w:val="21"/>
              </w:rPr>
              <w:t xml:space="preserve">para las próximas 24 horas  ·  </w:t>
            </w:r>
            <w:r>
              <w:rPr>
                <w:b/>
                <w:bCs/>
                <w:color w:val="B98A2E"/>
                <w:sz w:val="21"/>
                <w:szCs w:val="21"/>
              </w:rPr>
              <w:t xml:space="preserve">confianza moderada (0.61)</w:t>
            </w:r>
          </w:p>
          <w:p>
            <w:pPr>
              <w:spacing w:after="60" w:line="280"/>
            </w:pPr>
            <w:r>
              <w:rPr>
                <w:b/>
                <w:bCs/>
                <w:color w:val="028090"/>
                <w:sz w:val="20"/>
                <w:szCs w:val="20"/>
              </w:rPr>
              <w:t xml:space="preserve">Motivo principal: </w:t>
            </w:r>
            <w:r>
              <w:rPr>
                <w:color w:val="1E2A2E"/>
                <w:sz w:val="20"/>
                <w:szCs w:val="20"/>
              </w:rPr>
              <w:t xml:space="preserve">sueño 2 horas bajo el promedio ajustado del niño y cambio de rutina en los últimos 3 días.</w:t>
            </w:r>
          </w:p>
          <w:p>
            <w:pPr>
              <w:spacing w:after="60" w:line="280"/>
            </w:pPr>
            <w:r>
              <w:rPr>
                <w:b/>
                <w:bCs/>
                <w:color w:val="028090"/>
                <w:sz w:val="20"/>
                <w:szCs w:val="20"/>
              </w:rPr>
              <w:t xml:space="preserve">Dato faltante más relevante hoy: </w:t>
            </w:r>
            <w:r>
              <w:rPr>
                <w:color w:val="1E2A2E"/>
                <w:sz w:val="20"/>
                <w:szCs w:val="20"/>
              </w:rPr>
              <w:t xml:space="preserve">salud gastrointestinal (no registrada en los últimos 2 días).</w:t>
            </w:r>
          </w:p>
          <w:p>
            <w:pPr>
              <w:spacing w:after="0" w:line="280"/>
            </w:pPr>
            <w:r>
              <w:rPr>
                <w:b/>
                <w:bCs/>
                <w:color w:val="028090"/>
                <w:sz w:val="20"/>
                <w:szCs w:val="20"/>
              </w:rPr>
              <w:t xml:space="preserve">Recomendación: </w:t>
            </w:r>
            <w:r>
              <w:rPr>
                <w:color w:val="1E2A2E"/>
                <w:sz w:val="20"/>
                <w:szCs w:val="20"/>
              </w:rPr>
              <w:t xml:space="preserve">anticipar apoyos visuales, disponer espacios de regulación y reducir estímulos ambientales hoy.</w:t>
            </w:r>
          </w:p>
        </w:tc>
      </w:tr>
    </w:tbl>
    <w:p>
      <w:pPr>
        <w:spacing w:before="200"/>
      </w:pPr>
    </w:p>
    <w:p>
      <w:pPr>
        <w:spacing w:after="160" w:line="300"/>
        <w:jc w:val="both"/>
      </w:pPr>
      <w:r>
        <w:rPr>
          <w:color w:val="1E2A2E"/>
          <w:sz w:val="21"/>
          <w:szCs w:val="21"/>
        </w:rPr>
        <w:t xml:space="preserve">Nótese que este ejemplo integra en una sola salida los tres componentes desarrollados en las secciones anteriores: el riesgo y su confianza (Sección 6.2), la variable identificada como "pregunta del día" (Sección 6.3, presentada aquí como "dato faltante más relevante"), y la recomendación accionable de esta sección. Ningún otro equipo que solo implemente un clasificador de riesgo podrá mostrar naturalmente estas tres piezas integradas en un solo resultado coherente.</w:t>
      </w:r>
    </w:p>
    <w:p>
      <w:r>
        <w:br w:type="page"/>
      </w:r>
    </w:p>
    <w:p>
      <w:pPr>
        <w:pStyle w:val="Heading1"/>
        <w:spacing w:after="200" w:before="400"/>
      </w:pPr>
      <w:bookmarkStart w:name="sec8" w:id="1007"/>
      <w:r>
        <w:rPr>
          <w:b/>
          <w:bCs/>
          <w:color w:val="028090"/>
          <w:sz w:val="32"/>
          <w:szCs w:val="32"/>
        </w:rPr>
        <w:t xml:space="preserve">8. Stack tecnológico</w:t>
      </w:r>
      <w:bookmarkEnd w:id="1007"/>
    </w:p>
    <w:p>
      <w:pPr>
        <w:spacing w:after="160" w:line="300"/>
        <w:jc w:val="both"/>
      </w:pPr>
      <w:r>
        <w:rPr>
          <w:color w:val="1E2A2E"/>
          <w:sz w:val="21"/>
          <w:szCs w:val="21"/>
        </w:rPr>
        <w:t xml:space="preserve">El stack se eligió priorizando tres criterios, en este orden: (1) que cada pieza pueda estar funcionando y demostrable dentro del plazo de 48 horas de trabajo autónomo, (2) que sea explicable ante un jurado no necesariamente técnico, y (3) que tenga un camino creíble de evolución hacia una versión de producción, en línea con el criterio de "Impacto y Viabilidad" de la rúbrica de evaluación.</w:t>
      </w:r>
    </w:p>
    <w:p>
      <w:pPr>
        <w:pStyle w:val="Heading3"/>
        <w:spacing w:after="100" w:before="200"/>
      </w:pPr>
      <w:r>
        <w:rPr>
          <w:b/>
          <w:bCs/>
          <w:color w:val="00A896"/>
          <w:sz w:val="23"/>
          <w:szCs w:val="23"/>
        </w:rPr>
        <w:t xml:space="preserve">8.1 Datos, imputación y modelado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600"/>
      </w:tblGrid>
      <w:tr>
        <w:tc>
          <w:tcPr>
            <w:tcW w:type="dxa" w:w="2400"/>
            <w:shd w:fill="028090" w:color="auto" w:val="clear"/>
            <w:tcMar>
              <w:top w:type="dxa" w:w="100"/>
              <w:left w:type="dxa" w:w="120"/>
              <w:bottom w:type="dxa" w:w="100"/>
              <w:right w:type="dxa" w:w="120"/>
            </w:tcMar>
            <w:vAlign w:val="center"/>
          </w:tcPr>
          <w:p>
            <w:r>
              <w:rPr>
                <w:b/>
                <w:bCs/>
                <w:color w:val="FFFFFF"/>
                <w:sz w:val="19"/>
                <w:szCs w:val="19"/>
              </w:rPr>
              <w:t xml:space="preserve">Herramienta</w:t>
            </w:r>
          </w:p>
        </w:tc>
        <w:tc>
          <w:tcPr>
            <w:tcW w:type="dxa" w:w="3200"/>
            <w:shd w:fill="028090" w:color="auto" w:val="clear"/>
            <w:tcMar>
              <w:top w:type="dxa" w:w="100"/>
              <w:left w:type="dxa" w:w="120"/>
              <w:bottom w:type="dxa" w:w="100"/>
              <w:right w:type="dxa" w:w="120"/>
            </w:tcMar>
            <w:vAlign w:val="center"/>
          </w:tcPr>
          <w:p>
            <w:r>
              <w:rPr>
                <w:b/>
                <w:bCs/>
                <w:color w:val="FFFFFF"/>
                <w:sz w:val="19"/>
                <w:szCs w:val="19"/>
              </w:rPr>
              <w:t xml:space="preserve">Uso en Antesala</w:t>
            </w:r>
          </w:p>
        </w:tc>
        <w:tc>
          <w:tcPr>
            <w:tcW w:type="dxa" w:w="3600"/>
            <w:shd w:fill="028090" w:color="auto" w:val="clear"/>
            <w:tcMar>
              <w:top w:type="dxa" w:w="100"/>
              <w:left w:type="dxa" w:w="120"/>
              <w:bottom w:type="dxa" w:w="100"/>
              <w:right w:type="dxa" w:w="120"/>
            </w:tcMar>
            <w:vAlign w:val="center"/>
          </w:tcPr>
          <w:p>
            <w:r>
              <w:rPr>
                <w:b/>
                <w:bCs/>
                <w:color w:val="FFFFFF"/>
                <w:sz w:val="19"/>
                <w:szCs w:val="19"/>
              </w:rPr>
              <w:t xml:space="preserve">Por qué se eligió</w:t>
            </w:r>
          </w:p>
        </w:tc>
      </w:tr>
      <w:tr>
        <w:tc>
          <w:tcPr>
            <w:tcW w:type="dxa" w:w="2400"/>
            <w:shd w:fill="FFFFFF" w:color="auto" w:val="clear"/>
            <w:tcMar>
              <w:top w:type="dxa" w:w="90"/>
              <w:left w:type="dxa" w:w="120"/>
              <w:bottom w:type="dxa" w:w="90"/>
              <w:right w:type="dxa" w:w="120"/>
            </w:tcMar>
            <w:vAlign w:val="center"/>
          </w:tcPr>
          <w:p>
            <w:pPr>
              <w:spacing w:line="260"/>
            </w:pPr>
            <w:r>
              <w:rPr>
                <w:b/>
                <w:bCs/>
                <w:color w:val="1E2A2E"/>
                <w:sz w:val="18"/>
                <w:szCs w:val="18"/>
              </w:rPr>
              <w:t xml:space="preserve">Python 3.11</w:t>
            </w:r>
          </w:p>
        </w:tc>
        <w:tc>
          <w:tcPr>
            <w:tcW w:type="dxa" w:w="32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Lenguaje base de todo el pipeline de datos y del modelo.</w:t>
            </w:r>
          </w:p>
        </w:tc>
        <w:tc>
          <w:tcPr>
            <w:tcW w:type="dxa" w:w="36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Estándar de facto en ciencia de datos; todo el equipo tiene experiencia previa con Python.</w:t>
            </w:r>
          </w:p>
        </w:tc>
      </w:tr>
      <w:tr>
        <w:tc>
          <w:tcPr>
            <w:tcW w:type="dxa" w:w="2400"/>
            <w:shd w:fill="EDF5F3" w:color="auto" w:val="clear"/>
            <w:tcMar>
              <w:top w:type="dxa" w:w="90"/>
              <w:left w:type="dxa" w:w="120"/>
              <w:bottom w:type="dxa" w:w="90"/>
              <w:right w:type="dxa" w:w="120"/>
            </w:tcMar>
            <w:vAlign w:val="center"/>
          </w:tcPr>
          <w:p>
            <w:pPr>
              <w:spacing w:line="260"/>
            </w:pPr>
            <w:r>
              <w:rPr>
                <w:b/>
                <w:bCs/>
                <w:color w:val="1E2A2E"/>
                <w:sz w:val="18"/>
                <w:szCs w:val="18"/>
              </w:rPr>
              <w:t xml:space="preserve">pandas / numpy</w:t>
            </w:r>
          </w:p>
        </w:tc>
        <w:tc>
          <w:tcPr>
            <w:tcW w:type="dxa" w:w="3200"/>
            <w:shd w:fill="EDF5F3" w:color="auto" w:val="clear"/>
            <w:tcMar>
              <w:top w:type="dxa" w:w="90"/>
              <w:left w:type="dxa" w:w="120"/>
              <w:bottom w:type="dxa" w:w="90"/>
              <w:right w:type="dxa" w:w="120"/>
            </w:tcMar>
            <w:vAlign w:val="center"/>
          </w:tcPr>
          <w:p>
            <w:pPr>
              <w:spacing w:line="260"/>
            </w:pPr>
            <w:r>
              <w:rPr>
                <w:b w:val="false"/>
                <w:bCs w:val="false"/>
                <w:color w:val="1E2A2E"/>
                <w:sz w:val="18"/>
                <w:szCs w:val="18"/>
              </w:rPr>
              <w:t xml:space="preserve">Limpieza, agregación temporal, ventanas móviles, cálculo de shrinkage (Sección 3).</w:t>
            </w:r>
          </w:p>
        </w:tc>
        <w:tc>
          <w:tcPr>
            <w:tcW w:type="dxa" w:w="3600"/>
            <w:shd w:fill="EDF5F3" w:color="auto" w:val="clear"/>
            <w:tcMar>
              <w:top w:type="dxa" w:w="90"/>
              <w:left w:type="dxa" w:w="120"/>
              <w:bottom w:type="dxa" w:w="90"/>
              <w:right w:type="dxa" w:w="120"/>
            </w:tcMar>
            <w:vAlign w:val="center"/>
          </w:tcPr>
          <w:p>
            <w:pPr>
              <w:spacing w:line="260"/>
            </w:pPr>
            <w:r>
              <w:rPr>
                <w:b w:val="false"/>
                <w:bCs w:val="false"/>
                <w:color w:val="1E2A2E"/>
                <w:sz w:val="18"/>
                <w:szCs w:val="18"/>
              </w:rPr>
              <w:t xml:space="preserve">Permiten construir en horas, no días, todas las variables derivadas de la Sección 4.3.</w:t>
            </w:r>
          </w:p>
        </w:tc>
      </w:tr>
      <w:tr>
        <w:tc>
          <w:tcPr>
            <w:tcW w:type="dxa" w:w="2400"/>
            <w:shd w:fill="FFFFFF" w:color="auto" w:val="clear"/>
            <w:tcMar>
              <w:top w:type="dxa" w:w="90"/>
              <w:left w:type="dxa" w:w="120"/>
              <w:bottom w:type="dxa" w:w="90"/>
              <w:right w:type="dxa" w:w="120"/>
            </w:tcMar>
            <w:vAlign w:val="center"/>
          </w:tcPr>
          <w:p>
            <w:pPr>
              <w:spacing w:line="260"/>
            </w:pPr>
            <w:r>
              <w:rPr>
                <w:b/>
                <w:bCs/>
                <w:color w:val="1E2A2E"/>
                <w:sz w:val="18"/>
                <w:szCs w:val="18"/>
              </w:rPr>
              <w:t xml:space="preserve">scikit-learn</w:t>
            </w:r>
          </w:p>
        </w:tc>
        <w:tc>
          <w:tcPr>
            <w:tcW w:type="dxa" w:w="32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Imputación (SimpleImputer con add_indicator), y el modelo Random Forest / regresión logística.</w:t>
            </w:r>
          </w:p>
        </w:tc>
        <w:tc>
          <w:tcPr>
            <w:tcW w:type="dxa" w:w="36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Imputación con indicador de ausencia integrada; API estable y bien documentada para prototipar rápido.</w:t>
            </w:r>
          </w:p>
        </w:tc>
      </w:tr>
      <w:tr>
        <w:tc>
          <w:tcPr>
            <w:tcW w:type="dxa" w:w="2400"/>
            <w:shd w:fill="EDF5F3" w:color="auto" w:val="clear"/>
            <w:tcMar>
              <w:top w:type="dxa" w:w="90"/>
              <w:left w:type="dxa" w:w="120"/>
              <w:bottom w:type="dxa" w:w="90"/>
              <w:right w:type="dxa" w:w="120"/>
            </w:tcMar>
            <w:vAlign w:val="center"/>
          </w:tcPr>
          <w:p>
            <w:pPr>
              <w:spacing w:line="260"/>
            </w:pPr>
            <w:r>
              <w:rPr>
                <w:b/>
                <w:bCs/>
                <w:color w:val="1E2A2E"/>
                <w:sz w:val="18"/>
                <w:szCs w:val="18"/>
              </w:rPr>
              <w:t xml:space="preserve">feature-engine</w:t>
            </w:r>
          </w:p>
        </w:tc>
        <w:tc>
          <w:tcPr>
            <w:tcW w:type="dxa" w:w="3200"/>
            <w:shd w:fill="EDF5F3" w:color="auto" w:val="clear"/>
            <w:tcMar>
              <w:top w:type="dxa" w:w="90"/>
              <w:left w:type="dxa" w:w="120"/>
              <w:bottom w:type="dxa" w:w="90"/>
              <w:right w:type="dxa" w:w="120"/>
            </w:tcMar>
            <w:vAlign w:val="center"/>
          </w:tcPr>
          <w:p>
            <w:pPr>
              <w:spacing w:line="260"/>
            </w:pPr>
            <w:r>
              <w:rPr>
                <w:b w:val="false"/>
                <w:bCs w:val="false"/>
                <w:color w:val="1E2A2E"/>
                <w:sz w:val="18"/>
                <w:szCs w:val="18"/>
              </w:rPr>
              <w:t xml:space="preserve">Transformaciones adicionales de variables categóricas e indicadores de ausencia, compatibles con pipelines de scikit-learn.</w:t>
            </w:r>
          </w:p>
        </w:tc>
        <w:tc>
          <w:tcPr>
            <w:tcW w:type="dxa" w:w="3600"/>
            <w:shd w:fill="EDF5F3" w:color="auto" w:val="clear"/>
            <w:tcMar>
              <w:top w:type="dxa" w:w="90"/>
              <w:left w:type="dxa" w:w="120"/>
              <w:bottom w:type="dxa" w:w="90"/>
              <w:right w:type="dxa" w:w="120"/>
            </w:tcMar>
            <w:vAlign w:val="center"/>
          </w:tcPr>
          <w:p>
            <w:pPr>
              <w:spacing w:line="260"/>
            </w:pPr>
            <w:r>
              <w:rPr>
                <w:b w:val="false"/>
                <w:bCs w:val="false"/>
                <w:color w:val="1E2A2E"/>
                <w:sz w:val="18"/>
                <w:szCs w:val="18"/>
              </w:rPr>
              <w:t xml:space="preserve">Reduce código repetitivo de ingeniería de variables y se integra directo al pipeline.</w:t>
            </w:r>
          </w:p>
        </w:tc>
      </w:tr>
      <w:tr>
        <w:tc>
          <w:tcPr>
            <w:tcW w:type="dxa" w:w="2400"/>
            <w:shd w:fill="FFFFFF" w:color="auto" w:val="clear"/>
            <w:tcMar>
              <w:top w:type="dxa" w:w="90"/>
              <w:left w:type="dxa" w:w="120"/>
              <w:bottom w:type="dxa" w:w="90"/>
              <w:right w:type="dxa" w:w="120"/>
            </w:tcMar>
            <w:vAlign w:val="center"/>
          </w:tcPr>
          <w:p>
            <w:pPr>
              <w:spacing w:line="260"/>
            </w:pPr>
            <w:r>
              <w:rPr>
                <w:b/>
                <w:bCs/>
                <w:color w:val="1E2A2E"/>
                <w:sz w:val="18"/>
                <w:szCs w:val="18"/>
              </w:rPr>
              <w:t xml:space="preserve">LightGBM (opcional)</w:t>
            </w:r>
          </w:p>
        </w:tc>
        <w:tc>
          <w:tcPr>
            <w:tcW w:type="dxa" w:w="32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Alternativa de mayor rendimiento al Random Forest si el volumen de datos sintéticos lo justifica.</w:t>
            </w:r>
          </w:p>
        </w:tc>
        <w:tc>
          <w:tcPr>
            <w:tcW w:type="dxa" w:w="36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Maneja valores nulos de forma nativa y entrega feature importance sin pasos adicionales.</w:t>
            </w:r>
          </w:p>
        </w:tc>
      </w:tr>
      <w:tr>
        <w:tc>
          <w:tcPr>
            <w:tcW w:type="dxa" w:w="2400"/>
            <w:shd w:fill="EDF5F3" w:color="auto" w:val="clear"/>
            <w:tcMar>
              <w:top w:type="dxa" w:w="90"/>
              <w:left w:type="dxa" w:w="120"/>
              <w:bottom w:type="dxa" w:w="90"/>
              <w:right w:type="dxa" w:w="120"/>
            </w:tcMar>
            <w:vAlign w:val="center"/>
          </w:tcPr>
          <w:p>
            <w:pPr>
              <w:spacing w:line="260"/>
            </w:pPr>
            <w:r>
              <w:rPr>
                <w:b/>
                <w:bCs/>
                <w:color w:val="1E2A2E"/>
                <w:sz w:val="18"/>
                <w:szCs w:val="18"/>
              </w:rPr>
              <w:t xml:space="preserve">PyGrinder</w:t>
            </w:r>
          </w:p>
        </w:tc>
        <w:tc>
          <w:tcPr>
            <w:tcW w:type="dxa" w:w="3200"/>
            <w:shd w:fill="EDF5F3" w:color="auto" w:val="clear"/>
            <w:tcMar>
              <w:top w:type="dxa" w:w="90"/>
              <w:left w:type="dxa" w:w="120"/>
              <w:bottom w:type="dxa" w:w="90"/>
              <w:right w:type="dxa" w:w="120"/>
            </w:tcMar>
            <w:vAlign w:val="center"/>
          </w:tcPr>
          <w:p>
            <w:pPr>
              <w:spacing w:line="260"/>
            </w:pPr>
            <w:r>
              <w:rPr>
                <w:b w:val="false"/>
                <w:bCs w:val="false"/>
                <w:color w:val="1E2A2E"/>
                <w:sz w:val="18"/>
                <w:szCs w:val="18"/>
              </w:rPr>
              <w:t xml:space="preserve">Generación de patrones de datos faltantes artificiales (MCAR / MAR / MNAR) sobre el dataset sintético de prueba.</w:t>
            </w:r>
          </w:p>
        </w:tc>
        <w:tc>
          <w:tcPr>
            <w:tcW w:type="dxa" w:w="3600"/>
            <w:shd w:fill="EDF5F3" w:color="auto" w:val="clear"/>
            <w:tcMar>
              <w:top w:type="dxa" w:w="90"/>
              <w:left w:type="dxa" w:w="120"/>
              <w:bottom w:type="dxa" w:w="90"/>
              <w:right w:type="dxa" w:w="120"/>
            </w:tcMar>
            <w:vAlign w:val="center"/>
          </w:tcPr>
          <w:p>
            <w:pPr>
              <w:spacing w:line="260"/>
            </w:pPr>
            <w:r>
              <w:rPr>
                <w:b w:val="false"/>
                <w:bCs w:val="false"/>
                <w:color w:val="1E2A2E"/>
                <w:sz w:val="18"/>
                <w:szCs w:val="18"/>
              </w:rPr>
              <w:t xml:space="preserve">Permite validar que el sistema de confianza (Sección 6.2) se comporta correctamente ante distintos escenarios de ausencia de datos.</w:t>
            </w:r>
          </w:p>
        </w:tc>
      </w:tr>
      <w:tr>
        <w:tc>
          <w:tcPr>
            <w:tcW w:type="dxa" w:w="2400"/>
            <w:shd w:fill="FFFFFF" w:color="auto" w:val="clear"/>
            <w:tcMar>
              <w:top w:type="dxa" w:w="90"/>
              <w:left w:type="dxa" w:w="120"/>
              <w:bottom w:type="dxa" w:w="90"/>
              <w:right w:type="dxa" w:w="120"/>
            </w:tcMar>
            <w:vAlign w:val="center"/>
          </w:tcPr>
          <w:p>
            <w:pPr>
              <w:spacing w:line="260"/>
            </w:pPr>
            <w:r>
              <w:rPr>
                <w:b/>
                <w:bCs/>
                <w:color w:val="1E2A2E"/>
                <w:sz w:val="18"/>
                <w:szCs w:val="18"/>
              </w:rPr>
              <w:t xml:space="preserve">PyMC (extensión, si el tiempo alcanza)</w:t>
            </w:r>
          </w:p>
        </w:tc>
        <w:tc>
          <w:tcPr>
            <w:tcW w:type="dxa" w:w="32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Ajuste del modelo bayesiano jerárquico completo (Sección 3.5) mediante MCMC.</w:t>
            </w:r>
          </w:p>
        </w:tc>
        <w:tc>
          <w:tcPr>
            <w:tcW w:type="dxa" w:w="36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Es la vía formal hacia una versión de producción del pooling jerárquico; no es indispensable para el MVP.</w:t>
            </w:r>
          </w:p>
        </w:tc>
      </w:tr>
    </w:tbl>
    <w:p>
      <w:pPr>
        <w:spacing w:before="160"/>
      </w:pPr>
    </w:p>
    <w:p>
      <w:pPr>
        <w:pStyle w:val="Heading3"/>
        <w:spacing w:after="100" w:before="200"/>
      </w:pPr>
      <w:r>
        <w:rPr>
          <w:b/>
          <w:bCs/>
          <w:color w:val="00A896"/>
          <w:sz w:val="23"/>
          <w:szCs w:val="23"/>
        </w:rPr>
        <w:t xml:space="preserve">8.2 Backend y almacenamiento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600"/>
      </w:tblGrid>
      <w:tr>
        <w:tc>
          <w:tcPr>
            <w:tcW w:type="dxa" w:w="2400"/>
            <w:shd w:fill="028090" w:color="auto" w:val="clear"/>
            <w:tcMar>
              <w:top w:type="dxa" w:w="100"/>
              <w:left w:type="dxa" w:w="120"/>
              <w:bottom w:type="dxa" w:w="100"/>
              <w:right w:type="dxa" w:w="120"/>
            </w:tcMar>
            <w:vAlign w:val="center"/>
          </w:tcPr>
          <w:p>
            <w:r>
              <w:rPr>
                <w:b/>
                <w:bCs/>
                <w:color w:val="FFFFFF"/>
                <w:sz w:val="19"/>
                <w:szCs w:val="19"/>
              </w:rPr>
              <w:t xml:space="preserve">Herramienta</w:t>
            </w:r>
          </w:p>
        </w:tc>
        <w:tc>
          <w:tcPr>
            <w:tcW w:type="dxa" w:w="3200"/>
            <w:shd w:fill="028090" w:color="auto" w:val="clear"/>
            <w:tcMar>
              <w:top w:type="dxa" w:w="100"/>
              <w:left w:type="dxa" w:w="120"/>
              <w:bottom w:type="dxa" w:w="100"/>
              <w:right w:type="dxa" w:w="120"/>
            </w:tcMar>
            <w:vAlign w:val="center"/>
          </w:tcPr>
          <w:p>
            <w:r>
              <w:rPr>
                <w:b/>
                <w:bCs/>
                <w:color w:val="FFFFFF"/>
                <w:sz w:val="19"/>
                <w:szCs w:val="19"/>
              </w:rPr>
              <w:t xml:space="preserve">Uso en Antesala</w:t>
            </w:r>
          </w:p>
        </w:tc>
        <w:tc>
          <w:tcPr>
            <w:tcW w:type="dxa" w:w="3600"/>
            <w:shd w:fill="028090" w:color="auto" w:val="clear"/>
            <w:tcMar>
              <w:top w:type="dxa" w:w="100"/>
              <w:left w:type="dxa" w:w="120"/>
              <w:bottom w:type="dxa" w:w="100"/>
              <w:right w:type="dxa" w:w="120"/>
            </w:tcMar>
            <w:vAlign w:val="center"/>
          </w:tcPr>
          <w:p>
            <w:r>
              <w:rPr>
                <w:b/>
                <w:bCs/>
                <w:color w:val="FFFFFF"/>
                <w:sz w:val="19"/>
                <w:szCs w:val="19"/>
              </w:rPr>
              <w:t xml:space="preserve">Por qué se eligió</w:t>
            </w:r>
          </w:p>
        </w:tc>
      </w:tr>
      <w:tr>
        <w:tc>
          <w:tcPr>
            <w:tcW w:type="dxa" w:w="2400"/>
            <w:shd w:fill="FFFFFF" w:color="auto" w:val="clear"/>
            <w:tcMar>
              <w:top w:type="dxa" w:w="90"/>
              <w:left w:type="dxa" w:w="120"/>
              <w:bottom w:type="dxa" w:w="90"/>
              <w:right w:type="dxa" w:w="120"/>
            </w:tcMar>
            <w:vAlign w:val="center"/>
          </w:tcPr>
          <w:p>
            <w:pPr>
              <w:spacing w:line="260"/>
            </w:pPr>
            <w:r>
              <w:rPr>
                <w:b/>
                <w:bCs/>
                <w:color w:val="1E2A2E"/>
                <w:sz w:val="18"/>
                <w:szCs w:val="18"/>
              </w:rPr>
              <w:t xml:space="preserve">FastAPI</w:t>
            </w:r>
          </w:p>
        </w:tc>
        <w:tc>
          <w:tcPr>
            <w:tcW w:type="dxa" w:w="32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Expone los endpoints del sistema: registrar datos, obtener predicción, obtener la pregunta del día.</w:t>
            </w:r>
          </w:p>
        </w:tc>
        <w:tc>
          <w:tcPr>
            <w:tcW w:type="dxa" w:w="36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Rápido de escribir, genera documentación interactiva automática (útil para mostrar al jurado), y es asíncrono.</w:t>
            </w:r>
          </w:p>
        </w:tc>
      </w:tr>
      <w:tr>
        <w:tc>
          <w:tcPr>
            <w:tcW w:type="dxa" w:w="2400"/>
            <w:shd w:fill="EDF5F3" w:color="auto" w:val="clear"/>
            <w:tcMar>
              <w:top w:type="dxa" w:w="90"/>
              <w:left w:type="dxa" w:w="120"/>
              <w:bottom w:type="dxa" w:w="90"/>
              <w:right w:type="dxa" w:w="120"/>
            </w:tcMar>
            <w:vAlign w:val="center"/>
          </w:tcPr>
          <w:p>
            <w:pPr>
              <w:spacing w:line="260"/>
            </w:pPr>
            <w:r>
              <w:rPr>
                <w:b/>
                <w:bCs/>
                <w:color w:val="1E2A2E"/>
                <w:sz w:val="18"/>
                <w:szCs w:val="18"/>
              </w:rPr>
              <w:t xml:space="preserve">SQLite</w:t>
            </w:r>
          </w:p>
        </w:tc>
        <w:tc>
          <w:tcPr>
            <w:tcW w:type="dxa" w:w="3200"/>
            <w:shd w:fill="EDF5F3" w:color="auto" w:val="clear"/>
            <w:tcMar>
              <w:top w:type="dxa" w:w="90"/>
              <w:left w:type="dxa" w:w="120"/>
              <w:bottom w:type="dxa" w:w="90"/>
              <w:right w:type="dxa" w:w="120"/>
            </w:tcMar>
            <w:vAlign w:val="center"/>
          </w:tcPr>
          <w:p>
            <w:pPr>
              <w:spacing w:line="260"/>
            </w:pPr>
            <w:r>
              <w:rPr>
                <w:b w:val="false"/>
                <w:bCs w:val="false"/>
                <w:color w:val="1E2A2E"/>
                <w:sz w:val="18"/>
                <w:szCs w:val="18"/>
              </w:rPr>
              <w:t xml:space="preserve">Base de datos de la demo, con el historial de registros por niño.</w:t>
            </w:r>
          </w:p>
        </w:tc>
        <w:tc>
          <w:tcPr>
            <w:tcW w:type="dxa" w:w="3600"/>
            <w:shd w:fill="EDF5F3" w:color="auto" w:val="clear"/>
            <w:tcMar>
              <w:top w:type="dxa" w:w="90"/>
              <w:left w:type="dxa" w:w="120"/>
              <w:bottom w:type="dxa" w:w="90"/>
              <w:right w:type="dxa" w:w="120"/>
            </w:tcMar>
            <w:vAlign w:val="center"/>
          </w:tcPr>
          <w:p>
            <w:pPr>
              <w:spacing w:line="260"/>
            </w:pPr>
            <w:r>
              <w:rPr>
                <w:b w:val="false"/>
                <w:bCs w:val="false"/>
                <w:color w:val="1E2A2E"/>
                <w:sz w:val="18"/>
                <w:szCs w:val="18"/>
              </w:rPr>
              <w:t xml:space="preserve">Cero configuración de infraestructura, ideal para 48 horas; el esquema es directamente migrable a PostgreSQL.</w:t>
            </w:r>
          </w:p>
        </w:tc>
      </w:tr>
      <w:tr>
        <w:tc>
          <w:tcPr>
            <w:tcW w:type="dxa" w:w="2400"/>
            <w:shd w:fill="FFFFFF" w:color="auto" w:val="clear"/>
            <w:tcMar>
              <w:top w:type="dxa" w:w="90"/>
              <w:left w:type="dxa" w:w="120"/>
              <w:bottom w:type="dxa" w:w="90"/>
              <w:right w:type="dxa" w:w="120"/>
            </w:tcMar>
            <w:vAlign w:val="center"/>
          </w:tcPr>
          <w:p>
            <w:pPr>
              <w:spacing w:line="260"/>
            </w:pPr>
            <w:r>
              <w:rPr>
                <w:b/>
                <w:bCs/>
                <w:color w:val="1E2A2E"/>
                <w:sz w:val="18"/>
                <w:szCs w:val="18"/>
              </w:rPr>
              <w:t xml:space="preserve">PostgreSQL (roadmap)</w:t>
            </w:r>
          </w:p>
        </w:tc>
        <w:tc>
          <w:tcPr>
            <w:tcW w:type="dxa" w:w="32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Base de datos de una futura versión de producción integrada a Bluba.</w:t>
            </w:r>
          </w:p>
        </w:tc>
        <w:tc>
          <w:tcPr>
            <w:tcW w:type="dxa" w:w="36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Se menciona explícitamente en el pitch como el paso siguiente de escalamiento, no se implementa en el MVP.</w:t>
            </w:r>
          </w:p>
        </w:tc>
      </w:tr>
    </w:tbl>
    <w:p>
      <w:pPr>
        <w:spacing w:before="160"/>
      </w:pPr>
    </w:p>
    <w:p>
      <w:pPr>
        <w:pStyle w:val="Heading3"/>
        <w:spacing w:after="100" w:before="200"/>
      </w:pPr>
      <w:r>
        <w:rPr>
          <w:b/>
          <w:bCs/>
          <w:color w:val="00A896"/>
          <w:sz w:val="23"/>
          <w:szCs w:val="23"/>
        </w:rPr>
        <w:t xml:space="preserve">8.3 Interfaz y demo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600"/>
      </w:tblGrid>
      <w:tr>
        <w:tc>
          <w:tcPr>
            <w:tcW w:type="dxa" w:w="2400"/>
            <w:shd w:fill="028090" w:color="auto" w:val="clear"/>
            <w:tcMar>
              <w:top w:type="dxa" w:w="100"/>
              <w:left w:type="dxa" w:w="120"/>
              <w:bottom w:type="dxa" w:w="100"/>
              <w:right w:type="dxa" w:w="120"/>
            </w:tcMar>
            <w:vAlign w:val="center"/>
          </w:tcPr>
          <w:p>
            <w:r>
              <w:rPr>
                <w:b/>
                <w:bCs/>
                <w:color w:val="FFFFFF"/>
                <w:sz w:val="19"/>
                <w:szCs w:val="19"/>
              </w:rPr>
              <w:t xml:space="preserve">Herramienta</w:t>
            </w:r>
          </w:p>
        </w:tc>
        <w:tc>
          <w:tcPr>
            <w:tcW w:type="dxa" w:w="3200"/>
            <w:shd w:fill="028090" w:color="auto" w:val="clear"/>
            <w:tcMar>
              <w:top w:type="dxa" w:w="100"/>
              <w:left w:type="dxa" w:w="120"/>
              <w:bottom w:type="dxa" w:w="100"/>
              <w:right w:type="dxa" w:w="120"/>
            </w:tcMar>
            <w:vAlign w:val="center"/>
          </w:tcPr>
          <w:p>
            <w:r>
              <w:rPr>
                <w:b/>
                <w:bCs/>
                <w:color w:val="FFFFFF"/>
                <w:sz w:val="19"/>
                <w:szCs w:val="19"/>
              </w:rPr>
              <w:t xml:space="preserve">Uso en Antesala</w:t>
            </w:r>
          </w:p>
        </w:tc>
        <w:tc>
          <w:tcPr>
            <w:tcW w:type="dxa" w:w="3600"/>
            <w:shd w:fill="028090" w:color="auto" w:val="clear"/>
            <w:tcMar>
              <w:top w:type="dxa" w:w="100"/>
              <w:left w:type="dxa" w:w="120"/>
              <w:bottom w:type="dxa" w:w="100"/>
              <w:right w:type="dxa" w:w="120"/>
            </w:tcMar>
            <w:vAlign w:val="center"/>
          </w:tcPr>
          <w:p>
            <w:r>
              <w:rPr>
                <w:b/>
                <w:bCs/>
                <w:color w:val="FFFFFF"/>
                <w:sz w:val="19"/>
                <w:szCs w:val="19"/>
              </w:rPr>
              <w:t xml:space="preserve">Por qué se eligió</w:t>
            </w:r>
          </w:p>
        </w:tc>
      </w:tr>
      <w:tr>
        <w:tc>
          <w:tcPr>
            <w:tcW w:type="dxa" w:w="2400"/>
            <w:shd w:fill="FFFFFF" w:color="auto" w:val="clear"/>
            <w:tcMar>
              <w:top w:type="dxa" w:w="90"/>
              <w:left w:type="dxa" w:w="120"/>
              <w:bottom w:type="dxa" w:w="90"/>
              <w:right w:type="dxa" w:w="120"/>
            </w:tcMar>
            <w:vAlign w:val="center"/>
          </w:tcPr>
          <w:p>
            <w:pPr>
              <w:spacing w:line="260"/>
            </w:pPr>
            <w:r>
              <w:rPr>
                <w:b/>
                <w:bCs/>
                <w:color w:val="1E2A2E"/>
                <w:sz w:val="18"/>
                <w:szCs w:val="18"/>
              </w:rPr>
              <w:t xml:space="preserve">Streamlit</w:t>
            </w:r>
          </w:p>
        </w:tc>
        <w:tc>
          <w:tcPr>
            <w:tcW w:type="dxa" w:w="32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Interfaz de demostración: formulario de registro, panel de riesgo/confianza, pregunta activa del día.</w:t>
            </w:r>
          </w:p>
        </w:tc>
        <w:tc>
          <w:tcPr>
            <w:tcW w:type="dxa" w:w="36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Permite construir una interfaz funcional en horas en vez de días, sin sacrificar la posibilidad de mostrar gráficos y datos en vivo.</w:t>
            </w:r>
          </w:p>
        </w:tc>
      </w:tr>
      <w:tr>
        <w:tc>
          <w:tcPr>
            <w:tcW w:type="dxa" w:w="2400"/>
            <w:shd w:fill="EDF5F3" w:color="auto" w:val="clear"/>
            <w:tcMar>
              <w:top w:type="dxa" w:w="90"/>
              <w:left w:type="dxa" w:w="120"/>
              <w:bottom w:type="dxa" w:w="90"/>
              <w:right w:type="dxa" w:w="120"/>
            </w:tcMar>
            <w:vAlign w:val="center"/>
          </w:tcPr>
          <w:p>
            <w:pPr>
              <w:spacing w:line="260"/>
            </w:pPr>
            <w:r>
              <w:rPr>
                <w:b/>
                <w:bCs/>
                <w:color w:val="1E2A2E"/>
                <w:sz w:val="18"/>
                <w:szCs w:val="18"/>
              </w:rPr>
              <w:t xml:space="preserve">React (alternativa, si el equipo dispone de tiempo extra)</w:t>
            </w:r>
          </w:p>
        </w:tc>
        <w:tc>
          <w:tcPr>
            <w:tcW w:type="dxa" w:w="3200"/>
            <w:shd w:fill="EDF5F3" w:color="auto" w:val="clear"/>
            <w:tcMar>
              <w:top w:type="dxa" w:w="90"/>
              <w:left w:type="dxa" w:w="120"/>
              <w:bottom w:type="dxa" w:w="90"/>
              <w:right w:type="dxa" w:w="120"/>
            </w:tcMar>
            <w:vAlign w:val="center"/>
          </w:tcPr>
          <w:p>
            <w:pPr>
              <w:spacing w:line="260"/>
            </w:pPr>
            <w:r>
              <w:rPr>
                <w:b w:val="false"/>
                <w:bCs w:val="false"/>
                <w:color w:val="1E2A2E"/>
                <w:sz w:val="18"/>
                <w:szCs w:val="18"/>
              </w:rPr>
              <w:t xml:space="preserve">Interfaz más pulida para la presentación final, si el cronograma lo permite.</w:t>
            </w:r>
          </w:p>
        </w:tc>
        <w:tc>
          <w:tcPr>
            <w:tcW w:type="dxa" w:w="3600"/>
            <w:shd w:fill="EDF5F3" w:color="auto" w:val="clear"/>
            <w:tcMar>
              <w:top w:type="dxa" w:w="90"/>
              <w:left w:type="dxa" w:w="120"/>
              <w:bottom w:type="dxa" w:w="90"/>
              <w:right w:type="dxa" w:w="120"/>
            </w:tcMar>
            <w:vAlign w:val="center"/>
          </w:tcPr>
          <w:p>
            <w:pPr>
              <w:spacing w:line="260"/>
            </w:pPr>
            <w:r>
              <w:rPr>
                <w:b w:val="false"/>
                <w:bCs w:val="false"/>
                <w:color w:val="1E2A2E"/>
                <w:sz w:val="18"/>
                <w:szCs w:val="18"/>
              </w:rPr>
              <w:t xml:space="preserve">Mayor control visual; se evalúa como mejora opcional del día 3 (Sección 9), no como bloqueante.</w:t>
            </w:r>
          </w:p>
        </w:tc>
      </w:tr>
    </w:tbl>
    <w:p>
      <w:pPr>
        <w:spacing w:before="160"/>
      </w:pPr>
    </w:p>
    <w:p>
      <w:pPr>
        <w:pStyle w:val="Heading3"/>
        <w:spacing w:after="100" w:before="200"/>
      </w:pPr>
      <w:r>
        <w:rPr>
          <w:b/>
          <w:bCs/>
          <w:color w:val="00A896"/>
          <w:sz w:val="23"/>
          <w:szCs w:val="23"/>
        </w:rPr>
        <w:t xml:space="preserve">8.4 Extensiones opcionales (stretch goals)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600"/>
      </w:tblGrid>
      <w:tr>
        <w:tc>
          <w:tcPr>
            <w:tcW w:type="dxa" w:w="2400"/>
            <w:shd w:fill="028090" w:color="auto" w:val="clear"/>
            <w:tcMar>
              <w:top w:type="dxa" w:w="100"/>
              <w:left w:type="dxa" w:w="120"/>
              <w:bottom w:type="dxa" w:w="100"/>
              <w:right w:type="dxa" w:w="120"/>
            </w:tcMar>
            <w:vAlign w:val="center"/>
          </w:tcPr>
          <w:p>
            <w:r>
              <w:rPr>
                <w:b/>
                <w:bCs/>
                <w:color w:val="FFFFFF"/>
                <w:sz w:val="19"/>
                <w:szCs w:val="19"/>
              </w:rPr>
              <w:t xml:space="preserve">Herramienta</w:t>
            </w:r>
          </w:p>
        </w:tc>
        <w:tc>
          <w:tcPr>
            <w:tcW w:type="dxa" w:w="3200"/>
            <w:shd w:fill="028090" w:color="auto" w:val="clear"/>
            <w:tcMar>
              <w:top w:type="dxa" w:w="100"/>
              <w:left w:type="dxa" w:w="120"/>
              <w:bottom w:type="dxa" w:w="100"/>
              <w:right w:type="dxa" w:w="120"/>
            </w:tcMar>
            <w:vAlign w:val="center"/>
          </w:tcPr>
          <w:p>
            <w:r>
              <w:rPr>
                <w:b/>
                <w:bCs/>
                <w:color w:val="FFFFFF"/>
                <w:sz w:val="19"/>
                <w:szCs w:val="19"/>
              </w:rPr>
              <w:t xml:space="preserve">Uso en Antesala</w:t>
            </w:r>
          </w:p>
        </w:tc>
        <w:tc>
          <w:tcPr>
            <w:tcW w:type="dxa" w:w="3600"/>
            <w:shd w:fill="028090" w:color="auto" w:val="clear"/>
            <w:tcMar>
              <w:top w:type="dxa" w:w="100"/>
              <w:left w:type="dxa" w:w="120"/>
              <w:bottom w:type="dxa" w:w="100"/>
              <w:right w:type="dxa" w:w="120"/>
            </w:tcMar>
            <w:vAlign w:val="center"/>
          </w:tcPr>
          <w:p>
            <w:r>
              <w:rPr>
                <w:b/>
                <w:bCs/>
                <w:color w:val="FFFFFF"/>
                <w:sz w:val="19"/>
                <w:szCs w:val="19"/>
              </w:rPr>
              <w:t xml:space="preserve">Por qué se eligió</w:t>
            </w:r>
          </w:p>
        </w:tc>
      </w:tr>
      <w:tr>
        <w:tc>
          <w:tcPr>
            <w:tcW w:type="dxa" w:w="2400"/>
            <w:shd w:fill="FFFFFF" w:color="auto" w:val="clear"/>
            <w:tcMar>
              <w:top w:type="dxa" w:w="90"/>
              <w:left w:type="dxa" w:w="120"/>
              <w:bottom w:type="dxa" w:w="90"/>
              <w:right w:type="dxa" w:w="120"/>
            </w:tcMar>
            <w:vAlign w:val="center"/>
          </w:tcPr>
          <w:p>
            <w:pPr>
              <w:spacing w:line="260"/>
            </w:pPr>
            <w:r>
              <w:rPr>
                <w:b/>
                <w:bCs/>
                <w:color w:val="1E2A2E"/>
                <w:sz w:val="18"/>
                <w:szCs w:val="18"/>
              </w:rPr>
              <w:t xml:space="preserve">Whisper (OpenAI, código abierto)</w:t>
            </w:r>
          </w:p>
        </w:tc>
        <w:tc>
          <w:tcPr>
            <w:tcW w:type="dxa" w:w="32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Transcripción de notas de voz cortas de la familia a texto.</w:t>
            </w:r>
          </w:p>
        </w:tc>
        <w:tc>
          <w:tcPr>
            <w:tcW w:type="dxa" w:w="36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Reduce aún más la fricción de registro; se evalúa solo si el flujo base ya está sólido, dado el riesgo técnico de integrar audio en 48 horas.</w:t>
            </w:r>
          </w:p>
        </w:tc>
      </w:tr>
      <w:tr>
        <w:tc>
          <w:tcPr>
            <w:tcW w:type="dxa" w:w="2400"/>
            <w:shd w:fill="EDF5F3" w:color="auto" w:val="clear"/>
            <w:tcMar>
              <w:top w:type="dxa" w:w="90"/>
              <w:left w:type="dxa" w:w="120"/>
              <w:bottom w:type="dxa" w:w="90"/>
              <w:right w:type="dxa" w:w="120"/>
            </w:tcMar>
            <w:vAlign w:val="center"/>
          </w:tcPr>
          <w:p>
            <w:pPr>
              <w:spacing w:line="260"/>
            </w:pPr>
            <w:r>
              <w:rPr>
                <w:b/>
                <w:bCs/>
                <w:color w:val="1E2A2E"/>
                <w:sz w:val="18"/>
                <w:szCs w:val="18"/>
              </w:rPr>
              <w:t xml:space="preserve">Extracción a JSON estructurado vía LLM</w:t>
            </w:r>
          </w:p>
        </w:tc>
        <w:tc>
          <w:tcPr>
            <w:tcW w:type="dxa" w:w="3200"/>
            <w:shd w:fill="EDF5F3" w:color="auto" w:val="clear"/>
            <w:tcMar>
              <w:top w:type="dxa" w:w="90"/>
              <w:left w:type="dxa" w:w="120"/>
              <w:bottom w:type="dxa" w:w="90"/>
              <w:right w:type="dxa" w:w="120"/>
            </w:tcMar>
            <w:vAlign w:val="center"/>
          </w:tcPr>
          <w:p>
            <w:pPr>
              <w:spacing w:line="260"/>
            </w:pPr>
            <w:r>
              <w:rPr>
                <w:b w:val="false"/>
                <w:bCs w:val="false"/>
                <w:color w:val="1E2A2E"/>
                <w:sz w:val="18"/>
                <w:szCs w:val="18"/>
              </w:rPr>
              <w:t xml:space="preserve">Convierte la transcripción de voz en campos estructurados de la bitácora, con pantalla de confirmación antes de guardar.</w:t>
            </w:r>
          </w:p>
        </w:tc>
        <w:tc>
          <w:tcPr>
            <w:tcW w:type="dxa" w:w="3600"/>
            <w:shd w:fill="EDF5F3" w:color="auto" w:val="clear"/>
            <w:tcMar>
              <w:top w:type="dxa" w:w="90"/>
              <w:left w:type="dxa" w:w="120"/>
              <w:bottom w:type="dxa" w:w="90"/>
              <w:right w:type="dxa" w:w="120"/>
            </w:tcMar>
            <w:vAlign w:val="center"/>
          </w:tcPr>
          <w:p>
            <w:pPr>
              <w:spacing w:line="260"/>
            </w:pPr>
            <w:r>
              <w:rPr>
                <w:b w:val="false"/>
                <w:bCs w:val="false"/>
                <w:color w:val="1E2A2E"/>
                <w:sz w:val="18"/>
                <w:szCs w:val="18"/>
              </w:rPr>
              <w:t xml:space="preserve">Evita que un error de transcripción se registre como un dato clínico; mantiene siempre control humano sobre el dato final.</w:t>
            </w:r>
          </w:p>
        </w:tc>
      </w:tr>
    </w:tbl>
    <w:p>
      <w:pPr>
        <w:spacing w:before="160"/>
      </w:pPr>
    </w:p>
    <w:p>
      <w:pPr>
        <w:pStyle w:val="Heading3"/>
        <w:spacing w:after="100" w:before="200"/>
      </w:pPr>
      <w:r>
        <w:rPr>
          <w:b/>
          <w:bCs/>
          <w:color w:val="00A896"/>
          <w:sz w:val="23"/>
          <w:szCs w:val="23"/>
        </w:rPr>
        <w:t xml:space="preserve">8.5 Control de versiones y entrega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600"/>
      </w:tblGrid>
      <w:tr>
        <w:tc>
          <w:tcPr>
            <w:tcW w:type="dxa" w:w="2400"/>
            <w:shd w:fill="028090" w:color="auto" w:val="clear"/>
            <w:tcMar>
              <w:top w:type="dxa" w:w="100"/>
              <w:left w:type="dxa" w:w="120"/>
              <w:bottom w:type="dxa" w:w="100"/>
              <w:right w:type="dxa" w:w="120"/>
            </w:tcMar>
            <w:vAlign w:val="center"/>
          </w:tcPr>
          <w:p>
            <w:r>
              <w:rPr>
                <w:b/>
                <w:bCs/>
                <w:color w:val="FFFFFF"/>
                <w:sz w:val="19"/>
                <w:szCs w:val="19"/>
              </w:rPr>
              <w:t xml:space="preserve">Herramienta</w:t>
            </w:r>
          </w:p>
        </w:tc>
        <w:tc>
          <w:tcPr>
            <w:tcW w:type="dxa" w:w="3200"/>
            <w:shd w:fill="028090" w:color="auto" w:val="clear"/>
            <w:tcMar>
              <w:top w:type="dxa" w:w="100"/>
              <w:left w:type="dxa" w:w="120"/>
              <w:bottom w:type="dxa" w:w="100"/>
              <w:right w:type="dxa" w:w="120"/>
            </w:tcMar>
            <w:vAlign w:val="center"/>
          </w:tcPr>
          <w:p>
            <w:r>
              <w:rPr>
                <w:b/>
                <w:bCs/>
                <w:color w:val="FFFFFF"/>
                <w:sz w:val="19"/>
                <w:szCs w:val="19"/>
              </w:rPr>
              <w:t xml:space="preserve">Uso en Antesala</w:t>
            </w:r>
          </w:p>
        </w:tc>
        <w:tc>
          <w:tcPr>
            <w:tcW w:type="dxa" w:w="3600"/>
            <w:shd w:fill="028090" w:color="auto" w:val="clear"/>
            <w:tcMar>
              <w:top w:type="dxa" w:w="100"/>
              <w:left w:type="dxa" w:w="120"/>
              <w:bottom w:type="dxa" w:w="100"/>
              <w:right w:type="dxa" w:w="120"/>
            </w:tcMar>
            <w:vAlign w:val="center"/>
          </w:tcPr>
          <w:p>
            <w:r>
              <w:rPr>
                <w:b/>
                <w:bCs/>
                <w:color w:val="FFFFFF"/>
                <w:sz w:val="19"/>
                <w:szCs w:val="19"/>
              </w:rPr>
              <w:t xml:space="preserve">Por qué se eligió</w:t>
            </w:r>
          </w:p>
        </w:tc>
      </w:tr>
      <w:tr>
        <w:tc>
          <w:tcPr>
            <w:tcW w:type="dxa" w:w="2400"/>
            <w:shd w:fill="FFFFFF" w:color="auto" w:val="clear"/>
            <w:tcMar>
              <w:top w:type="dxa" w:w="90"/>
              <w:left w:type="dxa" w:w="120"/>
              <w:bottom w:type="dxa" w:w="90"/>
              <w:right w:type="dxa" w:w="120"/>
            </w:tcMar>
            <w:vAlign w:val="center"/>
          </w:tcPr>
          <w:p>
            <w:pPr>
              <w:spacing w:line="260"/>
            </w:pPr>
            <w:r>
              <w:rPr>
                <w:b/>
                <w:bCs/>
                <w:color w:val="1E2A2E"/>
                <w:sz w:val="18"/>
                <w:szCs w:val="18"/>
              </w:rPr>
              <w:t xml:space="preserve">Git / GitHub</w:t>
            </w:r>
          </w:p>
        </w:tc>
        <w:tc>
          <w:tcPr>
            <w:tcW w:type="dxa" w:w="32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Control de versiones del código y evidencia de avance técnico para la fase de selección.</w:t>
            </w:r>
          </w:p>
        </w:tc>
        <w:tc>
          <w:tcPr>
            <w:tcW w:type="dxa" w:w="36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Requisito implícito de las bases: se pide incluir enlaces a repositorio como evidencia de avance.</w:t>
            </w:r>
          </w:p>
        </w:tc>
      </w:tr>
      <w:tr>
        <w:tc>
          <w:tcPr>
            <w:tcW w:type="dxa" w:w="2400"/>
            <w:shd w:fill="EDF5F3" w:color="auto" w:val="clear"/>
            <w:tcMar>
              <w:top w:type="dxa" w:w="90"/>
              <w:left w:type="dxa" w:w="120"/>
              <w:bottom w:type="dxa" w:w="90"/>
              <w:right w:type="dxa" w:w="120"/>
            </w:tcMar>
            <w:vAlign w:val="center"/>
          </w:tcPr>
          <w:p>
            <w:pPr>
              <w:spacing w:line="260"/>
            </w:pPr>
            <w:r>
              <w:rPr>
                <w:b/>
                <w:bCs/>
                <w:color w:val="1E2A2E"/>
                <w:sz w:val="18"/>
                <w:szCs w:val="18"/>
              </w:rPr>
              <w:t xml:space="preserve">Docker (opcional)</w:t>
            </w:r>
          </w:p>
        </w:tc>
        <w:tc>
          <w:tcPr>
            <w:tcW w:type="dxa" w:w="3200"/>
            <w:shd w:fill="EDF5F3" w:color="auto" w:val="clear"/>
            <w:tcMar>
              <w:top w:type="dxa" w:w="90"/>
              <w:left w:type="dxa" w:w="120"/>
              <w:bottom w:type="dxa" w:w="90"/>
              <w:right w:type="dxa" w:w="120"/>
            </w:tcMar>
            <w:vAlign w:val="center"/>
          </w:tcPr>
          <w:p>
            <w:pPr>
              <w:spacing w:line="260"/>
            </w:pPr>
            <w:r>
              <w:rPr>
                <w:b w:val="false"/>
                <w:bCs w:val="false"/>
                <w:color w:val="1E2A2E"/>
                <w:sz w:val="18"/>
                <w:szCs w:val="18"/>
              </w:rPr>
              <w:t xml:space="preserve">Empaquetado del backend y la base de datos para reproducibilidad.</w:t>
            </w:r>
          </w:p>
        </w:tc>
        <w:tc>
          <w:tcPr>
            <w:tcW w:type="dxa" w:w="3600"/>
            <w:shd w:fill="EDF5F3" w:color="auto" w:val="clear"/>
            <w:tcMar>
              <w:top w:type="dxa" w:w="90"/>
              <w:left w:type="dxa" w:w="120"/>
              <w:bottom w:type="dxa" w:w="90"/>
              <w:right w:type="dxa" w:w="120"/>
            </w:tcMar>
            <w:vAlign w:val="center"/>
          </w:tcPr>
          <w:p>
            <w:pPr>
              <w:spacing w:line="260"/>
            </w:pPr>
            <w:r>
              <w:rPr>
                <w:b w:val="false"/>
                <w:bCs w:val="false"/>
                <w:color w:val="1E2A2E"/>
                <w:sz w:val="18"/>
                <w:szCs w:val="18"/>
              </w:rPr>
              <w:t xml:space="preserve">No es crítico para una demo local, pero refuerza el criterio de viabilidad si se muestra como parte del roadmap.</w:t>
            </w:r>
          </w:p>
        </w:tc>
      </w:tr>
    </w:tbl>
    <w:p>
      <w:pPr>
        <w:spacing w:before="160"/>
      </w:pPr>
    </w:p>
    <w:p>
      <w:r>
        <w:br w:type="page"/>
      </w:r>
    </w:p>
    <w:p>
      <w:pPr>
        <w:pStyle w:val="Heading1"/>
        <w:spacing w:after="200" w:before="400"/>
      </w:pPr>
      <w:bookmarkStart w:name="sec9" w:id="1008"/>
      <w:r>
        <w:rPr>
          <w:b/>
          <w:bCs/>
          <w:color w:val="028090"/>
          <w:sz w:val="32"/>
          <w:szCs w:val="32"/>
        </w:rPr>
        <w:t xml:space="preserve">9. Carta Gantt — plan de trabajo por día</w:t>
      </w:r>
      <w:bookmarkEnd w:id="1008"/>
    </w:p>
    <w:p>
      <w:pPr>
        <w:spacing w:after="160" w:line="300"/>
        <w:jc w:val="both"/>
      </w:pPr>
      <w:r>
        <w:rPr>
          <w:color w:val="1E2A2E"/>
          <w:sz w:val="21"/>
          <w:szCs w:val="21"/>
        </w:rPr>
        <w:t xml:space="preserve">El cronograma se ajusta a las fechas oficiales de la hackatón: lanzamiento el 24 de agosto, trabajo autónomo hasta el 26 de agosto a las 23:59 (fecha límite de entrega de avance), evaluación de finalistas el 27 de agosto, y evento final el 28 de agosto. El plan prioriza tener siempre una versión mínima funcional (el score heurístico de la Sección 6.1) antes de invertir tiempo en las piezas más sofisticadas, de modo que un imprevisto técnico nunca deje al equipo sin nada que mostrar.</w:t>
      </w:r>
    </w:p>
    <w:p>
      <w:pPr>
        <w:pStyle w:val="Heading2"/>
        <w:spacing w:after="150" w:before="300"/>
      </w:pPr>
      <w:r>
        <w:rPr>
          <w:b/>
          <w:bCs/>
          <w:color w:val="1E2A2E"/>
          <w:sz w:val="26"/>
          <w:szCs w:val="26"/>
        </w:rPr>
        <w:t xml:space="preserve">Día 1 — Lunes 24 de agosto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4600"/>
      </w:tblGrid>
      <w:tr>
        <w:tc>
          <w:tcPr>
            <w:tcW w:type="dxa" w:w="1500"/>
            <w:shd w:fill="028090" w:color="auto" w:val="clear"/>
            <w:tcMar>
              <w:top w:type="dxa" w:w="100"/>
              <w:left w:type="dxa" w:w="120"/>
              <w:bottom w:type="dxa" w:w="100"/>
              <w:right w:type="dxa" w:w="120"/>
            </w:tcMar>
            <w:vAlign w:val="center"/>
          </w:tcPr>
          <w:p>
            <w:r>
              <w:rPr>
                <w:b/>
                <w:bCs/>
                <w:color w:val="FFFFFF"/>
                <w:sz w:val="19"/>
                <w:szCs w:val="19"/>
              </w:rPr>
              <w:t xml:space="preserve">Bloque</w:t>
            </w:r>
          </w:p>
        </w:tc>
        <w:tc>
          <w:tcPr>
            <w:tcW w:type="dxa" w:w="3300"/>
            <w:shd w:fill="028090" w:color="auto" w:val="clear"/>
            <w:tcMar>
              <w:top w:type="dxa" w:w="100"/>
              <w:left w:type="dxa" w:w="120"/>
              <w:bottom w:type="dxa" w:w="100"/>
              <w:right w:type="dxa" w:w="120"/>
            </w:tcMar>
            <w:vAlign w:val="center"/>
          </w:tcPr>
          <w:p>
            <w:r>
              <w:rPr>
                <w:b/>
                <w:bCs/>
                <w:color w:val="FFFFFF"/>
                <w:sz w:val="19"/>
                <w:szCs w:val="19"/>
              </w:rPr>
              <w:t xml:space="preserve">Objetivo principal</w:t>
            </w:r>
          </w:p>
        </w:tc>
        <w:tc>
          <w:tcPr>
            <w:tcW w:type="dxa" w:w="4600"/>
            <w:shd w:fill="028090" w:color="auto" w:val="clear"/>
            <w:tcMar>
              <w:top w:type="dxa" w:w="100"/>
              <w:left w:type="dxa" w:w="120"/>
              <w:bottom w:type="dxa" w:w="100"/>
              <w:right w:type="dxa" w:w="120"/>
            </w:tcMar>
            <w:vAlign w:val="center"/>
          </w:tcPr>
          <w:p>
            <w:r>
              <w:rPr>
                <w:b/>
                <w:bCs/>
                <w:color w:val="FFFFFF"/>
                <w:sz w:val="19"/>
                <w:szCs w:val="19"/>
              </w:rPr>
              <w:t xml:space="preserve">Tareas clave</w:t>
            </w:r>
          </w:p>
        </w:tc>
      </w:tr>
      <w:tr>
        <w:tc>
          <w:tcPr>
            <w:tcW w:type="dxa" w:w="1500"/>
            <w:shd w:fill="FFFFFF" w:color="auto" w:val="clear"/>
            <w:tcMar>
              <w:top w:type="dxa" w:w="90"/>
              <w:left w:type="dxa" w:w="120"/>
              <w:bottom w:type="dxa" w:w="90"/>
              <w:right w:type="dxa" w:w="120"/>
            </w:tcMar>
            <w:vAlign w:val="center"/>
          </w:tcPr>
          <w:p>
            <w:pPr>
              <w:spacing w:line="260"/>
            </w:pPr>
            <w:r>
              <w:rPr>
                <w:b/>
                <w:bCs/>
                <w:color w:val="1E2A2E"/>
                <w:sz w:val="18"/>
                <w:szCs w:val="18"/>
              </w:rPr>
              <w:t xml:space="preserve">11:00–13:00</w:t>
            </w:r>
          </w:p>
        </w:tc>
        <w:tc>
          <w:tcPr>
            <w:tcW w:type="dxa" w:w="3300"/>
            <w:shd w:fill="FFFFFF" w:color="auto" w:val="clear"/>
            <w:tcMar>
              <w:top w:type="dxa" w:w="90"/>
              <w:left w:type="dxa" w:w="120"/>
              <w:bottom w:type="dxa" w:w="90"/>
              <w:right w:type="dxa" w:w="120"/>
            </w:tcMar>
            <w:vAlign w:val="center"/>
          </w:tcPr>
          <w:p>
            <w:pPr>
              <w:spacing w:line="260"/>
            </w:pPr>
            <w:r>
              <w:rPr>
                <w:b/>
                <w:bCs/>
                <w:color w:val="1E2A2E"/>
                <w:sz w:val="18"/>
                <w:szCs w:val="18"/>
              </w:rPr>
              <w:t xml:space="preserve">Lanzamiento oficial y networking</w:t>
            </w:r>
          </w:p>
        </w:tc>
        <w:tc>
          <w:tcPr>
            <w:tcW w:type="dxa" w:w="46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Asistir a la presentación del desafío Bluba; confirmar equipo y académica tutora; escuchar mentorías de postgrado; identificar dudas para aclarar por correo (post_inge@ufrontera.cl).</w:t>
            </w:r>
          </w:p>
        </w:tc>
      </w:tr>
      <w:tr>
        <w:tc>
          <w:tcPr>
            <w:tcW w:type="dxa" w:w="1500"/>
            <w:shd w:fill="EDF5F3" w:color="auto" w:val="clear"/>
            <w:tcMar>
              <w:top w:type="dxa" w:w="90"/>
              <w:left w:type="dxa" w:w="120"/>
              <w:bottom w:type="dxa" w:w="90"/>
              <w:right w:type="dxa" w:w="120"/>
            </w:tcMar>
            <w:vAlign w:val="center"/>
          </w:tcPr>
          <w:p>
            <w:pPr>
              <w:spacing w:line="260"/>
            </w:pPr>
            <w:r>
              <w:rPr>
                <w:b/>
                <w:bCs/>
                <w:color w:val="1E2A2E"/>
                <w:sz w:val="18"/>
                <w:szCs w:val="18"/>
              </w:rPr>
              <w:t xml:space="preserve">14:00–19:00</w:t>
            </w:r>
          </w:p>
        </w:tc>
        <w:tc>
          <w:tcPr>
            <w:tcW w:type="dxa" w:w="3300"/>
            <w:shd w:fill="EDF5F3" w:color="auto" w:val="clear"/>
            <w:tcMar>
              <w:top w:type="dxa" w:w="90"/>
              <w:left w:type="dxa" w:w="120"/>
              <w:bottom w:type="dxa" w:w="90"/>
              <w:right w:type="dxa" w:w="120"/>
            </w:tcMar>
            <w:vAlign w:val="center"/>
          </w:tcPr>
          <w:p>
            <w:pPr>
              <w:spacing w:line="260"/>
            </w:pPr>
            <w:r>
              <w:rPr>
                <w:b/>
                <w:bCs/>
                <w:color w:val="1E2A2E"/>
                <w:sz w:val="18"/>
                <w:szCs w:val="18"/>
              </w:rPr>
              <w:t xml:space="preserve">Kickoff interno y diseño de datos</w:t>
            </w:r>
          </w:p>
        </w:tc>
        <w:tc>
          <w:tcPr>
            <w:tcW w:type="dxa" w:w="4600"/>
            <w:shd w:fill="EDF5F3" w:color="auto" w:val="clear"/>
            <w:tcMar>
              <w:top w:type="dxa" w:w="90"/>
              <w:left w:type="dxa" w:w="120"/>
              <w:bottom w:type="dxa" w:w="90"/>
              <w:right w:type="dxa" w:w="120"/>
            </w:tcMar>
            <w:vAlign w:val="center"/>
          </w:tcPr>
          <w:p>
            <w:pPr>
              <w:spacing w:line="260"/>
            </w:pPr>
            <w:r>
              <w:rPr>
                <w:b w:val="false"/>
                <w:bCs w:val="false"/>
                <w:color w:val="1E2A2E"/>
                <w:sz w:val="18"/>
                <w:szCs w:val="18"/>
              </w:rPr>
              <w:t xml:space="preserve">Repartir roles (datos/modelo, backend, interfaz, pitch); definir el esquema completo de variables (Sección 4); generar el dataset sintético inicial con pandas y PyGrinder para simular escenarios de datos faltantes.</w:t>
            </w:r>
          </w:p>
        </w:tc>
      </w:tr>
      <w:tr>
        <w:tc>
          <w:tcPr>
            <w:tcW w:type="dxa" w:w="1500"/>
            <w:shd w:fill="FFFFFF" w:color="auto" w:val="clear"/>
            <w:tcMar>
              <w:top w:type="dxa" w:w="90"/>
              <w:left w:type="dxa" w:w="120"/>
              <w:bottom w:type="dxa" w:w="90"/>
              <w:right w:type="dxa" w:w="120"/>
            </w:tcMar>
            <w:vAlign w:val="center"/>
          </w:tcPr>
          <w:p>
            <w:pPr>
              <w:spacing w:line="260"/>
            </w:pPr>
            <w:r>
              <w:rPr>
                <w:b/>
                <w:bCs/>
                <w:color w:val="1E2A2E"/>
                <w:sz w:val="18"/>
                <w:szCs w:val="18"/>
              </w:rPr>
              <w:t xml:space="preserve">19:00–21:00</w:t>
            </w:r>
          </w:p>
        </w:tc>
        <w:tc>
          <w:tcPr>
            <w:tcW w:type="dxa" w:w="3300"/>
            <w:shd w:fill="FFFFFF" w:color="auto" w:val="clear"/>
            <w:tcMar>
              <w:top w:type="dxa" w:w="90"/>
              <w:left w:type="dxa" w:w="120"/>
              <w:bottom w:type="dxa" w:w="90"/>
              <w:right w:type="dxa" w:w="120"/>
            </w:tcMar>
            <w:vAlign w:val="center"/>
          </w:tcPr>
          <w:p>
            <w:pPr>
              <w:spacing w:line="260"/>
            </w:pPr>
            <w:r>
              <w:rPr>
                <w:b/>
                <w:bCs/>
                <w:color w:val="1E2A2E"/>
                <w:sz w:val="18"/>
                <w:szCs w:val="18"/>
              </w:rPr>
              <w:t xml:space="preserve">Prototipo del score heurístico</w:t>
            </w:r>
          </w:p>
        </w:tc>
        <w:tc>
          <w:tcPr>
            <w:tcW w:type="dxa" w:w="46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Implementar la versión más simple posible del modelo de riesgo (Sección 6.1, nivel de respaldo), para asegurar que exista una demo mínima funcional desde el primer día.</w:t>
            </w:r>
          </w:p>
        </w:tc>
      </w:tr>
    </w:tbl>
    <w:p>
      <w:pPr>
        <w:spacing w:before="200"/>
      </w:pPr>
    </w:p>
    <w:p>
      <w:pPr>
        <w:pStyle w:val="Heading2"/>
        <w:spacing w:after="150" w:before="300"/>
      </w:pPr>
      <w:r>
        <w:rPr>
          <w:b/>
          <w:bCs/>
          <w:color w:val="1E2A2E"/>
          <w:sz w:val="26"/>
          <w:szCs w:val="26"/>
        </w:rPr>
        <w:t xml:space="preserve">Día 2 — Martes 25 de agosto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4600"/>
      </w:tblGrid>
      <w:tr>
        <w:tc>
          <w:tcPr>
            <w:tcW w:type="dxa" w:w="1500"/>
            <w:shd w:fill="028090" w:color="auto" w:val="clear"/>
            <w:tcMar>
              <w:top w:type="dxa" w:w="100"/>
              <w:left w:type="dxa" w:w="120"/>
              <w:bottom w:type="dxa" w:w="100"/>
              <w:right w:type="dxa" w:w="120"/>
            </w:tcMar>
            <w:vAlign w:val="center"/>
          </w:tcPr>
          <w:p>
            <w:r>
              <w:rPr>
                <w:b/>
                <w:bCs/>
                <w:color w:val="FFFFFF"/>
                <w:sz w:val="19"/>
                <w:szCs w:val="19"/>
              </w:rPr>
              <w:t xml:space="preserve">Bloque</w:t>
            </w:r>
          </w:p>
        </w:tc>
        <w:tc>
          <w:tcPr>
            <w:tcW w:type="dxa" w:w="3300"/>
            <w:shd w:fill="028090" w:color="auto" w:val="clear"/>
            <w:tcMar>
              <w:top w:type="dxa" w:w="100"/>
              <w:left w:type="dxa" w:w="120"/>
              <w:bottom w:type="dxa" w:w="100"/>
              <w:right w:type="dxa" w:w="120"/>
            </w:tcMar>
            <w:vAlign w:val="center"/>
          </w:tcPr>
          <w:p>
            <w:r>
              <w:rPr>
                <w:b/>
                <w:bCs/>
                <w:color w:val="FFFFFF"/>
                <w:sz w:val="19"/>
                <w:szCs w:val="19"/>
              </w:rPr>
              <w:t xml:space="preserve">Objetivo principal</w:t>
            </w:r>
          </w:p>
        </w:tc>
        <w:tc>
          <w:tcPr>
            <w:tcW w:type="dxa" w:w="4600"/>
            <w:shd w:fill="028090" w:color="auto" w:val="clear"/>
            <w:tcMar>
              <w:top w:type="dxa" w:w="100"/>
              <w:left w:type="dxa" w:w="120"/>
              <w:bottom w:type="dxa" w:w="100"/>
              <w:right w:type="dxa" w:w="120"/>
            </w:tcMar>
            <w:vAlign w:val="center"/>
          </w:tcPr>
          <w:p>
            <w:r>
              <w:rPr>
                <w:b/>
                <w:bCs/>
                <w:color w:val="FFFFFF"/>
                <w:sz w:val="19"/>
                <w:szCs w:val="19"/>
              </w:rPr>
              <w:t xml:space="preserve">Tareas clave</w:t>
            </w:r>
          </w:p>
        </w:tc>
      </w:tr>
      <w:tr>
        <w:tc>
          <w:tcPr>
            <w:tcW w:type="dxa" w:w="1500"/>
            <w:shd w:fill="FFFFFF" w:color="auto" w:val="clear"/>
            <w:tcMar>
              <w:top w:type="dxa" w:w="90"/>
              <w:left w:type="dxa" w:w="120"/>
              <w:bottom w:type="dxa" w:w="90"/>
              <w:right w:type="dxa" w:w="120"/>
            </w:tcMar>
            <w:vAlign w:val="center"/>
          </w:tcPr>
          <w:p>
            <w:pPr>
              <w:spacing w:line="260"/>
            </w:pPr>
            <w:r>
              <w:rPr>
                <w:b/>
                <w:bCs/>
                <w:color w:val="1E2A2E"/>
                <w:sz w:val="18"/>
                <w:szCs w:val="18"/>
              </w:rPr>
              <w:t xml:space="preserve">Mañana</w:t>
            </w:r>
          </w:p>
        </w:tc>
        <w:tc>
          <w:tcPr>
            <w:tcW w:type="dxa" w:w="3300"/>
            <w:shd w:fill="FFFFFF" w:color="auto" w:val="clear"/>
            <w:tcMar>
              <w:top w:type="dxa" w:w="90"/>
              <w:left w:type="dxa" w:w="120"/>
              <w:bottom w:type="dxa" w:w="90"/>
              <w:right w:type="dxa" w:w="120"/>
            </w:tcMar>
            <w:vAlign w:val="center"/>
          </w:tcPr>
          <w:p>
            <w:pPr>
              <w:spacing w:line="260"/>
            </w:pPr>
            <w:r>
              <w:rPr>
                <w:b/>
                <w:bCs/>
                <w:color w:val="1E2A2E"/>
                <w:sz w:val="18"/>
                <w:szCs w:val="18"/>
              </w:rPr>
              <w:t xml:space="preserve">Pipeline de datos completo</w:t>
            </w:r>
          </w:p>
        </w:tc>
        <w:tc>
          <w:tcPr>
            <w:tcW w:type="dxa" w:w="46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Implementar ventanas móviles, indicadores de ausencia y antigüedad (Sección 4.3–4.4); implementar el shrinkage bayesiano jerárquico (Sección 3.4) sobre el dataset sintético.</w:t>
            </w:r>
          </w:p>
        </w:tc>
      </w:tr>
      <w:tr>
        <w:tc>
          <w:tcPr>
            <w:tcW w:type="dxa" w:w="1500"/>
            <w:shd w:fill="EDF5F3" w:color="auto" w:val="clear"/>
            <w:tcMar>
              <w:top w:type="dxa" w:w="90"/>
              <w:left w:type="dxa" w:w="120"/>
              <w:bottom w:type="dxa" w:w="90"/>
              <w:right w:type="dxa" w:w="120"/>
            </w:tcMar>
            <w:vAlign w:val="center"/>
          </w:tcPr>
          <w:p>
            <w:pPr>
              <w:spacing w:line="260"/>
            </w:pPr>
            <w:r>
              <w:rPr>
                <w:b/>
                <w:bCs/>
                <w:color w:val="1E2A2E"/>
                <w:sz w:val="18"/>
                <w:szCs w:val="18"/>
              </w:rPr>
              <w:t xml:space="preserve">Tarde</w:t>
            </w:r>
          </w:p>
        </w:tc>
        <w:tc>
          <w:tcPr>
            <w:tcW w:type="dxa" w:w="3300"/>
            <w:shd w:fill="EDF5F3" w:color="auto" w:val="clear"/>
            <w:tcMar>
              <w:top w:type="dxa" w:w="90"/>
              <w:left w:type="dxa" w:w="120"/>
              <w:bottom w:type="dxa" w:w="90"/>
              <w:right w:type="dxa" w:w="120"/>
            </w:tcMar>
            <w:vAlign w:val="center"/>
          </w:tcPr>
          <w:p>
            <w:pPr>
              <w:spacing w:line="260"/>
            </w:pPr>
            <w:r>
              <w:rPr>
                <w:b/>
                <w:bCs/>
                <w:color w:val="1E2A2E"/>
                <w:sz w:val="18"/>
                <w:szCs w:val="18"/>
              </w:rPr>
              <w:t xml:space="preserve">Modelo de riesgo principal</w:t>
            </w:r>
          </w:p>
        </w:tc>
        <w:tc>
          <w:tcPr>
            <w:tcW w:type="dxa" w:w="4600"/>
            <w:shd w:fill="EDF5F3" w:color="auto" w:val="clear"/>
            <w:tcMar>
              <w:top w:type="dxa" w:w="90"/>
              <w:left w:type="dxa" w:w="120"/>
              <w:bottom w:type="dxa" w:w="90"/>
              <w:right w:type="dxa" w:w="120"/>
            </w:tcMar>
            <w:vAlign w:val="center"/>
          </w:tcPr>
          <w:p>
            <w:pPr>
              <w:spacing w:line="260"/>
            </w:pPr>
            <w:r>
              <w:rPr>
                <w:b w:val="false"/>
                <w:bCs w:val="false"/>
                <w:color w:val="1E2A2E"/>
                <w:sz w:val="18"/>
                <w:szCs w:val="18"/>
              </w:rPr>
              <w:t xml:space="preserve">Entrenar el Random Forest / LightGBM sobre las variables procesadas; validar feature importance; conectar el modelo con el ajuste bayesiano de línea base.</w:t>
            </w:r>
          </w:p>
        </w:tc>
      </w:tr>
      <w:tr>
        <w:tc>
          <w:tcPr>
            <w:tcW w:type="dxa" w:w="1500"/>
            <w:shd w:fill="FFFFFF" w:color="auto" w:val="clear"/>
            <w:tcMar>
              <w:top w:type="dxa" w:w="90"/>
              <w:left w:type="dxa" w:w="120"/>
              <w:bottom w:type="dxa" w:w="90"/>
              <w:right w:type="dxa" w:w="120"/>
            </w:tcMar>
            <w:vAlign w:val="center"/>
          </w:tcPr>
          <w:p>
            <w:pPr>
              <w:spacing w:line="260"/>
            </w:pPr>
            <w:r>
              <w:rPr>
                <w:b/>
                <w:bCs/>
                <w:color w:val="1E2A2E"/>
                <w:sz w:val="18"/>
                <w:szCs w:val="18"/>
              </w:rPr>
              <w:t xml:space="preserve">Noche</w:t>
            </w:r>
          </w:p>
        </w:tc>
        <w:tc>
          <w:tcPr>
            <w:tcW w:type="dxa" w:w="3300"/>
            <w:shd w:fill="FFFFFF" w:color="auto" w:val="clear"/>
            <w:tcMar>
              <w:top w:type="dxa" w:w="90"/>
              <w:left w:type="dxa" w:w="120"/>
              <w:bottom w:type="dxa" w:w="90"/>
              <w:right w:type="dxa" w:w="120"/>
            </w:tcMar>
            <w:vAlign w:val="center"/>
          </w:tcPr>
          <w:p>
            <w:pPr>
              <w:spacing w:line="260"/>
            </w:pPr>
            <w:r>
              <w:rPr>
                <w:b/>
                <w:bCs/>
                <w:color w:val="1E2A2E"/>
                <w:sz w:val="18"/>
                <w:szCs w:val="18"/>
              </w:rPr>
              <w:t xml:space="preserve">Cálculo de confianza</w:t>
            </w:r>
          </w:p>
        </w:tc>
        <w:tc>
          <w:tcPr>
            <w:tcW w:type="dxa" w:w="46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Implementar la fórmula de confianza (Sección 6.2, completitud × factor de historial); probar con los escenarios generados por PyGrinder (datos completos, parciales y ausentes).</w:t>
            </w:r>
          </w:p>
        </w:tc>
      </w:tr>
    </w:tbl>
    <w:p>
      <w:pPr>
        <w:spacing w:before="200"/>
      </w:pPr>
    </w:p>
    <w:p>
      <w:pPr>
        <w:pStyle w:val="Heading2"/>
        <w:spacing w:after="150" w:before="300"/>
      </w:pPr>
      <w:r>
        <w:rPr>
          <w:b/>
          <w:bCs/>
          <w:color w:val="1E2A2E"/>
          <w:sz w:val="26"/>
          <w:szCs w:val="26"/>
        </w:rPr>
        <w:t xml:space="preserve">Día 3 — Miércoles 26 de agosto (entrega de avance a las 23:59)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4600"/>
      </w:tblGrid>
      <w:tr>
        <w:tc>
          <w:tcPr>
            <w:tcW w:type="dxa" w:w="1500"/>
            <w:shd w:fill="028090" w:color="auto" w:val="clear"/>
            <w:tcMar>
              <w:top w:type="dxa" w:w="100"/>
              <w:left w:type="dxa" w:w="120"/>
              <w:bottom w:type="dxa" w:w="100"/>
              <w:right w:type="dxa" w:w="120"/>
            </w:tcMar>
            <w:vAlign w:val="center"/>
          </w:tcPr>
          <w:p>
            <w:r>
              <w:rPr>
                <w:b/>
                <w:bCs/>
                <w:color w:val="FFFFFF"/>
                <w:sz w:val="19"/>
                <w:szCs w:val="19"/>
              </w:rPr>
              <w:t xml:space="preserve">Bloque</w:t>
            </w:r>
          </w:p>
        </w:tc>
        <w:tc>
          <w:tcPr>
            <w:tcW w:type="dxa" w:w="3300"/>
            <w:shd w:fill="028090" w:color="auto" w:val="clear"/>
            <w:tcMar>
              <w:top w:type="dxa" w:w="100"/>
              <w:left w:type="dxa" w:w="120"/>
              <w:bottom w:type="dxa" w:w="100"/>
              <w:right w:type="dxa" w:w="120"/>
            </w:tcMar>
            <w:vAlign w:val="center"/>
          </w:tcPr>
          <w:p>
            <w:r>
              <w:rPr>
                <w:b/>
                <w:bCs/>
                <w:color w:val="FFFFFF"/>
                <w:sz w:val="19"/>
                <w:szCs w:val="19"/>
              </w:rPr>
              <w:t xml:space="preserve">Objetivo principal</w:t>
            </w:r>
          </w:p>
        </w:tc>
        <w:tc>
          <w:tcPr>
            <w:tcW w:type="dxa" w:w="4600"/>
            <w:shd w:fill="028090" w:color="auto" w:val="clear"/>
            <w:tcMar>
              <w:top w:type="dxa" w:w="100"/>
              <w:left w:type="dxa" w:w="120"/>
              <w:bottom w:type="dxa" w:w="100"/>
              <w:right w:type="dxa" w:w="120"/>
            </w:tcMar>
            <w:vAlign w:val="center"/>
          </w:tcPr>
          <w:p>
            <w:r>
              <w:rPr>
                <w:b/>
                <w:bCs/>
                <w:color w:val="FFFFFF"/>
                <w:sz w:val="19"/>
                <w:szCs w:val="19"/>
              </w:rPr>
              <w:t xml:space="preserve">Tareas clave</w:t>
            </w:r>
          </w:p>
        </w:tc>
      </w:tr>
      <w:tr>
        <w:tc>
          <w:tcPr>
            <w:tcW w:type="dxa" w:w="1500"/>
            <w:shd w:fill="FFFFFF" w:color="auto" w:val="clear"/>
            <w:tcMar>
              <w:top w:type="dxa" w:w="90"/>
              <w:left w:type="dxa" w:w="120"/>
              <w:bottom w:type="dxa" w:w="90"/>
              <w:right w:type="dxa" w:w="120"/>
            </w:tcMar>
            <w:vAlign w:val="center"/>
          </w:tcPr>
          <w:p>
            <w:pPr>
              <w:spacing w:line="260"/>
            </w:pPr>
            <w:r>
              <w:rPr>
                <w:b/>
                <w:bCs/>
                <w:color w:val="1E2A2E"/>
                <w:sz w:val="18"/>
                <w:szCs w:val="18"/>
              </w:rPr>
              <w:t xml:space="preserve">Mañana</w:t>
            </w:r>
          </w:p>
        </w:tc>
        <w:tc>
          <w:tcPr>
            <w:tcW w:type="dxa" w:w="3300"/>
            <w:shd w:fill="FFFFFF" w:color="auto" w:val="clear"/>
            <w:tcMar>
              <w:top w:type="dxa" w:w="90"/>
              <w:left w:type="dxa" w:w="120"/>
              <w:bottom w:type="dxa" w:w="90"/>
              <w:right w:type="dxa" w:w="120"/>
            </w:tcMar>
            <w:vAlign w:val="center"/>
          </w:tcPr>
          <w:p>
            <w:pPr>
              <w:spacing w:line="260"/>
            </w:pPr>
            <w:r>
              <w:rPr>
                <w:b/>
                <w:bCs/>
                <w:color w:val="1E2A2E"/>
                <w:sz w:val="18"/>
                <w:szCs w:val="18"/>
              </w:rPr>
              <w:t xml:space="preserve">Selector de la pregunta del día</w:t>
            </w:r>
          </w:p>
        </w:tc>
        <w:tc>
          <w:tcPr>
            <w:tcW w:type="dxa" w:w="46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Implementar el cálculo de reducción esperada de varianza (Sección 6.3); probar que la confianza sube visiblemente al simular la respuesta sugerida.</w:t>
            </w:r>
          </w:p>
        </w:tc>
      </w:tr>
      <w:tr>
        <w:tc>
          <w:tcPr>
            <w:tcW w:type="dxa" w:w="1500"/>
            <w:shd w:fill="EDF5F3" w:color="auto" w:val="clear"/>
            <w:tcMar>
              <w:top w:type="dxa" w:w="90"/>
              <w:left w:type="dxa" w:w="120"/>
              <w:bottom w:type="dxa" w:w="90"/>
              <w:right w:type="dxa" w:w="120"/>
            </w:tcMar>
            <w:vAlign w:val="center"/>
          </w:tcPr>
          <w:p>
            <w:pPr>
              <w:spacing w:line="260"/>
            </w:pPr>
            <w:r>
              <w:rPr>
                <w:b/>
                <w:bCs/>
                <w:color w:val="1E2A2E"/>
                <w:sz w:val="18"/>
                <w:szCs w:val="18"/>
              </w:rPr>
              <w:t xml:space="preserve">Mediodía–tarde</w:t>
            </w:r>
          </w:p>
        </w:tc>
        <w:tc>
          <w:tcPr>
            <w:tcW w:type="dxa" w:w="3300"/>
            <w:shd w:fill="EDF5F3" w:color="auto" w:val="clear"/>
            <w:tcMar>
              <w:top w:type="dxa" w:w="90"/>
              <w:left w:type="dxa" w:w="120"/>
              <w:bottom w:type="dxa" w:w="90"/>
              <w:right w:type="dxa" w:w="120"/>
            </w:tcMar>
            <w:vAlign w:val="center"/>
          </w:tcPr>
          <w:p>
            <w:pPr>
              <w:spacing w:line="260"/>
            </w:pPr>
            <w:r>
              <w:rPr>
                <w:b/>
                <w:bCs/>
                <w:color w:val="1E2A2E"/>
                <w:sz w:val="18"/>
                <w:szCs w:val="18"/>
              </w:rPr>
              <w:t xml:space="preserve">Integración de interfaz (Streamlit)</w:t>
            </w:r>
          </w:p>
        </w:tc>
        <w:tc>
          <w:tcPr>
            <w:tcW w:type="dxa" w:w="4600"/>
            <w:shd w:fill="EDF5F3" w:color="auto" w:val="clear"/>
            <w:tcMar>
              <w:top w:type="dxa" w:w="90"/>
              <w:left w:type="dxa" w:w="120"/>
              <w:bottom w:type="dxa" w:w="90"/>
              <w:right w:type="dxa" w:w="120"/>
            </w:tcMar>
            <w:vAlign w:val="center"/>
          </w:tcPr>
          <w:p>
            <w:pPr>
              <w:spacing w:line="260"/>
            </w:pPr>
            <w:r>
              <w:rPr>
                <w:b w:val="false"/>
                <w:bCs w:val="false"/>
                <w:color w:val="1E2A2E"/>
                <w:sz w:val="18"/>
                <w:szCs w:val="18"/>
              </w:rPr>
              <w:t xml:space="preserve">Conectar el pipeline completo a la interfaz: formulario de registro, panel de riesgo/confianza, tarjeta de recomendación (Sección 7).</w:t>
            </w:r>
          </w:p>
        </w:tc>
      </w:tr>
      <w:tr>
        <w:tc>
          <w:tcPr>
            <w:tcW w:type="dxa" w:w="1500"/>
            <w:shd w:fill="FFFFFF" w:color="auto" w:val="clear"/>
            <w:tcMar>
              <w:top w:type="dxa" w:w="90"/>
              <w:left w:type="dxa" w:w="120"/>
              <w:bottom w:type="dxa" w:w="90"/>
              <w:right w:type="dxa" w:w="120"/>
            </w:tcMar>
            <w:vAlign w:val="center"/>
          </w:tcPr>
          <w:p>
            <w:pPr>
              <w:spacing w:line="260"/>
            </w:pPr>
            <w:r>
              <w:rPr>
                <w:b/>
                <w:bCs/>
                <w:color w:val="1E2A2E"/>
                <w:sz w:val="18"/>
                <w:szCs w:val="18"/>
              </w:rPr>
              <w:t xml:space="preserve">Tarde–noche</w:t>
            </w:r>
          </w:p>
        </w:tc>
        <w:tc>
          <w:tcPr>
            <w:tcW w:type="dxa" w:w="3300"/>
            <w:shd w:fill="FFFFFF" w:color="auto" w:val="clear"/>
            <w:tcMar>
              <w:top w:type="dxa" w:w="90"/>
              <w:left w:type="dxa" w:w="120"/>
              <w:bottom w:type="dxa" w:w="90"/>
              <w:right w:type="dxa" w:w="120"/>
            </w:tcMar>
            <w:vAlign w:val="center"/>
          </w:tcPr>
          <w:p>
            <w:pPr>
              <w:spacing w:line="260"/>
            </w:pPr>
            <w:r>
              <w:rPr>
                <w:b/>
                <w:bCs/>
                <w:color w:val="1E2A2E"/>
                <w:sz w:val="18"/>
                <w:szCs w:val="18"/>
              </w:rPr>
              <w:t xml:space="preserve">Grabación de evidencia y entrega</w:t>
            </w:r>
          </w:p>
        </w:tc>
        <w:tc>
          <w:tcPr>
            <w:tcW w:type="dxa" w:w="46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Grabar video demostrativo (máx. 2 minutos); preparar mockups/diagramas de arquitectura (Sección 5); completar el formulario de Google Forms con enlace al repositorio antes de las 23:59.</w:t>
            </w:r>
          </w:p>
        </w:tc>
      </w:tr>
    </w:tbl>
    <w:p>
      <w:pPr>
        <w:spacing w:before="200"/>
      </w:pPr>
    </w:p>
    <w:p>
      <w:pPr>
        <w:pStyle w:val="Heading2"/>
        <w:spacing w:after="150" w:before="300"/>
      </w:pPr>
      <w:r>
        <w:rPr>
          <w:b/>
          <w:bCs/>
          <w:color w:val="1E2A2E"/>
          <w:sz w:val="26"/>
          <w:szCs w:val="26"/>
        </w:rPr>
        <w:t xml:space="preserve">Día 4 — Jueves 27 de agosto (evaluación de finalistas)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4600"/>
      </w:tblGrid>
      <w:tr>
        <w:tc>
          <w:tcPr>
            <w:tcW w:type="dxa" w:w="1500"/>
            <w:shd w:fill="028090" w:color="auto" w:val="clear"/>
            <w:tcMar>
              <w:top w:type="dxa" w:w="100"/>
              <w:left w:type="dxa" w:w="120"/>
              <w:bottom w:type="dxa" w:w="100"/>
              <w:right w:type="dxa" w:w="120"/>
            </w:tcMar>
            <w:vAlign w:val="center"/>
          </w:tcPr>
          <w:p>
            <w:r>
              <w:rPr>
                <w:b/>
                <w:bCs/>
                <w:color w:val="FFFFFF"/>
                <w:sz w:val="19"/>
                <w:szCs w:val="19"/>
              </w:rPr>
              <w:t xml:space="preserve">Bloque</w:t>
            </w:r>
          </w:p>
        </w:tc>
        <w:tc>
          <w:tcPr>
            <w:tcW w:type="dxa" w:w="3300"/>
            <w:shd w:fill="028090" w:color="auto" w:val="clear"/>
            <w:tcMar>
              <w:top w:type="dxa" w:w="100"/>
              <w:left w:type="dxa" w:w="120"/>
              <w:bottom w:type="dxa" w:w="100"/>
              <w:right w:type="dxa" w:w="120"/>
            </w:tcMar>
            <w:vAlign w:val="center"/>
          </w:tcPr>
          <w:p>
            <w:r>
              <w:rPr>
                <w:b/>
                <w:bCs/>
                <w:color w:val="FFFFFF"/>
                <w:sz w:val="19"/>
                <w:szCs w:val="19"/>
              </w:rPr>
              <w:t xml:space="preserve">Objetivo principal</w:t>
            </w:r>
          </w:p>
        </w:tc>
        <w:tc>
          <w:tcPr>
            <w:tcW w:type="dxa" w:w="4600"/>
            <w:shd w:fill="028090" w:color="auto" w:val="clear"/>
            <w:tcMar>
              <w:top w:type="dxa" w:w="100"/>
              <w:left w:type="dxa" w:w="120"/>
              <w:bottom w:type="dxa" w:w="100"/>
              <w:right w:type="dxa" w:w="120"/>
            </w:tcMar>
            <w:vAlign w:val="center"/>
          </w:tcPr>
          <w:p>
            <w:r>
              <w:rPr>
                <w:b/>
                <w:bCs/>
                <w:color w:val="FFFFFF"/>
                <w:sz w:val="19"/>
                <w:szCs w:val="19"/>
              </w:rPr>
              <w:t xml:space="preserve">Tareas clave</w:t>
            </w:r>
          </w:p>
        </w:tc>
      </w:tr>
      <w:tr>
        <w:tc>
          <w:tcPr>
            <w:tcW w:type="dxa" w:w="1500"/>
            <w:shd w:fill="FFFFFF" w:color="auto" w:val="clear"/>
            <w:tcMar>
              <w:top w:type="dxa" w:w="90"/>
              <w:left w:type="dxa" w:w="120"/>
              <w:bottom w:type="dxa" w:w="90"/>
              <w:right w:type="dxa" w:w="120"/>
            </w:tcMar>
            <w:vAlign w:val="center"/>
          </w:tcPr>
          <w:p>
            <w:pPr>
              <w:spacing w:line="260"/>
            </w:pPr>
            <w:r>
              <w:rPr>
                <w:b/>
                <w:bCs/>
                <w:color w:val="1E2A2E"/>
                <w:sz w:val="18"/>
                <w:szCs w:val="18"/>
              </w:rPr>
              <w:t xml:space="preserve">Todo el día</w:t>
            </w:r>
          </w:p>
        </w:tc>
        <w:tc>
          <w:tcPr>
            <w:tcW w:type="dxa" w:w="3300"/>
            <w:shd w:fill="FFFFFF" w:color="auto" w:val="clear"/>
            <w:tcMar>
              <w:top w:type="dxa" w:w="90"/>
              <w:left w:type="dxa" w:w="120"/>
              <w:bottom w:type="dxa" w:w="90"/>
              <w:right w:type="dxa" w:w="120"/>
            </w:tcMar>
            <w:vAlign w:val="center"/>
          </w:tcPr>
          <w:p>
            <w:pPr>
              <w:spacing w:line="260"/>
            </w:pPr>
            <w:r>
              <w:rPr>
                <w:b/>
                <w:bCs/>
                <w:color w:val="1E2A2E"/>
                <w:sz w:val="18"/>
                <w:szCs w:val="18"/>
              </w:rPr>
              <w:t xml:space="preserve">Espera de resultados y preparación preventiva del pitch</w:t>
            </w:r>
          </w:p>
        </w:tc>
        <w:tc>
          <w:tcPr>
            <w:tcW w:type="dxa" w:w="46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El comité evalúa avances y notifica a los finalistas antes de las 17:00. Mientras tanto, el equipo pule el guion de los 5 minutos de pitch, ensaya la demo en vivo y revisa la biblioteca de recomendaciones (Sección 7) por si se necesitan ajustes de último minuto.</w:t>
            </w:r>
          </w:p>
        </w:tc>
      </w:tr>
    </w:tbl>
    <w:p>
      <w:pPr>
        <w:spacing w:before="200"/>
      </w:pPr>
    </w:p>
    <w:p>
      <w:pPr>
        <w:pStyle w:val="Heading2"/>
        <w:spacing w:after="150" w:before="300"/>
      </w:pPr>
      <w:r>
        <w:rPr>
          <w:b/>
          <w:bCs/>
          <w:color w:val="1E2A2E"/>
          <w:sz w:val="26"/>
          <w:szCs w:val="26"/>
        </w:rPr>
        <w:t xml:space="preserve">Día 5 — Viernes 28 de agosto (evento final)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4600"/>
      </w:tblGrid>
      <w:tr>
        <w:tc>
          <w:tcPr>
            <w:tcW w:type="dxa" w:w="1500"/>
            <w:shd w:fill="028090" w:color="auto" w:val="clear"/>
            <w:tcMar>
              <w:top w:type="dxa" w:w="100"/>
              <w:left w:type="dxa" w:w="120"/>
              <w:bottom w:type="dxa" w:w="100"/>
              <w:right w:type="dxa" w:w="120"/>
            </w:tcMar>
            <w:vAlign w:val="center"/>
          </w:tcPr>
          <w:p>
            <w:r>
              <w:rPr>
                <w:b/>
                <w:bCs/>
                <w:color w:val="FFFFFF"/>
                <w:sz w:val="19"/>
                <w:szCs w:val="19"/>
              </w:rPr>
              <w:t xml:space="preserve">Bloque</w:t>
            </w:r>
          </w:p>
        </w:tc>
        <w:tc>
          <w:tcPr>
            <w:tcW w:type="dxa" w:w="3300"/>
            <w:shd w:fill="028090" w:color="auto" w:val="clear"/>
            <w:tcMar>
              <w:top w:type="dxa" w:w="100"/>
              <w:left w:type="dxa" w:w="120"/>
              <w:bottom w:type="dxa" w:w="100"/>
              <w:right w:type="dxa" w:w="120"/>
            </w:tcMar>
            <w:vAlign w:val="center"/>
          </w:tcPr>
          <w:p>
            <w:r>
              <w:rPr>
                <w:b/>
                <w:bCs/>
                <w:color w:val="FFFFFF"/>
                <w:sz w:val="19"/>
                <w:szCs w:val="19"/>
              </w:rPr>
              <w:t xml:space="preserve">Objetivo principal</w:t>
            </w:r>
          </w:p>
        </w:tc>
        <w:tc>
          <w:tcPr>
            <w:tcW w:type="dxa" w:w="4600"/>
            <w:shd w:fill="028090" w:color="auto" w:val="clear"/>
            <w:tcMar>
              <w:top w:type="dxa" w:w="100"/>
              <w:left w:type="dxa" w:w="120"/>
              <w:bottom w:type="dxa" w:w="100"/>
              <w:right w:type="dxa" w:w="120"/>
            </w:tcMar>
            <w:vAlign w:val="center"/>
          </w:tcPr>
          <w:p>
            <w:r>
              <w:rPr>
                <w:b/>
                <w:bCs/>
                <w:color w:val="FFFFFF"/>
                <w:sz w:val="19"/>
                <w:szCs w:val="19"/>
              </w:rPr>
              <w:t xml:space="preserve">Tareas clave</w:t>
            </w:r>
          </w:p>
        </w:tc>
      </w:tr>
      <w:tr>
        <w:tc>
          <w:tcPr>
            <w:tcW w:type="dxa" w:w="1500"/>
            <w:shd w:fill="FFFFFF" w:color="auto" w:val="clear"/>
            <w:tcMar>
              <w:top w:type="dxa" w:w="90"/>
              <w:left w:type="dxa" w:w="120"/>
              <w:bottom w:type="dxa" w:w="90"/>
              <w:right w:type="dxa" w:w="120"/>
            </w:tcMar>
            <w:vAlign w:val="center"/>
          </w:tcPr>
          <w:p>
            <w:pPr>
              <w:spacing w:line="260"/>
            </w:pPr>
            <w:r>
              <w:rPr>
                <w:b/>
                <w:bCs/>
                <w:color w:val="1E2A2E"/>
                <w:sz w:val="18"/>
                <w:szCs w:val="18"/>
              </w:rPr>
              <w:t xml:space="preserve">Antes de 10:00</w:t>
            </w:r>
          </w:p>
        </w:tc>
        <w:tc>
          <w:tcPr>
            <w:tcW w:type="dxa" w:w="3300"/>
            <w:shd w:fill="FFFFFF" w:color="auto" w:val="clear"/>
            <w:tcMar>
              <w:top w:type="dxa" w:w="90"/>
              <w:left w:type="dxa" w:w="120"/>
              <w:bottom w:type="dxa" w:w="90"/>
              <w:right w:type="dxa" w:w="120"/>
            </w:tcMar>
            <w:vAlign w:val="center"/>
          </w:tcPr>
          <w:p>
            <w:pPr>
              <w:spacing w:line="260"/>
            </w:pPr>
            <w:r>
              <w:rPr>
                <w:b/>
                <w:bCs/>
                <w:color w:val="1E2A2E"/>
                <w:sz w:val="18"/>
                <w:szCs w:val="18"/>
              </w:rPr>
              <w:t xml:space="preserve">Ajustes finales y envío</w:t>
            </w:r>
          </w:p>
        </w:tc>
        <w:tc>
          <w:tcPr>
            <w:tcW w:type="dxa" w:w="46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Si el equipo fue seleccionado como finalista, se ajusta y reenvía la presentación final por correo a La Organización (o se mantiene la de la fase de selección si no hay cambios).</w:t>
            </w:r>
          </w:p>
        </w:tc>
      </w:tr>
      <w:tr>
        <w:tc>
          <w:tcPr>
            <w:tcW w:type="dxa" w:w="1500"/>
            <w:shd w:fill="EDF5F3" w:color="auto" w:val="clear"/>
            <w:tcMar>
              <w:top w:type="dxa" w:w="90"/>
              <w:left w:type="dxa" w:w="120"/>
              <w:bottom w:type="dxa" w:w="90"/>
              <w:right w:type="dxa" w:w="120"/>
            </w:tcMar>
            <w:vAlign w:val="center"/>
          </w:tcPr>
          <w:p>
            <w:pPr>
              <w:spacing w:line="260"/>
            </w:pPr>
            <w:r>
              <w:rPr>
                <w:b/>
                <w:bCs/>
                <w:color w:val="1E2A2E"/>
                <w:sz w:val="18"/>
                <w:szCs w:val="18"/>
              </w:rPr>
              <w:t xml:space="preserve">11:00–13:00</w:t>
            </w:r>
          </w:p>
        </w:tc>
        <w:tc>
          <w:tcPr>
            <w:tcW w:type="dxa" w:w="3300"/>
            <w:shd w:fill="EDF5F3" w:color="auto" w:val="clear"/>
            <w:tcMar>
              <w:top w:type="dxa" w:w="90"/>
              <w:left w:type="dxa" w:w="120"/>
              <w:bottom w:type="dxa" w:w="90"/>
              <w:right w:type="dxa" w:w="120"/>
            </w:tcMar>
            <w:vAlign w:val="center"/>
          </w:tcPr>
          <w:p>
            <w:pPr>
              <w:spacing w:line="260"/>
            </w:pPr>
            <w:r>
              <w:rPr>
                <w:b/>
                <w:bCs/>
                <w:color w:val="1E2A2E"/>
                <w:sz w:val="18"/>
                <w:szCs w:val="18"/>
              </w:rPr>
              <w:t xml:space="preserve">Pitch y demo en vivo</w:t>
            </w:r>
          </w:p>
        </w:tc>
        <w:tc>
          <w:tcPr>
            <w:tcW w:type="dxa" w:w="4600"/>
            <w:shd w:fill="EDF5F3" w:color="auto" w:val="clear"/>
            <w:tcMar>
              <w:top w:type="dxa" w:w="90"/>
              <w:left w:type="dxa" w:w="120"/>
              <w:bottom w:type="dxa" w:w="90"/>
              <w:right w:type="dxa" w:w="120"/>
            </w:tcMar>
            <w:vAlign w:val="center"/>
          </w:tcPr>
          <w:p>
            <w:pPr>
              <w:spacing w:line="260"/>
            </w:pPr>
            <w:r>
              <w:rPr>
                <w:b w:val="false"/>
                <w:bCs w:val="false"/>
                <w:color w:val="1E2A2E"/>
                <w:sz w:val="18"/>
                <w:szCs w:val="18"/>
              </w:rPr>
              <w:t xml:space="preserve">Presentación de 5 minutos con demostración obligatoria: los tres escenarios descritos (historial completo, niño nuevo, pregunta activa en vivo — ver Sección 6.3), seguidos de la pregunta de la comisión evaluadora.</w:t>
            </w:r>
          </w:p>
        </w:tc>
      </w:tr>
    </w:tbl>
    <w:p>
      <w:pPr>
        <w:spacing w:before="200"/>
      </w:pPr>
    </w:p>
    <w:tbl>
      <w:tblPr>
        <w:tblW w:type="pct" w:w="100%"/>
        <w:tblBorders>
          <w:top w:val="single" w:color="00A896" w:sz="4"/>
          <w:left w:val="single" w:color="00A896" w:sz="4"/>
          <w:bottom w:val="single" w:color="00A896" w:sz="4"/>
          <w:right w:val="single" w:color="00A896" w:sz="4"/>
          <w:insideH w:val="single" w:color="auto" w:sz="4"/>
          <w:insideV w:val="single" w:color="auto" w:sz="4"/>
        </w:tblBorders>
      </w:tblPr>
      <w:tblGrid>
        <w:gridCol w:w="100"/>
      </w:tblGrid>
      <w:tr>
        <w:tc>
          <w:tcPr>
            <w:shd w:fill="EDF5F3" w:color="auto" w:val="clear"/>
            <w:tcMar>
              <w:top w:type="dxa" w:w="150"/>
              <w:left w:type="dxa" w:w="200"/>
              <w:bottom w:type="dxa" w:w="150"/>
              <w:right w:type="dxa" w:w="200"/>
            </w:tcMar>
          </w:tcPr>
          <w:p>
            <w:pPr>
              <w:spacing w:after="80"/>
            </w:pPr>
            <w:r>
              <w:rPr>
                <w:b/>
                <w:bCs/>
                <w:color w:val="028090"/>
                <w:sz w:val="21"/>
                <w:szCs w:val="21"/>
              </w:rPr>
              <w:t xml:space="preserve">Principio rector del cronograma</w:t>
            </w:r>
          </w:p>
          <w:p>
            <w:pPr>
              <w:spacing w:after="0" w:line="280"/>
            </w:pPr>
            <w:r>
              <w:rPr>
                <w:color w:val="1E2A2E"/>
                <w:sz w:val="20"/>
                <w:szCs w:val="20"/>
              </w:rPr>
              <w:t xml:space="preserve">En cada bloque de trabajo, la prioridad siempre es: primero que funcione (aunque sea la versión más simple), después que funcione bien, y por último que se vea bien. Esto asegura que, sin importar en qué bloque se presente un imprevisto, el equipo siempre tenga algo funcional que mostrar el día del pitch.</w:t>
            </w:r>
          </w:p>
        </w:tc>
      </w:tr>
    </w:tbl>
    <w:p>
      <w:r>
        <w:br w:type="page"/>
      </w:r>
    </w:p>
    <w:p>
      <w:pPr>
        <w:pStyle w:val="Heading1"/>
        <w:spacing w:after="200" w:before="400"/>
      </w:pPr>
      <w:bookmarkStart w:name="sec10" w:id="1009"/>
      <w:r>
        <w:rPr>
          <w:b/>
          <w:bCs/>
          <w:color w:val="028090"/>
          <w:sz w:val="32"/>
          <w:szCs w:val="32"/>
        </w:rPr>
        <w:t xml:space="preserve">10. Riesgos técnicos y mitigaciones</w:t>
      </w:r>
      <w:bookmarkEnd w:id="1009"/>
    </w:p>
    <w:p>
      <w:pPr>
        <w:spacing w:after="160" w:line="300"/>
        <w:jc w:val="both"/>
      </w:pPr>
      <w:r>
        <w:rPr>
          <w:color w:val="1E2A2E"/>
          <w:sz w:val="21"/>
          <w:szCs w:val="21"/>
        </w:rPr>
        <w:t xml:space="preserve">Anticipar los puntos de falla más probables permite decidir hoy qué simplificar sin sorpresas de último minuto.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c>
          <w:tcPr>
            <w:tcW w:type="dxa" w:w="3600"/>
            <w:shd w:fill="028090" w:color="auto" w:val="clear"/>
            <w:tcMar>
              <w:top w:type="dxa" w:w="100"/>
              <w:left w:type="dxa" w:w="120"/>
              <w:bottom w:type="dxa" w:w="100"/>
              <w:right w:type="dxa" w:w="120"/>
            </w:tcMar>
            <w:vAlign w:val="center"/>
          </w:tcPr>
          <w:p>
            <w:r>
              <w:rPr>
                <w:b/>
                <w:bCs/>
                <w:color w:val="FFFFFF"/>
                <w:sz w:val="19"/>
                <w:szCs w:val="19"/>
              </w:rPr>
              <w:t xml:space="preserve">Riesgo</w:t>
            </w:r>
          </w:p>
        </w:tc>
        <w:tc>
          <w:tcPr>
            <w:tcW w:type="dxa" w:w="5600"/>
            <w:shd w:fill="028090" w:color="auto" w:val="clear"/>
            <w:tcMar>
              <w:top w:type="dxa" w:w="100"/>
              <w:left w:type="dxa" w:w="120"/>
              <w:bottom w:type="dxa" w:w="100"/>
              <w:right w:type="dxa" w:w="120"/>
            </w:tcMar>
            <w:vAlign w:val="center"/>
          </w:tcPr>
          <w:p>
            <w:r>
              <w:rPr>
                <w:b/>
                <w:bCs/>
                <w:color w:val="FFFFFF"/>
                <w:sz w:val="19"/>
                <w:szCs w:val="19"/>
              </w:rPr>
              <w:t xml:space="preserve">Mitigación</w:t>
            </w:r>
          </w:p>
        </w:tc>
      </w:tr>
      <w:tr>
        <w:tc>
          <w:tcPr>
            <w:tcW w:type="dxa" w:w="3600"/>
            <w:shd w:fill="FFFFFF" w:color="auto" w:val="clear"/>
            <w:tcMar>
              <w:top w:type="dxa" w:w="90"/>
              <w:left w:type="dxa" w:w="120"/>
              <w:bottom w:type="dxa" w:w="90"/>
              <w:right w:type="dxa" w:w="120"/>
            </w:tcMar>
            <w:vAlign w:val="center"/>
          </w:tcPr>
          <w:p>
            <w:pPr>
              <w:spacing w:line="260"/>
            </w:pPr>
            <w:r>
              <w:rPr>
                <w:b/>
                <w:bCs/>
                <w:color w:val="1E2A2E"/>
                <w:sz w:val="18"/>
                <w:szCs w:val="18"/>
              </w:rPr>
              <w:t xml:space="preserve">No hay dataset real de Bluba disponible</w:t>
            </w:r>
          </w:p>
        </w:tc>
        <w:tc>
          <w:tcPr>
            <w:tcW w:type="dxa" w:w="56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El modelo se entrena y valida sobre un dataset sintético, generado con distribuciones razonables según las variables de la Sección 4 y con patrones de ausencia simulados con PyGrinder. Se declara explícitamente como supuesto en el pitch.</w:t>
            </w:r>
          </w:p>
        </w:tc>
      </w:tr>
      <w:tr>
        <w:tc>
          <w:tcPr>
            <w:tcW w:type="dxa" w:w="3600"/>
            <w:shd w:fill="EDF5F3" w:color="auto" w:val="clear"/>
            <w:tcMar>
              <w:top w:type="dxa" w:w="90"/>
              <w:left w:type="dxa" w:w="120"/>
              <w:bottom w:type="dxa" w:w="90"/>
              <w:right w:type="dxa" w:w="120"/>
            </w:tcMar>
            <w:vAlign w:val="center"/>
          </w:tcPr>
          <w:p>
            <w:pPr>
              <w:spacing w:line="260"/>
            </w:pPr>
            <w:r>
              <w:rPr>
                <w:b/>
                <w:bCs/>
                <w:color w:val="1E2A2E"/>
                <w:sz w:val="18"/>
                <w:szCs w:val="18"/>
              </w:rPr>
              <w:t xml:space="preserve">El modelo bayesiano completo (PyMC) no alcanza a terminarse</w:t>
            </w:r>
          </w:p>
        </w:tc>
        <w:tc>
          <w:tcPr>
            <w:tcW w:type="dxa" w:w="5600"/>
            <w:shd w:fill="EDF5F3" w:color="auto" w:val="clear"/>
            <w:tcMar>
              <w:top w:type="dxa" w:w="90"/>
              <w:left w:type="dxa" w:w="120"/>
              <w:bottom w:type="dxa" w:w="90"/>
              <w:right w:type="dxa" w:w="120"/>
            </w:tcMar>
            <w:vAlign w:val="center"/>
          </w:tcPr>
          <w:p>
            <w:pPr>
              <w:spacing w:line="260"/>
            </w:pPr>
            <w:r>
              <w:rPr>
                <w:b w:val="false"/>
                <w:bCs w:val="false"/>
                <w:color w:val="1E2A2E"/>
                <w:sz w:val="18"/>
                <w:szCs w:val="18"/>
              </w:rPr>
              <w:t xml:space="preserve">No es una dependencia crítica: el shrinkage manual (Sección 3.4) es matemáticamente correcto y suficiente para demostrar el concepto completo. PyMC se presenta como "trabajo en validación", no como promesa cumplida.</w:t>
            </w:r>
          </w:p>
        </w:tc>
      </w:tr>
      <w:tr>
        <w:tc>
          <w:tcPr>
            <w:tcW w:type="dxa" w:w="3600"/>
            <w:shd w:fill="FFFFFF" w:color="auto" w:val="clear"/>
            <w:tcMar>
              <w:top w:type="dxa" w:w="90"/>
              <w:left w:type="dxa" w:w="120"/>
              <w:bottom w:type="dxa" w:w="90"/>
              <w:right w:type="dxa" w:w="120"/>
            </w:tcMar>
            <w:vAlign w:val="center"/>
          </w:tcPr>
          <w:p>
            <w:pPr>
              <w:spacing w:line="260"/>
            </w:pPr>
            <w:r>
              <w:rPr>
                <w:b/>
                <w:bCs/>
                <w:color w:val="1E2A2E"/>
                <w:sz w:val="18"/>
                <w:szCs w:val="18"/>
              </w:rPr>
              <w:t xml:space="preserve">La demo en vivo falla el día del pitch</w:t>
            </w:r>
          </w:p>
        </w:tc>
        <w:tc>
          <w:tcPr>
            <w:tcW w:type="dxa" w:w="56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Se preparan tres escenarios pregrabados como respaldo (Sección 6.3 y Sección 9, Día 5) además de la demo en vivo, y un video de máximo 2 minutos como evidencia alternativa, tal como permiten las bases.</w:t>
            </w:r>
          </w:p>
        </w:tc>
      </w:tr>
      <w:tr>
        <w:tc>
          <w:tcPr>
            <w:tcW w:type="dxa" w:w="3600"/>
            <w:shd w:fill="EDF5F3" w:color="auto" w:val="clear"/>
            <w:tcMar>
              <w:top w:type="dxa" w:w="90"/>
              <w:left w:type="dxa" w:w="120"/>
              <w:bottom w:type="dxa" w:w="90"/>
              <w:right w:type="dxa" w:w="120"/>
            </w:tcMar>
            <w:vAlign w:val="center"/>
          </w:tcPr>
          <w:p>
            <w:pPr>
              <w:spacing w:line="260"/>
            </w:pPr>
            <w:r>
              <w:rPr>
                <w:b/>
                <w:bCs/>
                <w:color w:val="1E2A2E"/>
                <w:sz w:val="18"/>
                <w:szCs w:val="18"/>
              </w:rPr>
              <w:t xml:space="preserve">Tiempo insuficiente para pulir la interfaz</w:t>
            </w:r>
          </w:p>
        </w:tc>
        <w:tc>
          <w:tcPr>
            <w:tcW w:type="dxa" w:w="5600"/>
            <w:shd w:fill="EDF5F3" w:color="auto" w:val="clear"/>
            <w:tcMar>
              <w:top w:type="dxa" w:w="90"/>
              <w:left w:type="dxa" w:w="120"/>
              <w:bottom w:type="dxa" w:w="90"/>
              <w:right w:type="dxa" w:w="120"/>
            </w:tcMar>
            <w:vAlign w:val="center"/>
          </w:tcPr>
          <w:p>
            <w:pPr>
              <w:spacing w:line="260"/>
            </w:pPr>
            <w:r>
              <w:rPr>
                <w:b w:val="false"/>
                <w:bCs w:val="false"/>
                <w:color w:val="1E2A2E"/>
                <w:sz w:val="18"/>
                <w:szCs w:val="18"/>
              </w:rPr>
              <w:t xml:space="preserve">Se prioriza Streamlit (rápido de construir) antes que React; una interfaz simple pero funcional pesa más en la rúbrica que una interfaz bonita pero rota.</w:t>
            </w:r>
          </w:p>
        </w:tc>
      </w:tr>
      <w:tr>
        <w:tc>
          <w:tcPr>
            <w:tcW w:type="dxa" w:w="3600"/>
            <w:shd w:fill="FFFFFF" w:color="auto" w:val="clear"/>
            <w:tcMar>
              <w:top w:type="dxa" w:w="90"/>
              <w:left w:type="dxa" w:w="120"/>
              <w:bottom w:type="dxa" w:w="90"/>
              <w:right w:type="dxa" w:w="120"/>
            </w:tcMar>
            <w:vAlign w:val="center"/>
          </w:tcPr>
          <w:p>
            <w:pPr>
              <w:spacing w:line="260"/>
            </w:pPr>
            <w:r>
              <w:rPr>
                <w:b/>
                <w:bCs/>
                <w:color w:val="1E2A2E"/>
                <w:sz w:val="18"/>
                <w:szCs w:val="18"/>
              </w:rPr>
              <w:t xml:space="preserve">El jurado no técnico no entiende el pooling bayesiano en 5 minutos</w:t>
            </w:r>
          </w:p>
        </w:tc>
        <w:tc>
          <w:tcPr>
            <w:tcW w:type="dxa" w:w="56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El pitch usa la analogía del médico (Sección 3.1) y el ejemplo numérico simplificado (Sección 3.4), no la notación formal; este documento sirve como respaldo técnico si se solicitan detalles.</w:t>
            </w:r>
          </w:p>
        </w:tc>
      </w:tr>
    </w:tbl>
    <w:p>
      <w:r>
        <w:br w:type="page"/>
      </w:r>
    </w:p>
    <w:p>
      <w:pPr>
        <w:pStyle w:val="Heading1"/>
        <w:spacing w:after="200" w:before="400"/>
      </w:pPr>
      <w:bookmarkStart w:name="sec11" w:id="1010"/>
      <w:r>
        <w:rPr>
          <w:b/>
          <w:bCs/>
          <w:color w:val="028090"/>
          <w:sz w:val="32"/>
          <w:szCs w:val="32"/>
        </w:rPr>
        <w:t xml:space="preserve">11. Glosario consolidado de términos técnicos</w:t>
      </w:r>
      <w:bookmarkEnd w:id="1010"/>
    </w:p>
    <w:p>
      <w:pPr>
        <w:spacing w:after="160" w:line="300"/>
        <w:jc w:val="both"/>
      </w:pPr>
      <w:r>
        <w:rPr>
          <w:color w:val="1E2A2E"/>
          <w:sz w:val="21"/>
          <w:szCs w:val="21"/>
        </w:rPr>
        <w:t xml:space="preserve">Referencia rápida de todos los términos técnicos utilizados en este documento, en orden alfabético.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shd w:fill="028090" w:color="auto" w:val="clear"/>
            <w:tcMar>
              <w:top w:type="dxa" w:w="100"/>
              <w:left w:type="dxa" w:w="120"/>
              <w:bottom w:type="dxa" w:w="100"/>
              <w:right w:type="dxa" w:w="120"/>
            </w:tcMar>
            <w:vAlign w:val="center"/>
          </w:tcPr>
          <w:p>
            <w:r>
              <w:rPr>
                <w:b/>
                <w:bCs/>
                <w:color w:val="FFFFFF"/>
                <w:sz w:val="19"/>
                <w:szCs w:val="19"/>
              </w:rPr>
              <w:t xml:space="preserve">Término</w:t>
            </w:r>
          </w:p>
        </w:tc>
        <w:tc>
          <w:tcPr>
            <w:tcW w:type="dxa" w:w="6600"/>
            <w:shd w:fill="028090" w:color="auto" w:val="clear"/>
            <w:tcMar>
              <w:top w:type="dxa" w:w="100"/>
              <w:left w:type="dxa" w:w="120"/>
              <w:bottom w:type="dxa" w:w="100"/>
              <w:right w:type="dxa" w:w="120"/>
            </w:tcMar>
            <w:vAlign w:val="center"/>
          </w:tcPr>
          <w:p>
            <w:r>
              <w:rPr>
                <w:b/>
                <w:bCs/>
                <w:color w:val="FFFFFF"/>
                <w:sz w:val="19"/>
                <w:szCs w:val="19"/>
              </w:rPr>
              <w:t xml:space="preserve">Definición</w:t>
            </w:r>
          </w:p>
        </w:tc>
      </w:tr>
      <w:tr>
        <w:tc>
          <w:tcPr>
            <w:tcW w:type="dxa" w:w="2600"/>
            <w:shd w:fill="FFFFFF" w:color="auto" w:val="clear"/>
            <w:tcMar>
              <w:top w:type="dxa" w:w="90"/>
              <w:left w:type="dxa" w:w="120"/>
              <w:bottom w:type="dxa" w:w="90"/>
              <w:right w:type="dxa" w:w="120"/>
            </w:tcMar>
            <w:vAlign w:val="center"/>
          </w:tcPr>
          <w:p>
            <w:pPr>
              <w:spacing w:line="260"/>
            </w:pPr>
            <w:r>
              <w:rPr>
                <w:b/>
                <w:bCs/>
                <w:color w:val="1E2A2E"/>
                <w:sz w:val="18"/>
                <w:szCs w:val="18"/>
              </w:rPr>
              <w:t xml:space="preserve">Completitud</w:t>
            </w:r>
          </w:p>
        </w:tc>
        <w:tc>
          <w:tcPr>
            <w:tcW w:type="dxa" w:w="66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Proporción de variables relevantes que sí fueron registradas en un momento dado, ponderada por su importancia predictiva (Sección 6.2).</w:t>
            </w:r>
          </w:p>
        </w:tc>
      </w:tr>
      <w:tr>
        <w:tc>
          <w:tcPr>
            <w:tcW w:type="dxa" w:w="2600"/>
            <w:shd w:fill="EDF5F3" w:color="auto" w:val="clear"/>
            <w:tcMar>
              <w:top w:type="dxa" w:w="90"/>
              <w:left w:type="dxa" w:w="120"/>
              <w:bottom w:type="dxa" w:w="90"/>
              <w:right w:type="dxa" w:w="120"/>
            </w:tcMar>
            <w:vAlign w:val="center"/>
          </w:tcPr>
          <w:p>
            <w:pPr>
              <w:spacing w:line="260"/>
            </w:pPr>
            <w:r>
              <w:rPr>
                <w:b/>
                <w:bCs/>
                <w:color w:val="1E2A2E"/>
                <w:sz w:val="18"/>
                <w:szCs w:val="18"/>
              </w:rPr>
              <w:t xml:space="preserve">Confianza (nivel de)</w:t>
            </w:r>
          </w:p>
        </w:tc>
        <w:tc>
          <w:tcPr>
            <w:tcW w:type="dxa" w:w="6600"/>
            <w:shd w:fill="EDF5F3" w:color="auto" w:val="clear"/>
            <w:tcMar>
              <w:top w:type="dxa" w:w="90"/>
              <w:left w:type="dxa" w:w="120"/>
              <w:bottom w:type="dxa" w:w="90"/>
              <w:right w:type="dxa" w:w="120"/>
            </w:tcMar>
            <w:vAlign w:val="center"/>
          </w:tcPr>
          <w:p>
            <w:pPr>
              <w:spacing w:line="260"/>
            </w:pPr>
            <w:r>
              <w:rPr>
                <w:b w:val="false"/>
                <w:bCs w:val="false"/>
                <w:color w:val="1E2A2E"/>
                <w:sz w:val="18"/>
                <w:szCs w:val="18"/>
              </w:rPr>
              <w:t xml:space="preserve">Medida de qué tan fiable es una predicción según la calidad y cantidad de datos disponibles, independiente del valor de riesgo (Sección 6.2).</w:t>
            </w:r>
          </w:p>
        </w:tc>
      </w:tr>
      <w:tr>
        <w:tc>
          <w:tcPr>
            <w:tcW w:type="dxa" w:w="2600"/>
            <w:shd w:fill="FFFFFF" w:color="auto" w:val="clear"/>
            <w:tcMar>
              <w:top w:type="dxa" w:w="90"/>
              <w:left w:type="dxa" w:w="120"/>
              <w:bottom w:type="dxa" w:w="90"/>
              <w:right w:type="dxa" w:w="120"/>
            </w:tcMar>
            <w:vAlign w:val="center"/>
          </w:tcPr>
          <w:p>
            <w:pPr>
              <w:spacing w:line="260"/>
            </w:pPr>
            <w:r>
              <w:rPr>
                <w:b/>
                <w:bCs/>
                <w:color w:val="1E2A2E"/>
                <w:sz w:val="18"/>
                <w:szCs w:val="18"/>
              </w:rPr>
              <w:t xml:space="preserve">Cold start (arranque en frío)</w:t>
            </w:r>
          </w:p>
        </w:tc>
        <w:tc>
          <w:tcPr>
            <w:tcW w:type="dxa" w:w="66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Problema de estimar un patrón confiable para un individuo (aquí, un niño) del que aún se tienen muy pocos datos.</w:t>
            </w:r>
          </w:p>
        </w:tc>
      </w:tr>
      <w:tr>
        <w:tc>
          <w:tcPr>
            <w:tcW w:type="dxa" w:w="2600"/>
            <w:shd w:fill="EDF5F3" w:color="auto" w:val="clear"/>
            <w:tcMar>
              <w:top w:type="dxa" w:w="90"/>
              <w:left w:type="dxa" w:w="120"/>
              <w:bottom w:type="dxa" w:w="90"/>
              <w:right w:type="dxa" w:w="120"/>
            </w:tcMar>
            <w:vAlign w:val="center"/>
          </w:tcPr>
          <w:p>
            <w:pPr>
              <w:spacing w:line="260"/>
            </w:pPr>
            <w:r>
              <w:rPr>
                <w:b/>
                <w:bCs/>
                <w:color w:val="1E2A2E"/>
                <w:sz w:val="18"/>
                <w:szCs w:val="18"/>
              </w:rPr>
              <w:t xml:space="preserve">Ensamble (ensemble)</w:t>
            </w:r>
          </w:p>
        </w:tc>
        <w:tc>
          <w:tcPr>
            <w:tcW w:type="dxa" w:w="6600"/>
            <w:shd w:fill="EDF5F3" w:color="auto" w:val="clear"/>
            <w:tcMar>
              <w:top w:type="dxa" w:w="90"/>
              <w:left w:type="dxa" w:w="120"/>
              <w:bottom w:type="dxa" w:w="90"/>
              <w:right w:type="dxa" w:w="120"/>
            </w:tcMar>
            <w:vAlign w:val="center"/>
          </w:tcPr>
          <w:p>
            <w:pPr>
              <w:spacing w:line="260"/>
            </w:pPr>
            <w:r>
              <w:rPr>
                <w:b w:val="false"/>
                <w:bCs w:val="false"/>
                <w:color w:val="1E2A2E"/>
                <w:sz w:val="18"/>
                <w:szCs w:val="18"/>
              </w:rPr>
              <w:t xml:space="preserve">Modelo compuesto por varios modelos más simples (por ejemplo, muchos árboles de decisión) combinados para mejorar la robustez de la predicción.</w:t>
            </w:r>
          </w:p>
        </w:tc>
      </w:tr>
      <w:tr>
        <w:tc>
          <w:tcPr>
            <w:tcW w:type="dxa" w:w="2600"/>
            <w:shd w:fill="FFFFFF" w:color="auto" w:val="clear"/>
            <w:tcMar>
              <w:top w:type="dxa" w:w="90"/>
              <w:left w:type="dxa" w:w="120"/>
              <w:bottom w:type="dxa" w:w="90"/>
              <w:right w:type="dxa" w:w="120"/>
            </w:tcMar>
            <w:vAlign w:val="center"/>
          </w:tcPr>
          <w:p>
            <w:pPr>
              <w:spacing w:line="260"/>
            </w:pPr>
            <w:r>
              <w:rPr>
                <w:b/>
                <w:bCs/>
                <w:color w:val="1E2A2E"/>
                <w:sz w:val="18"/>
                <w:szCs w:val="18"/>
              </w:rPr>
              <w:t xml:space="preserve">Feature engineering (ingeniería de variables)</w:t>
            </w:r>
          </w:p>
        </w:tc>
        <w:tc>
          <w:tcPr>
            <w:tcW w:type="dxa" w:w="66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Proceso de transformar datos crudos en variables más informativas para un modelo (ej. promedios móviles, indicadores de ausencia).</w:t>
            </w:r>
          </w:p>
        </w:tc>
      </w:tr>
      <w:tr>
        <w:tc>
          <w:tcPr>
            <w:tcW w:type="dxa" w:w="2600"/>
            <w:shd w:fill="EDF5F3" w:color="auto" w:val="clear"/>
            <w:tcMar>
              <w:top w:type="dxa" w:w="90"/>
              <w:left w:type="dxa" w:w="120"/>
              <w:bottom w:type="dxa" w:w="90"/>
              <w:right w:type="dxa" w:w="120"/>
            </w:tcMar>
            <w:vAlign w:val="center"/>
          </w:tcPr>
          <w:p>
            <w:pPr>
              <w:spacing w:line="260"/>
            </w:pPr>
            <w:r>
              <w:rPr>
                <w:b/>
                <w:bCs/>
                <w:color w:val="1E2A2E"/>
                <w:sz w:val="18"/>
                <w:szCs w:val="18"/>
              </w:rPr>
              <w:t xml:space="preserve">Feature importance</w:t>
            </w:r>
          </w:p>
        </w:tc>
        <w:tc>
          <w:tcPr>
            <w:tcW w:type="dxa" w:w="6600"/>
            <w:shd w:fill="EDF5F3" w:color="auto" w:val="clear"/>
            <w:tcMar>
              <w:top w:type="dxa" w:w="90"/>
              <w:left w:type="dxa" w:w="120"/>
              <w:bottom w:type="dxa" w:w="90"/>
              <w:right w:type="dxa" w:w="120"/>
            </w:tcMar>
            <w:vAlign w:val="center"/>
          </w:tcPr>
          <w:p>
            <w:pPr>
              <w:spacing w:line="260"/>
            </w:pPr>
            <w:r>
              <w:rPr>
                <w:b w:val="false"/>
                <w:bCs w:val="false"/>
                <w:color w:val="1E2A2E"/>
                <w:sz w:val="18"/>
                <w:szCs w:val="18"/>
              </w:rPr>
              <w:t xml:space="preserve">Medida de cuánto contribuye cada variable a las predicciones de un modelo entrenado, útil para explicar y priorizar qué registrar.</w:t>
            </w:r>
          </w:p>
        </w:tc>
      </w:tr>
      <w:tr>
        <w:tc>
          <w:tcPr>
            <w:tcW w:type="dxa" w:w="2600"/>
            <w:shd w:fill="FFFFFF" w:color="auto" w:val="clear"/>
            <w:tcMar>
              <w:top w:type="dxa" w:w="90"/>
              <w:left w:type="dxa" w:w="120"/>
              <w:bottom w:type="dxa" w:w="90"/>
              <w:right w:type="dxa" w:w="120"/>
            </w:tcMar>
            <w:vAlign w:val="center"/>
          </w:tcPr>
          <w:p>
            <w:pPr>
              <w:spacing w:line="260"/>
            </w:pPr>
            <w:r>
              <w:rPr>
                <w:b/>
                <w:bCs/>
                <w:color w:val="1E2A2E"/>
                <w:sz w:val="18"/>
                <w:szCs w:val="18"/>
              </w:rPr>
              <w:t xml:space="preserve">Imputación</w:t>
            </w:r>
          </w:p>
        </w:tc>
        <w:tc>
          <w:tcPr>
            <w:tcW w:type="dxa" w:w="66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Proceso de rellenar un dato faltante con un valor estimado, en vez de dejarlo vacío.</w:t>
            </w:r>
          </w:p>
        </w:tc>
      </w:tr>
      <w:tr>
        <w:tc>
          <w:tcPr>
            <w:tcW w:type="dxa" w:w="2600"/>
            <w:shd w:fill="EDF5F3" w:color="auto" w:val="clear"/>
            <w:tcMar>
              <w:top w:type="dxa" w:w="90"/>
              <w:left w:type="dxa" w:w="120"/>
              <w:bottom w:type="dxa" w:w="90"/>
              <w:right w:type="dxa" w:w="120"/>
            </w:tcMar>
            <w:vAlign w:val="center"/>
          </w:tcPr>
          <w:p>
            <w:pPr>
              <w:spacing w:line="260"/>
            </w:pPr>
            <w:r>
              <w:rPr>
                <w:b/>
                <w:bCs/>
                <w:color w:val="1E2A2E"/>
                <w:sz w:val="18"/>
                <w:szCs w:val="18"/>
              </w:rPr>
              <w:t xml:space="preserve">LightGBM</w:t>
            </w:r>
          </w:p>
        </w:tc>
        <w:tc>
          <w:tcPr>
            <w:tcW w:type="dxa" w:w="6600"/>
            <w:shd w:fill="EDF5F3" w:color="auto" w:val="clear"/>
            <w:tcMar>
              <w:top w:type="dxa" w:w="90"/>
              <w:left w:type="dxa" w:w="120"/>
              <w:bottom w:type="dxa" w:w="90"/>
              <w:right w:type="dxa" w:w="120"/>
            </w:tcMar>
            <w:vAlign w:val="center"/>
          </w:tcPr>
          <w:p>
            <w:pPr>
              <w:spacing w:line="260"/>
            </w:pPr>
            <w:r>
              <w:rPr>
                <w:b w:val="false"/>
                <w:bCs w:val="false"/>
                <w:color w:val="1E2A2E"/>
                <w:sz w:val="18"/>
                <w:szCs w:val="18"/>
              </w:rPr>
              <w:t xml:space="preserve">Librería de gradient boosting (una familia de modelos de ensamble) eficiente para datos tabulares con valores faltantes.</w:t>
            </w:r>
          </w:p>
        </w:tc>
      </w:tr>
      <w:tr>
        <w:tc>
          <w:tcPr>
            <w:tcW w:type="dxa" w:w="2600"/>
            <w:shd w:fill="FFFFFF" w:color="auto" w:val="clear"/>
            <w:tcMar>
              <w:top w:type="dxa" w:w="90"/>
              <w:left w:type="dxa" w:w="120"/>
              <w:bottom w:type="dxa" w:w="90"/>
              <w:right w:type="dxa" w:w="120"/>
            </w:tcMar>
            <w:vAlign w:val="center"/>
          </w:tcPr>
          <w:p>
            <w:pPr>
              <w:spacing w:line="260"/>
            </w:pPr>
            <w:r>
              <w:rPr>
                <w:b/>
                <w:bCs/>
                <w:color w:val="1E2A2E"/>
                <w:sz w:val="18"/>
                <w:szCs w:val="18"/>
              </w:rPr>
              <w:t xml:space="preserve">Likelihood (verosimilitud)</w:t>
            </w:r>
          </w:p>
        </w:tc>
        <w:tc>
          <w:tcPr>
            <w:tcW w:type="dxa" w:w="66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En estadística bayesiana, qué tan compatibles son los datos observados con distintos valores posibles del parámetro que se quiere estimar.</w:t>
            </w:r>
          </w:p>
        </w:tc>
      </w:tr>
      <w:tr>
        <w:tc>
          <w:tcPr>
            <w:tcW w:type="dxa" w:w="2600"/>
            <w:shd w:fill="EDF5F3" w:color="auto" w:val="clear"/>
            <w:tcMar>
              <w:top w:type="dxa" w:w="90"/>
              <w:left w:type="dxa" w:w="120"/>
              <w:bottom w:type="dxa" w:w="90"/>
              <w:right w:type="dxa" w:w="120"/>
            </w:tcMar>
            <w:vAlign w:val="center"/>
          </w:tcPr>
          <w:p>
            <w:pPr>
              <w:spacing w:line="260"/>
            </w:pPr>
            <w:r>
              <w:rPr>
                <w:b/>
                <w:bCs/>
                <w:color w:val="1E2A2E"/>
                <w:sz w:val="18"/>
                <w:szCs w:val="18"/>
              </w:rPr>
              <w:t xml:space="preserve">MCAR / MAR / MNAR</w:t>
            </w:r>
          </w:p>
        </w:tc>
        <w:tc>
          <w:tcPr>
            <w:tcW w:type="dxa" w:w="6600"/>
            <w:shd w:fill="EDF5F3" w:color="auto" w:val="clear"/>
            <w:tcMar>
              <w:top w:type="dxa" w:w="90"/>
              <w:left w:type="dxa" w:w="120"/>
              <w:bottom w:type="dxa" w:w="90"/>
              <w:right w:type="dxa" w:w="120"/>
            </w:tcMar>
            <w:vAlign w:val="center"/>
          </w:tcPr>
          <w:p>
            <w:pPr>
              <w:spacing w:line="260"/>
            </w:pPr>
            <w:r>
              <w:rPr>
                <w:b w:val="false"/>
                <w:bCs w:val="false"/>
                <w:color w:val="1E2A2E"/>
                <w:sz w:val="18"/>
                <w:szCs w:val="18"/>
              </w:rPr>
              <w:t xml:space="preserve">Clasificación de los mecanismos de ausencia de datos: completamente al azar, al azar condicionado a otra variable observada, o no al azar (relacionado con el propio valor no observado). Ver Sección 4.4.</w:t>
            </w:r>
          </w:p>
        </w:tc>
      </w:tr>
      <w:tr>
        <w:tc>
          <w:tcPr>
            <w:tcW w:type="dxa" w:w="2600"/>
            <w:shd w:fill="FFFFFF" w:color="auto" w:val="clear"/>
            <w:tcMar>
              <w:top w:type="dxa" w:w="90"/>
              <w:left w:type="dxa" w:w="120"/>
              <w:bottom w:type="dxa" w:w="90"/>
              <w:right w:type="dxa" w:w="120"/>
            </w:tcMar>
            <w:vAlign w:val="center"/>
          </w:tcPr>
          <w:p>
            <w:pPr>
              <w:spacing w:line="260"/>
            </w:pPr>
            <w:r>
              <w:rPr>
                <w:b/>
                <w:bCs/>
                <w:color w:val="1E2A2E"/>
                <w:sz w:val="18"/>
                <w:szCs w:val="18"/>
              </w:rPr>
              <w:t xml:space="preserve">MCMC (Markov Chain Monte Carlo)</w:t>
            </w:r>
          </w:p>
        </w:tc>
        <w:tc>
          <w:tcPr>
            <w:tcW w:type="dxa" w:w="66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Técnica computacional para estimar modelos bayesianos complejos cuando no existe una fórmula matemática cerrada para la respuesta exacta.</w:t>
            </w:r>
          </w:p>
        </w:tc>
      </w:tr>
      <w:tr>
        <w:tc>
          <w:tcPr>
            <w:tcW w:type="dxa" w:w="2600"/>
            <w:shd w:fill="EDF5F3" w:color="auto" w:val="clear"/>
            <w:tcMar>
              <w:top w:type="dxa" w:w="90"/>
              <w:left w:type="dxa" w:w="120"/>
              <w:bottom w:type="dxa" w:w="90"/>
              <w:right w:type="dxa" w:w="120"/>
            </w:tcMar>
            <w:vAlign w:val="center"/>
          </w:tcPr>
          <w:p>
            <w:pPr>
              <w:spacing w:line="260"/>
            </w:pPr>
            <w:r>
              <w:rPr>
                <w:b/>
                <w:bCs/>
                <w:color w:val="1E2A2E"/>
                <w:sz w:val="18"/>
                <w:szCs w:val="18"/>
              </w:rPr>
              <w:t xml:space="preserve">Modelo jerárquico</w:t>
            </w:r>
          </w:p>
        </w:tc>
        <w:tc>
          <w:tcPr>
            <w:tcW w:type="dxa" w:w="6600"/>
            <w:shd w:fill="EDF5F3" w:color="auto" w:val="clear"/>
            <w:tcMar>
              <w:top w:type="dxa" w:w="90"/>
              <w:left w:type="dxa" w:w="120"/>
              <w:bottom w:type="dxa" w:w="90"/>
              <w:right w:type="dxa" w:w="120"/>
            </w:tcMar>
            <w:vAlign w:val="center"/>
          </w:tcPr>
          <w:p>
            <w:pPr>
              <w:spacing w:line="260"/>
            </w:pPr>
            <w:r>
              <w:rPr>
                <w:b w:val="false"/>
                <w:bCs w:val="false"/>
                <w:color w:val="1E2A2E"/>
                <w:sz w:val="18"/>
                <w:szCs w:val="18"/>
              </w:rPr>
              <w:t xml:space="preserve">Modelo estadístico organizado en niveles anidados (ej. observación diaria dentro de niño, niño dentro de población), que permite compartir información entre niveles.</w:t>
            </w:r>
          </w:p>
        </w:tc>
      </w:tr>
      <w:tr>
        <w:tc>
          <w:tcPr>
            <w:tcW w:type="dxa" w:w="2600"/>
            <w:shd w:fill="FFFFFF" w:color="auto" w:val="clear"/>
            <w:tcMar>
              <w:top w:type="dxa" w:w="90"/>
              <w:left w:type="dxa" w:w="120"/>
              <w:bottom w:type="dxa" w:w="90"/>
              <w:right w:type="dxa" w:w="120"/>
            </w:tcMar>
            <w:vAlign w:val="center"/>
          </w:tcPr>
          <w:p>
            <w:pPr>
              <w:spacing w:line="260"/>
            </w:pPr>
            <w:r>
              <w:rPr>
                <w:b/>
                <w:bCs/>
                <w:color w:val="1E2A2E"/>
                <w:sz w:val="18"/>
                <w:szCs w:val="18"/>
              </w:rPr>
              <w:t xml:space="preserve">Pooling (agrupamiento)</w:t>
            </w:r>
          </w:p>
        </w:tc>
        <w:tc>
          <w:tcPr>
            <w:tcW w:type="dxa" w:w="66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Estrategia para combinar datos de distintos individuos o grupos al estimar un parámetro; puede ser nulo, completo o parcial (jerárquico). Ver Sección 3.2.</w:t>
            </w:r>
          </w:p>
        </w:tc>
      </w:tr>
      <w:tr>
        <w:tc>
          <w:tcPr>
            <w:tcW w:type="dxa" w:w="2600"/>
            <w:shd w:fill="EDF5F3" w:color="auto" w:val="clear"/>
            <w:tcMar>
              <w:top w:type="dxa" w:w="90"/>
              <w:left w:type="dxa" w:w="120"/>
              <w:bottom w:type="dxa" w:w="90"/>
              <w:right w:type="dxa" w:w="120"/>
            </w:tcMar>
            <w:vAlign w:val="center"/>
          </w:tcPr>
          <w:p>
            <w:pPr>
              <w:spacing w:line="260"/>
            </w:pPr>
            <w:r>
              <w:rPr>
                <w:b/>
                <w:bCs/>
                <w:color w:val="1E2A2E"/>
                <w:sz w:val="18"/>
                <w:szCs w:val="18"/>
              </w:rPr>
              <w:t xml:space="preserve">Posterior (distribución a posteriori)</w:t>
            </w:r>
          </w:p>
        </w:tc>
        <w:tc>
          <w:tcPr>
            <w:tcW w:type="dxa" w:w="6600"/>
            <w:shd w:fill="EDF5F3" w:color="auto" w:val="clear"/>
            <w:tcMar>
              <w:top w:type="dxa" w:w="90"/>
              <w:left w:type="dxa" w:w="120"/>
              <w:bottom w:type="dxa" w:w="90"/>
              <w:right w:type="dxa" w:w="120"/>
            </w:tcMar>
            <w:vAlign w:val="center"/>
          </w:tcPr>
          <w:p>
            <w:pPr>
              <w:spacing w:line="260"/>
            </w:pPr>
            <w:r>
              <w:rPr>
                <w:b w:val="false"/>
                <w:bCs w:val="false"/>
                <w:color w:val="1E2A2E"/>
                <w:sz w:val="18"/>
                <w:szCs w:val="18"/>
              </w:rPr>
              <w:t xml:space="preserve">En estadística bayesiana, la creencia actualizada sobre un parámetro después de observar los datos, combinando el prior y el likelihood.</w:t>
            </w:r>
          </w:p>
        </w:tc>
      </w:tr>
      <w:tr>
        <w:tc>
          <w:tcPr>
            <w:tcW w:type="dxa" w:w="2600"/>
            <w:shd w:fill="FFFFFF" w:color="auto" w:val="clear"/>
            <w:tcMar>
              <w:top w:type="dxa" w:w="90"/>
              <w:left w:type="dxa" w:w="120"/>
              <w:bottom w:type="dxa" w:w="90"/>
              <w:right w:type="dxa" w:w="120"/>
            </w:tcMar>
            <w:vAlign w:val="center"/>
          </w:tcPr>
          <w:p>
            <w:pPr>
              <w:spacing w:line="260"/>
            </w:pPr>
            <w:r>
              <w:rPr>
                <w:b/>
                <w:bCs/>
                <w:color w:val="1E2A2E"/>
                <w:sz w:val="18"/>
                <w:szCs w:val="18"/>
              </w:rPr>
              <w:t xml:space="preserve">Prior (distribución a priori)</w:t>
            </w:r>
          </w:p>
        </w:tc>
        <w:tc>
          <w:tcPr>
            <w:tcW w:type="dxa" w:w="66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En estadística bayesiana, la creencia inicial sobre un parámetro antes de observar los datos nuevos.</w:t>
            </w:r>
          </w:p>
        </w:tc>
      </w:tr>
      <w:tr>
        <w:tc>
          <w:tcPr>
            <w:tcW w:type="dxa" w:w="2600"/>
            <w:shd w:fill="EDF5F3" w:color="auto" w:val="clear"/>
            <w:tcMar>
              <w:top w:type="dxa" w:w="90"/>
              <w:left w:type="dxa" w:w="120"/>
              <w:bottom w:type="dxa" w:w="90"/>
              <w:right w:type="dxa" w:w="120"/>
            </w:tcMar>
            <w:vAlign w:val="center"/>
          </w:tcPr>
          <w:p>
            <w:pPr>
              <w:spacing w:line="260"/>
            </w:pPr>
            <w:r>
              <w:rPr>
                <w:b/>
                <w:bCs/>
                <w:color w:val="1E2A2E"/>
                <w:sz w:val="18"/>
                <w:szCs w:val="18"/>
              </w:rPr>
              <w:t xml:space="preserve">PyMC</w:t>
            </w:r>
          </w:p>
        </w:tc>
        <w:tc>
          <w:tcPr>
            <w:tcW w:type="dxa" w:w="6600"/>
            <w:shd w:fill="EDF5F3" w:color="auto" w:val="clear"/>
            <w:tcMar>
              <w:top w:type="dxa" w:w="90"/>
              <w:left w:type="dxa" w:w="120"/>
              <w:bottom w:type="dxa" w:w="90"/>
              <w:right w:type="dxa" w:w="120"/>
            </w:tcMar>
            <w:vAlign w:val="center"/>
          </w:tcPr>
          <w:p>
            <w:pPr>
              <w:spacing w:line="260"/>
            </w:pPr>
            <w:r>
              <w:rPr>
                <w:b w:val="false"/>
                <w:bCs w:val="false"/>
                <w:color w:val="1E2A2E"/>
                <w:sz w:val="18"/>
                <w:szCs w:val="18"/>
              </w:rPr>
              <w:t xml:space="preserve">Librería de Python para construir y ajustar modelos bayesianos mediante MCMC.</w:t>
            </w:r>
          </w:p>
        </w:tc>
      </w:tr>
      <w:tr>
        <w:tc>
          <w:tcPr>
            <w:tcW w:type="dxa" w:w="2600"/>
            <w:shd w:fill="FFFFFF" w:color="auto" w:val="clear"/>
            <w:tcMar>
              <w:top w:type="dxa" w:w="90"/>
              <w:left w:type="dxa" w:w="120"/>
              <w:bottom w:type="dxa" w:w="90"/>
              <w:right w:type="dxa" w:w="120"/>
            </w:tcMar>
            <w:vAlign w:val="center"/>
          </w:tcPr>
          <w:p>
            <w:pPr>
              <w:spacing w:line="260"/>
            </w:pPr>
            <w:r>
              <w:rPr>
                <w:b/>
                <w:bCs/>
                <w:color w:val="1E2A2E"/>
                <w:sz w:val="18"/>
                <w:szCs w:val="18"/>
              </w:rPr>
              <w:t xml:space="preserve">Random Forest</w:t>
            </w:r>
          </w:p>
        </w:tc>
        <w:tc>
          <w:tcPr>
            <w:tcW w:type="dxa" w:w="66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Modelo de ensamble que combina muchos árboles de decisión entrenados con variaciones aleatorias de los datos.</w:t>
            </w:r>
          </w:p>
        </w:tc>
      </w:tr>
      <w:tr>
        <w:tc>
          <w:tcPr>
            <w:tcW w:type="dxa" w:w="2600"/>
            <w:shd w:fill="EDF5F3" w:color="auto" w:val="clear"/>
            <w:tcMar>
              <w:top w:type="dxa" w:w="90"/>
              <w:left w:type="dxa" w:w="120"/>
              <w:bottom w:type="dxa" w:w="90"/>
              <w:right w:type="dxa" w:w="120"/>
            </w:tcMar>
            <w:vAlign w:val="center"/>
          </w:tcPr>
          <w:p>
            <w:pPr>
              <w:spacing w:line="260"/>
            </w:pPr>
            <w:r>
              <w:rPr>
                <w:b/>
                <w:bCs/>
                <w:color w:val="1E2A2E"/>
                <w:sz w:val="18"/>
                <w:szCs w:val="18"/>
              </w:rPr>
              <w:t xml:space="preserve">Shrinkage (contracción hacia la media)</w:t>
            </w:r>
          </w:p>
        </w:tc>
        <w:tc>
          <w:tcPr>
            <w:tcW w:type="dxa" w:w="6600"/>
            <w:shd w:fill="EDF5F3" w:color="auto" w:val="clear"/>
            <w:tcMar>
              <w:top w:type="dxa" w:w="90"/>
              <w:left w:type="dxa" w:w="120"/>
              <w:bottom w:type="dxa" w:w="90"/>
              <w:right w:type="dxa" w:w="120"/>
            </w:tcMar>
            <w:vAlign w:val="center"/>
          </w:tcPr>
          <w:p>
            <w:pPr>
              <w:spacing w:line="260"/>
            </w:pPr>
            <w:r>
              <w:rPr>
                <w:b w:val="false"/>
                <w:bCs w:val="false"/>
                <w:color w:val="1E2A2E"/>
                <w:sz w:val="18"/>
                <w:szCs w:val="18"/>
              </w:rPr>
              <w:t xml:space="preserve">Fenómeno por el cual la estimación de un individuo con pocos datos se ajusta hacia el promedio general de la población. Ver Sección 3.4.</w:t>
            </w:r>
          </w:p>
        </w:tc>
      </w:tr>
      <w:tr>
        <w:tc>
          <w:tcPr>
            <w:tcW w:type="dxa" w:w="2600"/>
            <w:shd w:fill="FFFFFF" w:color="auto" w:val="clear"/>
            <w:tcMar>
              <w:top w:type="dxa" w:w="90"/>
              <w:left w:type="dxa" w:w="120"/>
              <w:bottom w:type="dxa" w:w="90"/>
              <w:right w:type="dxa" w:w="120"/>
            </w:tcMar>
            <w:vAlign w:val="center"/>
          </w:tcPr>
          <w:p>
            <w:pPr>
              <w:spacing w:line="260"/>
            </w:pPr>
            <w:r>
              <w:rPr>
                <w:b/>
                <w:bCs/>
                <w:color w:val="1E2A2E"/>
                <w:sz w:val="18"/>
                <w:szCs w:val="18"/>
              </w:rPr>
              <w:t xml:space="preserve">Sobreajuste (overfitting)</w:t>
            </w:r>
          </w:p>
        </w:tc>
        <w:tc>
          <w:tcPr>
            <w:tcW w:type="dxa" w:w="66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Cuando un modelo confunde ruido aleatorio de una muestra pequeña con un patrón real, generalizando mal a datos nuevos.</w:t>
            </w:r>
          </w:p>
        </w:tc>
      </w:tr>
      <w:tr>
        <w:tc>
          <w:tcPr>
            <w:tcW w:type="dxa" w:w="2600"/>
            <w:shd w:fill="EDF5F3" w:color="auto" w:val="clear"/>
            <w:tcMar>
              <w:top w:type="dxa" w:w="90"/>
              <w:left w:type="dxa" w:w="120"/>
              <w:bottom w:type="dxa" w:w="90"/>
              <w:right w:type="dxa" w:w="120"/>
            </w:tcMar>
            <w:vAlign w:val="center"/>
          </w:tcPr>
          <w:p>
            <w:pPr>
              <w:spacing w:line="260"/>
            </w:pPr>
            <w:r>
              <w:rPr>
                <w:b/>
                <w:bCs/>
                <w:color w:val="1E2A2E"/>
                <w:sz w:val="18"/>
                <w:szCs w:val="18"/>
              </w:rPr>
              <w:t xml:space="preserve">Valor de la información (Value of Information)</w:t>
            </w:r>
          </w:p>
        </w:tc>
        <w:tc>
          <w:tcPr>
            <w:tcW w:type="dxa" w:w="6600"/>
            <w:shd w:fill="EDF5F3" w:color="auto" w:val="clear"/>
            <w:tcMar>
              <w:top w:type="dxa" w:w="90"/>
              <w:left w:type="dxa" w:w="120"/>
              <w:bottom w:type="dxa" w:w="90"/>
              <w:right w:type="dxa" w:w="120"/>
            </w:tcMar>
            <w:vAlign w:val="center"/>
          </w:tcPr>
          <w:p>
            <w:pPr>
              <w:spacing w:line="260"/>
            </w:pPr>
            <w:r>
              <w:rPr>
                <w:b w:val="false"/>
                <w:bCs w:val="false"/>
                <w:color w:val="1E2A2E"/>
                <w:sz w:val="18"/>
                <w:szCs w:val="18"/>
              </w:rPr>
              <w:t xml:space="preserve">En teoría de decisiones, una medida de cuánto ayudaría obtener un dato adicional antes de tomar una decisión bajo incertidumbre. Base del selector de la pregunta del día (Sección 6.3).</w:t>
            </w:r>
          </w:p>
        </w:tc>
      </w:tr>
      <w:tr>
        <w:tc>
          <w:tcPr>
            <w:tcW w:type="dxa" w:w="2600"/>
            <w:shd w:fill="FFFFFF" w:color="auto" w:val="clear"/>
            <w:tcMar>
              <w:top w:type="dxa" w:w="90"/>
              <w:left w:type="dxa" w:w="120"/>
              <w:bottom w:type="dxa" w:w="90"/>
              <w:right w:type="dxa" w:w="120"/>
            </w:tcMar>
            <w:vAlign w:val="center"/>
          </w:tcPr>
          <w:p>
            <w:pPr>
              <w:spacing w:line="260"/>
            </w:pPr>
            <w:r>
              <w:rPr>
                <w:b/>
                <w:bCs/>
                <w:color w:val="1E2A2E"/>
                <w:sz w:val="18"/>
                <w:szCs w:val="18"/>
              </w:rPr>
              <w:t xml:space="preserve">Varianza</w:t>
            </w:r>
          </w:p>
        </w:tc>
        <w:tc>
          <w:tcPr>
            <w:tcW w:type="dxa" w:w="6600"/>
            <w:shd w:fill="FFFFFF" w:color="auto" w:val="clear"/>
            <w:tcMar>
              <w:top w:type="dxa" w:w="90"/>
              <w:left w:type="dxa" w:w="120"/>
              <w:bottom w:type="dxa" w:w="90"/>
              <w:right w:type="dxa" w:w="120"/>
            </w:tcMar>
            <w:vAlign w:val="center"/>
          </w:tcPr>
          <w:p>
            <w:pPr>
              <w:spacing w:line="260"/>
            </w:pPr>
            <w:r>
              <w:rPr>
                <w:b w:val="false"/>
                <w:bCs w:val="false"/>
                <w:color w:val="1E2A2E"/>
                <w:sz w:val="18"/>
                <w:szCs w:val="18"/>
              </w:rPr>
              <w:t xml:space="preserve">Medida de qué tan dispersos están los datos respecto a su promedio; en un ensamble, la varianza entre modelos se usa como medida de incertidumbre.</w:t>
            </w:r>
          </w:p>
        </w:tc>
      </w:tr>
    </w:tbl>
    <w:p>
      <w:r>
        <w:br w:type="page"/>
      </w:r>
    </w:p>
    <w:p>
      <w:pPr>
        <w:pStyle w:val="Heading1"/>
        <w:spacing w:after="200" w:before="400"/>
      </w:pPr>
      <w:bookmarkStart w:name="sec12" w:id="1011"/>
      <w:r>
        <w:rPr>
          <w:b/>
          <w:bCs/>
          <w:color w:val="028090"/>
          <w:sz w:val="32"/>
          <w:szCs w:val="32"/>
        </w:rPr>
        <w:t xml:space="preserve">12. Anexo — Alcance real de las bases del desafío</w:t>
      </w:r>
      <w:bookmarkEnd w:id="1011"/>
    </w:p>
    <w:p>
      <w:pPr>
        <w:spacing w:after="160" w:line="300"/>
        <w:jc w:val="both"/>
      </w:pPr>
      <w:r>
        <w:rPr>
          <w:color w:val="1E2A2E"/>
          <w:sz w:val="21"/>
          <w:szCs w:val="21"/>
        </w:rPr>
        <w:t xml:space="preserve">Para evitar sobreinterpretar el enunciado del desafío frente al jurado, se deja constancia de lo que las bases de NeuroHack 2026 efectivamente especifican y lo que no, respecto de la plataforma Bluba:</w:t>
      </w:r>
    </w:p>
    <w:p>
      <w:pPr>
        <w:pStyle w:val="Heading3"/>
        <w:spacing w:after="100" w:before="200"/>
      </w:pPr>
      <w:r>
        <w:rPr>
          <w:b/>
          <w:bCs/>
          <w:color w:val="00A896"/>
          <w:sz w:val="23"/>
          <w:szCs w:val="23"/>
        </w:rPr>
        <w:t xml:space="preserve">Lo que las bases especifican</w:t>
      </w:r>
    </w:p>
    <w:p>
      <w:pPr>
        <w:pStyle w:val="ListParagraph"/>
        <w:numPr>
          <w:ilvl w:val="0"/>
          <w:numId w:val="1"/>
        </w:numPr>
        <w:spacing w:after="90" w:line="290"/>
      </w:pPr>
      <w:r>
        <w:rPr>
          <w:color w:val="1E2A2E"/>
          <w:sz w:val="21"/>
          <w:szCs w:val="21"/>
        </w:rPr>
        <w:t xml:space="preserve">La lista completa de variables que se registran hoy en la plataforma, vía bitácora diaria y observaciones terapéuticas/escolares (Sección 4 de las bases; ver Sección 4.1 de este documento).</w:t>
      </w:r>
    </w:p>
    <w:p>
      <w:pPr>
        <w:pStyle w:val="ListParagraph"/>
        <w:numPr>
          <w:ilvl w:val="0"/>
          <w:numId w:val="1"/>
        </w:numPr>
        <w:spacing w:after="90" w:line="290"/>
      </w:pPr>
      <w:r>
        <w:rPr>
          <w:color w:val="1E2A2E"/>
          <w:sz w:val="21"/>
          <w:szCs w:val="21"/>
        </w:rPr>
        <w:t xml:space="preserve">Que dichos datos son registrados manualmente por familias, profesionales y equipos educativos.</w:t>
      </w:r>
    </w:p>
    <w:p>
      <w:pPr>
        <w:pStyle w:val="ListParagraph"/>
        <w:numPr>
          <w:ilvl w:val="0"/>
          <w:numId w:val="1"/>
        </w:numPr>
        <w:spacing w:after="90" w:line="290"/>
      </w:pPr>
      <w:r>
        <w:rPr>
          <w:color w:val="1E2A2E"/>
          <w:sz w:val="21"/>
          <w:szCs w:val="21"/>
        </w:rPr>
        <w:t xml:space="preserve">Los requisitos funcionales que la solución propuesta debe cumplir (gestión de datos incompletos, nivel de confianza, explicabilidad, reducción de carga de registro, alertas).</w:t>
      </w:r>
    </w:p>
    <w:p>
      <w:pPr>
        <w:pStyle w:val="Heading3"/>
        <w:spacing w:after="100" w:before="200"/>
      </w:pPr>
      <w:r>
        <w:rPr>
          <w:b/>
          <w:bCs/>
          <w:color w:val="00A896"/>
          <w:sz w:val="23"/>
          <w:szCs w:val="23"/>
        </w:rPr>
        <w:t xml:space="preserve">Lo que las bases no especifican</w:t>
      </w:r>
    </w:p>
    <w:p>
      <w:pPr>
        <w:pStyle w:val="ListParagraph"/>
        <w:numPr>
          <w:ilvl w:val="0"/>
          <w:numId w:val="1"/>
        </w:numPr>
        <w:spacing w:after="90" w:line="290"/>
      </w:pPr>
      <w:r>
        <w:rPr>
          <w:color w:val="1E2A2E"/>
          <w:sz w:val="21"/>
          <w:szCs w:val="21"/>
        </w:rPr>
        <w:t xml:space="preserve">La arquitectura técnica, interfaz, stack tecnológico o volumen de datos reales de la plataforma Bluba.</w:t>
      </w:r>
    </w:p>
    <w:p>
      <w:pPr>
        <w:pStyle w:val="ListParagraph"/>
        <w:numPr>
          <w:ilvl w:val="0"/>
          <w:numId w:val="1"/>
        </w:numPr>
        <w:spacing w:after="90" w:line="290"/>
      </w:pPr>
      <w:r>
        <w:rPr>
          <w:color w:val="1E2A2E"/>
          <w:sz w:val="21"/>
          <w:szCs w:val="21"/>
        </w:rPr>
        <w:t xml:space="preserve">Si la plataforma ya cuenta con algún modelo predictivo, mecanismo de imputación o cálculo de confianza propio.</w:t>
      </w:r>
    </w:p>
    <w:p>
      <w:pPr>
        <w:pStyle w:val="ListParagraph"/>
        <w:numPr>
          <w:ilvl w:val="0"/>
          <w:numId w:val="1"/>
        </w:numPr>
        <w:spacing w:after="90" w:line="290"/>
      </w:pPr>
      <w:r>
        <w:rPr>
          <w:color w:val="1E2A2E"/>
          <w:sz w:val="21"/>
          <w:szCs w:val="21"/>
        </w:rPr>
        <w:t xml:space="preserve">Cualquier detalle de integración (APIs, formatos de datos, autenticación) con sistemas externos.</w:t>
      </w:r>
    </w:p>
    <w:p>
      <w:pPr>
        <w:spacing w:after="160" w:line="300"/>
        <w:jc w:val="both"/>
      </w:pPr>
      <w:r>
        <w:rPr>
          <w:color w:val="1E2A2E"/>
          <w:sz w:val="21"/>
          <w:szCs w:val="21"/>
        </w:rPr>
        <w:t xml:space="preserve">En consecuencia, Antesala se presenta como un prototipo de razonamiento y de interfaz que asume una integración futura con la base de datos real de Bluba mediante una API a definir, sin que esto constituya una afirmación sobre cómo funciona el sistema real de la empresa. Este documento, junto con la presentación de apoyo (Antesala_NeuroHack2026.pptx), constituye el respaldo técnico completo del equipo para la fase de selección y para el evento final de la hackatón.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6B6E"/>
        <w:sz w:val="16"/>
        <w:szCs w:val="16"/>
      </w:rPr>
      <w:t xml:space="preserve">Página </w:t>
    </w:r>
    <w:r>
      <w:rPr>
        <w:color w:val="5C6B6E"/>
        <w:sz w:val="16"/>
        <w:szCs w:val="16"/>
      </w:rPr>
      <w:fldChar w:fldCharType="begin"/>
      <w:instrText xml:space="preserve">PAGE</w:instrText>
      <w:fldChar w:fldCharType="separate"/>
      <w:fldChar w:fldCharType="end"/>
    </w:r>
    <w:r>
      <w:rPr>
        <w:color w:val="5C6B6E"/>
        <w:sz w:val="16"/>
        <w:szCs w:val="16"/>
      </w:rPr>
      <w:t xml:space="preserve"> de </w:t>
    </w:r>
    <w:r>
      <w:rPr>
        <w:color w:val="5C6B6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C6B6E"/>
        <w:sz w:val="16"/>
        <w:szCs w:val="16"/>
      </w:rPr>
      <w:t xml:space="preserve">ANTESALA — NeuroHack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2026-08-23T05:27:33.590Z</dcterms:created>
  <dcterms:modified xsi:type="dcterms:W3CDTF">2026-08-23T05:27:33.603Z</dcterms:modified>
</cp:coreProperties>
</file>

<file path=docProps/custom.xml><?xml version="1.0" encoding="utf-8"?>
<Properties xmlns="http://schemas.openxmlformats.org/officeDocument/2006/custom-properties" xmlns:vt="http://schemas.openxmlformats.org/officeDocument/2006/docPropsVTypes"/>
</file>