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2"/>
        <w:gridCol w:w="2673"/>
        <w:gridCol w:w="4394"/>
      </w:tblGrid>
      <w:tr w:rsidR="002125C5" w:rsidRPr="00AB4C0E" w14:paraId="435BD952" w14:textId="77777777" w:rsidTr="002125C5">
        <w:trPr>
          <w:trHeight w:val="458"/>
        </w:trPr>
        <w:tc>
          <w:tcPr>
            <w:tcW w:w="10175" w:type="dxa"/>
            <w:gridSpan w:val="2"/>
          </w:tcPr>
          <w:p w14:paraId="2F33F9D6" w14:textId="6DE0C4A5" w:rsidR="00D97A8D" w:rsidRPr="00D97A8D" w:rsidRDefault="00D97A8D" w:rsidP="00D97A8D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proofErr w:type="gramStart"/>
            <w:r w:rsidRPr="00D97A8D">
              <w:rPr>
                <w:rFonts w:ascii="Arial" w:hAnsi="Arial" w:cs="Arial"/>
                <w:b/>
                <w:bCs/>
                <w:lang w:val="es-MX"/>
              </w:rPr>
              <w:t>Nombres :</w:t>
            </w:r>
            <w:proofErr w:type="gramEnd"/>
            <w:r w:rsidR="002125C5" w:rsidRPr="00D97A8D">
              <w:rPr>
                <w:rFonts w:ascii="Arial" w:hAnsi="Arial" w:cs="Arial"/>
                <w:lang w:val="es-MX"/>
              </w:rPr>
              <w:t xml:space="preserve"> </w:t>
            </w:r>
            <w:r w:rsidRPr="00D97A8D">
              <w:rPr>
                <w:rFonts w:ascii="Arial" w:hAnsi="Arial" w:cs="Arial"/>
                <w:b/>
                <w:bCs/>
                <w:lang w:val="es-MX"/>
              </w:rPr>
              <w:t>E</w:t>
            </w:r>
            <w:r>
              <w:rPr>
                <w:rFonts w:ascii="Arial" w:hAnsi="Arial" w:cs="Arial"/>
                <w:b/>
                <w:bCs/>
                <w:lang w:val="es-MX"/>
              </w:rPr>
              <w:t>quipo 8</w:t>
            </w:r>
          </w:p>
          <w:p w14:paraId="25DEB46B" w14:textId="6BBC3B18" w:rsidR="002125C5" w:rsidRPr="00D97A8D" w:rsidRDefault="00D97A8D" w:rsidP="00D97A8D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D97A8D">
              <w:rPr>
                <w:rFonts w:ascii="Arial" w:hAnsi="Arial" w:cs="Arial"/>
                <w:lang w:val="es-MX"/>
              </w:rPr>
              <w:t>Andrés Caleb Leija Pedroza</w:t>
            </w:r>
          </w:p>
          <w:p w14:paraId="31B88F40" w14:textId="02FC2FE9" w:rsidR="00D97A8D" w:rsidRPr="00D97A8D" w:rsidRDefault="00D97A8D" w:rsidP="00D97A8D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4394" w:type="dxa"/>
          </w:tcPr>
          <w:p w14:paraId="58E91D98" w14:textId="02214722" w:rsidR="00D97A8D" w:rsidRDefault="002125C5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="00D97A8D">
              <w:rPr>
                <w:rFonts w:ascii="Arial" w:hAnsi="Arial" w:cs="Arial"/>
                <w:b/>
                <w:bCs/>
              </w:rPr>
              <w:t>s</w:t>
            </w:r>
            <w:r w:rsidRPr="02430DCF">
              <w:rPr>
                <w:rFonts w:ascii="Arial" w:hAnsi="Arial" w:cs="Arial"/>
              </w:rPr>
              <w:t xml:space="preserve">: </w:t>
            </w:r>
          </w:p>
          <w:p w14:paraId="105C6358" w14:textId="780452CB" w:rsidR="002125C5" w:rsidRPr="00AB4C0E" w:rsidRDefault="00D97A8D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2144830</w:t>
            </w:r>
          </w:p>
        </w:tc>
      </w:tr>
      <w:tr w:rsidR="002125C5" w:rsidRPr="00AB4C0E" w14:paraId="1C1EDCCA" w14:textId="77777777" w:rsidTr="002125C5">
        <w:trPr>
          <w:trHeight w:val="222"/>
        </w:trPr>
        <w:tc>
          <w:tcPr>
            <w:tcW w:w="7502" w:type="dxa"/>
          </w:tcPr>
          <w:p w14:paraId="35ACFB07" w14:textId="073571EE" w:rsidR="002125C5" w:rsidRPr="007D6318" w:rsidRDefault="002125C5" w:rsidP="00D97A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D97A8D"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7067" w:type="dxa"/>
            <w:gridSpan w:val="2"/>
          </w:tcPr>
          <w:p w14:paraId="48270606" w14:textId="77777777" w:rsidR="002125C5" w:rsidRPr="00AB4C0E" w:rsidRDefault="002125C5" w:rsidP="00D97A8D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004ABB11" w14:textId="77777777" w:rsidTr="002125C5">
        <w:trPr>
          <w:trHeight w:val="121"/>
        </w:trPr>
        <w:tc>
          <w:tcPr>
            <w:tcW w:w="7502" w:type="dxa"/>
          </w:tcPr>
          <w:p w14:paraId="6708E53B" w14:textId="23FD3CA7" w:rsidR="002125C5" w:rsidRPr="00AB4C0E" w:rsidRDefault="002125C5" w:rsidP="00D97A8D">
            <w:pPr>
              <w:spacing w:line="360" w:lineRule="auto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67" w:type="dxa"/>
            <w:gridSpan w:val="2"/>
          </w:tcPr>
          <w:p w14:paraId="5B4EFCF2" w14:textId="3B1E5F62" w:rsidR="002125C5" w:rsidRPr="00AB4C0E" w:rsidRDefault="002125C5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="00D97A8D">
              <w:rPr>
                <w:rFonts w:ascii="Arial" w:hAnsi="Arial" w:cs="Arial"/>
              </w:rPr>
              <w:t>Matriz de Trazabilidad</w:t>
            </w:r>
          </w:p>
        </w:tc>
      </w:tr>
      <w:tr w:rsidR="002125C5" w:rsidRPr="00AB4C0E" w14:paraId="1D4FDF28" w14:textId="77777777" w:rsidTr="002125C5">
        <w:trPr>
          <w:trHeight w:val="458"/>
        </w:trPr>
        <w:tc>
          <w:tcPr>
            <w:tcW w:w="14570" w:type="dxa"/>
            <w:gridSpan w:val="3"/>
          </w:tcPr>
          <w:p w14:paraId="4DF724E9" w14:textId="3898ABE0" w:rsidR="002125C5" w:rsidRPr="00AB4C0E" w:rsidRDefault="002125C5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D97A8D">
              <w:rPr>
                <w:rFonts w:ascii="Arial" w:hAnsi="Arial" w:cs="Arial"/>
              </w:rPr>
              <w:t>17</w:t>
            </w:r>
            <w:r>
              <w:rPr>
                <w:rFonts w:ascii="Arial" w:hAnsi="Arial" w:cs="Arial"/>
              </w:rPr>
              <w:t>/</w:t>
            </w:r>
            <w:r w:rsidR="00D97A8D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/202</w:t>
            </w:r>
            <w:r w:rsidR="00D97A8D">
              <w:rPr>
                <w:rFonts w:ascii="Arial" w:hAnsi="Arial" w:cs="Arial"/>
              </w:rPr>
              <w:t>6</w:t>
            </w:r>
          </w:p>
        </w:tc>
      </w:tr>
      <w:tr w:rsidR="002125C5" w:rsidRPr="00AB4C0E" w14:paraId="157FC9AD" w14:textId="77777777" w:rsidTr="002125C5">
        <w:trPr>
          <w:trHeight w:val="938"/>
        </w:trPr>
        <w:tc>
          <w:tcPr>
            <w:tcW w:w="14570" w:type="dxa"/>
            <w:gridSpan w:val="3"/>
          </w:tcPr>
          <w:p w14:paraId="1C30C199" w14:textId="77777777" w:rsidR="002125C5" w:rsidRPr="00472B17" w:rsidRDefault="002125C5" w:rsidP="00D97A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>
            <w:pPr>
              <w:spacing w:line="360" w:lineRule="auto" w:after="0"/>
              <w:ind w:left="567" w:hanging="567"/>
              <w:jc w:val="left"/>
            </w:pPr>
            <w:r>
              <w:rPr>
                <w:rFonts w:ascii="Arial" w:hAnsi="Arial"/>
                <w:i w:val="0"/>
                <w:sz w:val="24"/>
              </w:rPr>
              <w:t xml:space="preserve">Evans, E. (2003). </w:t>
            </w:r>
            <w:r>
              <w:rPr>
                <w:rFonts w:ascii="Arial" w:hAnsi="Arial"/>
                <w:i/>
                <w:sz w:val="24"/>
              </w:rPr>
              <w:t>Domain-driven design: Tackling complexity in the heart of software</w:t>
            </w:r>
            <w:r>
              <w:rPr>
                <w:rFonts w:ascii="Arial" w:hAnsi="Arial"/>
                <w:i w:val="0"/>
                <w:sz w:val="24"/>
              </w:rPr>
              <w:t>. Addison-Wesley.</w:t>
            </w:r>
          </w:p>
          <w:p>
            <w:pPr>
              <w:spacing w:line="360" w:lineRule="auto" w:after="0"/>
              <w:ind w:left="567" w:hanging="567"/>
              <w:jc w:val="left"/>
            </w:pPr>
            <w:r>
              <w:rPr>
                <w:rFonts w:ascii="Arial" w:hAnsi="Arial"/>
                <w:i w:val="0"/>
                <w:sz w:val="24"/>
              </w:rPr>
              <w:t xml:space="preserve">Fowler, M. (2002). </w:t>
            </w:r>
            <w:r>
              <w:rPr>
                <w:rFonts w:ascii="Arial" w:hAnsi="Arial"/>
                <w:i/>
                <w:sz w:val="24"/>
              </w:rPr>
              <w:t>Patterns of enterprise application architecture</w:t>
            </w:r>
            <w:r>
              <w:rPr>
                <w:rFonts w:ascii="Arial" w:hAnsi="Arial"/>
                <w:i w:val="0"/>
                <w:sz w:val="24"/>
              </w:rPr>
              <w:t>. Addison-Wesley.</w:t>
            </w:r>
          </w:p>
          <w:p>
            <w:pPr>
              <w:spacing w:line="360" w:lineRule="auto" w:after="0"/>
              <w:ind w:left="567" w:hanging="567"/>
              <w:jc w:val="left"/>
            </w:pPr>
            <w:r>
              <w:rPr>
                <w:rFonts w:ascii="Arial" w:hAnsi="Arial"/>
                <w:i w:val="0"/>
                <w:sz w:val="24"/>
              </w:rPr>
              <w:t xml:space="preserve">Martin, R. C. (2003). </w:t>
            </w:r>
            <w:r>
              <w:rPr>
                <w:rFonts w:ascii="Arial" w:hAnsi="Arial"/>
                <w:i/>
                <w:sz w:val="24"/>
              </w:rPr>
              <w:t>Agile software development: Principles, patterns, and practices</w:t>
            </w:r>
            <w:r>
              <w:rPr>
                <w:rFonts w:ascii="Arial" w:hAnsi="Arial"/>
                <w:i w:val="0"/>
                <w:sz w:val="24"/>
              </w:rPr>
              <w:t>. Prentice Hall.</w:t>
            </w:r>
          </w:p>
        </w:tc>
      </w:tr>
    </w:tbl>
    <w:p>
      <w:pPr>
        <w:pStyle w:val="Ttulo1"/>
      </w:pPr>
      <w:r>
        <w:t>Matriz de trazabilidad de AulaPlus</w:t>
      </w:r>
    </w:p>
    <w:p>
      <w:pPr>
        <w:jc w:val="both"/>
      </w:pPr>
      <w:r>
        <w:t>Matriz de trazabilidad de AulaPlus. Proceso principal: reserva, pago, cancelación, disputa y liberación. Cada fila vincula un escenario con su evidencia y arquitectura.</w:t>
      </w:r>
    </w:p>
    <w:p>
      <w:pPr>
        <w:jc w:val="both"/>
      </w:pPr>
      <w:r>
        <w:t>Por el ancho de la matriz original (12 columnas), se presenta en dos tablas que comparten el número de fila: la primera relaciona necesidades, requerimientos, historias, reglas y escenarios; la segunda, componentes, objetos de dominio, persistencia, decisiones ADR y evidencia.</w:t>
      </w:r>
    </w:p>
    <w:p>
      <w:pPr>
        <w:pStyle w:val="Ttulo2"/>
      </w:pPr>
      <w:r>
        <w:t>1 Necesidades, requerimientos, historias y escenarios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3"/>
        <w:gridCol w:w="1004"/>
        <w:gridCol w:w="1909"/>
        <w:gridCol w:w="1306"/>
        <w:gridCol w:w="1306"/>
        <w:gridCol w:w="1306"/>
        <w:gridCol w:w="5225"/>
        <w:gridCol w:w="1811"/>
      </w:tblGrid>
      <w:tr>
        <w:trPr>
          <w:cantSplit/>
          <w:tblHeader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Caso de uso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Necesidad BRD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Requerimiento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Historia U2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Regla / hallazgo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Escenario verificable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NB-02 Disponibilidad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1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US-01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R-02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Rechaza una reserva iniciada con menos de 2 horas de anticipación.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2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NB-09 Pago pendiente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15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US-02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R-03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Congela el bloque durante 10 minutos mientras se procesa el pago.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3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NB-08 Cupo presencial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14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US-14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R-07; H-06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Rechaza la reserva presencial cuando la sede no tiene cupo.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Decisión pendiente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4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NB-02 Disponibilidad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US-11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R-10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Oculta de la búsqueda un perfil sin agenda actualizada en 7 días.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5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NB-09 Pago pendiente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15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US-02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R-03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Al vencer 10 minutos sin pago confirmado, cancela y libera el horario.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6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NB-02 Disponibilidad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15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US-03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R-04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Con pago íntegro y oportuno, confirma la sesión y bloquea el horario.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7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NB-06 Cobro en app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12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US-12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R-12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La operación de cobro se realiza dentro de la plataforma. La extensión es otro flujo de U2.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Parcial en U3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8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NB-09 Pago pendiente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15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US-02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H-11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La pasarela confirma un cobro después de que venció el congelamiento.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Decisión pendiente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9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NB-09 Pago pendiente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15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US-02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H-13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El pago falla antes de vencer; la reserva permanece congelada para reintento.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Diseño pendiente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10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CU-03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NB-03 Reembolsos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8; 10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US-07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R-06; H-05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Cancela antes del inicio; aplica el reembolso según anticipación y libera el bloque.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Integración pendiente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11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CU-04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NB-12 Disputas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18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US-16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R-08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Abre una disputa y la envía a mediación con plazo máximo de 72 horas.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12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CU-04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NB-12 Disputas; NB-05 Pago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7; 18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US-16; US-17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R-05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La disputa abierta impide liberar fondos al tutor.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Validada en principio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13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NB-05 Comisión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6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US-19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R-01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Calcula comisión del 20 % y neto sobre una sesión completada.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Validada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14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NB-05 Liberación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7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US-17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R-05; H-01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Libera solo tras la retención y si no hay disputa abierta.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Conflicto de fuentes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15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NB-01 Evidencia de sesión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Req. 3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US-04; US-05; US-06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R-11; H-15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Completar la sesión requiere evidencia verificable o decisión de soporte.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Diseño pendiente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16</w:t>
            </w:r>
          </w:p>
        </w:tc>
        <w:tc>
          <w:tcPr>
            <w:tcW w:type="dxa" w:w="10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190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NB-12 Disputas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Req. 18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US-16</w:t>
            </w:r>
          </w:p>
        </w:tc>
        <w:tc>
          <w:tcPr>
            <w:tcW w:type="dxa" w:w="13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R-08</w:t>
            </w:r>
          </w:p>
        </w:tc>
        <w:tc>
          <w:tcPr>
            <w:tcW w:type="dxa" w:w="522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Una disputa en mediación detiene la liberación y puede producir reembolso.</w:t>
            </w:r>
          </w:p>
        </w:tc>
        <w:tc>
          <w:tcPr>
            <w:tcW w:type="dxa" w:w="18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Validada en principio</w:t>
            </w:r>
          </w:p>
        </w:tc>
      </w:tr>
    </w:tbl>
    <w:p>
      <w:pPr>
        <w:spacing w:after="80"/>
      </w:pPr>
    </w:p>
    <w:p>
      <w:pPr>
        <w:pStyle w:val="Ttulo2"/>
      </w:pPr>
      <w:r>
        <w:t>2 Componentes, dominio, persistencia, ADR y evidencia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98"/>
        <w:gridCol w:w="997"/>
        <w:gridCol w:w="2195"/>
        <w:gridCol w:w="2494"/>
        <w:gridCol w:w="2494"/>
        <w:gridCol w:w="1496"/>
        <w:gridCol w:w="4196"/>
      </w:tblGrid>
      <w:tr>
        <w:trPr>
          <w:cantSplit/>
          <w:tblHeader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Caso de uso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Componente receptor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Regla / objeto de dominio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Persistencia o lectura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Decisión ADR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Evidencia y acción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TransaccionSesion; AgendaTutor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RepositorioAgendaTutor;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NB-02; E1-3 tablas 8 y 11.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2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AgendaTutor; BloqueDeAgenda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RepositorioTransaccionSesion; RepositorioAgendaTutor;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NB-09; E1-3 tablas 8, 10 y 11; secuencia CU-01.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3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CupoSedePolicy; AgendaTutor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Consulta/cierre de capacidad de sede por definir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NB-08; E1-3 H-06. Falta capacidad configurada y control atómico entre tutores.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4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ObtenerTutoresDisponiblesQuery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AgendaTutor; estado del 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Read Model TutorDisponibleDTO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ADR-003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NB-02; E1-3 tablas 8 y 11; E6 Queries.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5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TransaccionSesion; AgendaTutor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Ambas raíces se guardan en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NB-09; E1-3 tabla 12; secuencia CU-02.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6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AgendaTutor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Repositorios de ambas raíces;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NB-02; E1-3 tablas 8 y 12; secuencia CU-02.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7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Pago; Dinero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Pasarela externa; commit local separado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NB-06; E1-3 R-12. US-12 trata extensión, no el CU-02 completo.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8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AgendaTutor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Compensación o devolución por definir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E1-3 H-11; E4/E5. U2 no fija política de pago tardío.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9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CU-02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ServicioReservaSesion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TransaccionSesion; Pago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Registro del fallo por definir; sin cambio de bloque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E1-3 tabla 12; E4 H-13; secuencia CU-02.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10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CU-03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ServicioCancelacionSesion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CalculadoraReembolso; AgendaTutor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Repositorios de ambas raíces;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NB-03 y entrevista: &gt;24 h 100 %, 24-6 h 50 %, &lt;6 h 0 %. Definir límites exactos y excepciones en E1-3.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11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CU-04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ServicioDisputaSesion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TransaccionSesion; Disputa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RepositorioTransaccionSesion;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NB-12; E1-3 tablas 8 y 14.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12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CU-04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ServicioDisputaSesion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Pago; Disputa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RepositorioTransaccionSesion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NB-12 y NB-05; E1-3 INV-TS-09/11. Duración de retención en H-01.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13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ServicioLiquidacionPago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TransaccionSesion; DesgloseFinanciero; PorcentajeComision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RepositorioTransaccionSesion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ADR-001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NB-05; E1-3 R-01 e INV-TS-08.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14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ServicioLiquidacionPago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Pago; Disputa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RepositorioTransaccionSesion; consulta de pagos listos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ADR-001; ADR-002; ADR-003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NB-05/entrevista: 48 h tras Completada. Diseño E1-3: 72 h de trabajo; separar de mediación.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15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Servicio de completar sesión por definir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TransaccionSesion; EvidenciaAsistencia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RepositorioTransaccionSesion; UnidadDeTrabajo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NB-01; E1-3 INV-TS-12; E4 H-15. El servicio aún no está definido.</w:t>
            </w:r>
          </w:p>
        </w:tc>
      </w:tr>
      <w:tr>
        <w:trPr>
          <w:cantSplit/>
        </w:trPr>
        <w:tc>
          <w:tcPr>
            <w:tcW w:type="dxa" w:w="6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16</w:t>
            </w:r>
          </w:p>
        </w:tc>
        <w:tc>
          <w:tcPr>
            <w:tcW w:type="dxa" w:w="99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219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ServicioLiquidacionPago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TransaccionSesion; Disputa</w:t>
            </w:r>
          </w:p>
        </w:tc>
        <w:tc>
          <w:tcPr>
            <w:tcW w:type="dxa" w:w="249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RepositorioTransaccionSesion</w:t>
            </w:r>
          </w:p>
        </w:tc>
        <w:tc>
          <w:tcPr>
            <w:tcW w:type="dxa" w:w="14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ADR-001; ADR-002</w:t>
            </w:r>
          </w:p>
        </w:tc>
        <w:tc>
          <w:tcPr>
            <w:tcW w:type="dxa" w:w="41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 NB-12; E1-3 CU-04/05 e INV-TS-09.</w:t>
            </w:r>
          </w:p>
        </w:tc>
      </w:tr>
    </w:tbl>
    <w:p>
      <w:pPr>
        <w:spacing w:after="80"/>
      </w:pPr>
    </w:p>
    <w:p>
      <w:pPr>
        <w:pStyle w:val="Ttulo2"/>
      </w:pPr>
      <w:r>
        <w:t>3 Cobertura de necesidades de la Unidad 2</w:t>
      </w:r>
    </w:p>
    <w:p>
      <w:pPr>
        <w:jc w:val="both"/>
      </w:pPr>
      <w:r>
        <w:t>Distingue el alcance detallado de esta arquitectura de los requisitos que permanecen en el BRD.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71"/>
        <w:gridCol w:w="3885"/>
        <w:gridCol w:w="2331"/>
        <w:gridCol w:w="1942"/>
        <w:gridCol w:w="5441"/>
      </w:tblGrid>
      <w:tr>
        <w:trPr>
          <w:cantSplit/>
          <w:tblHeader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Necesidad resumida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Cobertura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Casos de uso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Tratamiento o pendiente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NB-01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Evidencia verificable de que ocurrió la sesión.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Parcial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Completar sesión es precondición de liberar pago; H-15 deja el servicio por definir.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NB-02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Disponibilidad automática del tutor.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Detallada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CU-01; CU-02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Anticipación, agenda actualizada y bloqueo tras pago.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NB-03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Reembolsos escalonados al cancelar.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Detallada con pendiente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CU-03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 define rangos; integrar límites y excepciones en H-05.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NB-04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Compensación por incumplimiento del tutor.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No detallada en proceso U3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—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U2 conserva el requisito; no se seleccionó un CU de tutor ausente/cancelación tardía.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NB-05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Comisión y liberación de pago.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Detallada con conflicto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CU-05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Comisión 20 %; retención 48 h en U2 frente a 72 h en diseño previo (H-01).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NB-06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Extensiones de sesión cobradas en la app.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Parcial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CU-02 (cobro transversal)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US-12 de extensión no se seleccionó como CU; R-12 aplica a pagos en plataforma.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NB-07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Fallas de conexión y reprogramación.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No detallada en proceso U3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—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U2 conserva el requisito; requiere CU propio fuera de los cinco elegidos.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NB-08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Prevención de sobrecupo presencial.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Detallada con pendiente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H-06: capacidad y control atómico entre agendas.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NB-09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Congelamiento de horario durante pago pendiente.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Detallada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CU-01; CU-02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Diez minutos; pago tardío H-11 sin política.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NB-10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Reasignación de tutor ante cancelación.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No detallada en proceso U3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—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U2 conserva el requisito; no se seleccionó un CU de reasignación.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NB-11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Tratamiento de No-Show.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No detallada en proceso U3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—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U2 conserva el requisito; el proceso detallado usa sesión Completada como precondición.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NB-12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Disputas y mediación.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Detallada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CU-04; CU-05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Mediación hasta 72 h; los fondos quedan retenidos.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NB-13</w:t>
            </w:r>
          </w:p>
        </w:tc>
        <w:tc>
          <w:tcPr>
            <w:tcW w:type="dxa" w:w="388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KPIs para administración y soporte.</w:t>
            </w:r>
          </w:p>
        </w:tc>
        <w:tc>
          <w:tcPr>
            <w:tcW w:type="dxa" w:w="23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No detallada en proceso U3</w:t>
            </w:r>
          </w:p>
        </w:tc>
        <w:tc>
          <w:tcPr>
            <w:tcW w:type="dxa" w:w="194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—</w:t>
            </w:r>
          </w:p>
        </w:tc>
        <w:tc>
          <w:tcPr>
            <w:tcW w:type="dxa" w:w="54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U2 conserva el requisito; la propuesta CQRS puede soportar lecturas futuras.</w:t>
            </w:r>
          </w:p>
        </w:tc>
      </w:tr>
    </w:tbl>
    <w:p>
      <w:pPr>
        <w:spacing w:after="80"/>
      </w:pPr>
    </w:p>
    <w:p>
      <w:pPr>
        <w:jc w:val="left"/>
      </w:pPr>
      <w:r>
        <w:t>Fuente: BRD_Caso08_AulaPlus.docx, tabla de necesidades NB-01 a NB-13; Etapas_1_2_y_3 CLNG (1).docx, selección CU-01 a CU-05.</w:t>
      </w:r>
    </w:p>
    <w:sectPr w:rsidR="00BD4174" w:rsidRPr="002125C5" w:rsidSect="00DE1F3F">
      <w:headerReference w:type="default" r:id="rId11"/>
      <w:footerReference w:type="default" r:id="rId12"/>
      <w:pgSz w:w="16838" w:h="11906" w:orient="landscape"/>
      <w:pgMar w:top="1417" w:right="1134" w:bottom="141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9514" w14:textId="77777777" w:rsidR="00374137" w:rsidRDefault="00374137" w:rsidP="00685253">
      <w:pPr>
        <w:spacing w:after="0" w:line="240" w:lineRule="auto"/>
      </w:pPr>
      <w:r>
        <w:separator/>
      </w:r>
    </w:p>
  </w:endnote>
  <w:endnote w:type="continuationSeparator" w:id="0">
    <w:p w14:paraId="2C41F1C1" w14:textId="77777777" w:rsidR="00374137" w:rsidRDefault="00374137" w:rsidP="00685253">
      <w:pPr>
        <w:spacing w:after="0" w:line="240" w:lineRule="auto"/>
      </w:pPr>
      <w:r>
        <w:continuationSeparator/>
      </w:r>
    </w:p>
  </w:endnote>
  <w:endnote w:type="continuationNotice" w:id="1">
    <w:p w14:paraId="672D3064" w14:textId="77777777" w:rsidR="00374137" w:rsidRDefault="003741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68" w:type="dxa"/>
      <w:tblLayout w:type="fixed"/>
      <w:tblLook w:val="04A0" w:firstRow="1" w:lastRow="0" w:firstColumn="1" w:lastColumn="0" w:noHBand="0" w:noVBand="1"/>
    </w:tblPr>
    <w:tblGrid>
      <w:gridCol w:w="4856"/>
      <w:gridCol w:w="4856"/>
      <w:gridCol w:w="4856"/>
    </w:tblGrid>
    <w:tr w:rsidR="01005E6B" w14:paraId="42E34346" w14:textId="77777777" w:rsidTr="01005E6B">
      <w:tc>
        <w:tcPr>
          <w:tcW w:w="4856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4856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4856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  <w:r>
            <w:rPr>
              <w:rFonts w:ascii="Arial" w:hAnsi="Arial"/>
              <w:sz w:val="20"/>
            </w:rPr>
            <w:t xml:space="preserve">Página </w:t>
          </w:r>
          <w:r>
            <w:rPr>
              <w:rFonts w:ascii="Arial" w:hAnsi="Arial"/>
              <w:sz w:val="20"/>
            </w:rPr>
            <w:fldChar w:fldCharType="begin"/>
          </w:r>
          <w:r>
            <w:rPr>
              <w:rFonts w:ascii="Arial" w:hAnsi="Arial"/>
              <w:sz w:val="20"/>
            </w:rPr>
            <w:instrText xml:space="preserve"> PAGE </w:instrText>
          </w:r>
          <w:r>
            <w:rPr>
              <w:rFonts w:ascii="Arial" w:hAnsi="Arial"/>
              <w:sz w:val="20"/>
            </w:rPr>
            <w:fldChar w:fldCharType="separate"/>
          </w:r>
          <w:r>
            <w:rPr>
              <w:rFonts w:ascii="Arial" w:hAnsi="Arial"/>
              <w:sz w:val="20"/>
            </w:rPr>
            <w:t>1</w:t>
          </w:r>
          <w:r>
            <w:rPr>
              <w:rFonts w:ascii="Arial" w:hAnsi="Arial"/>
              <w:sz w:val="20"/>
            </w:rPr>
            <w:fldChar w:fldCharType="end"/>
          </w:r>
        </w:p>
      </w:tc>
    </w:tr>
  </w:tbl>
  <w:p w14:paraId="0E2B38C6" w14:textId="0AF0FD25" w:rsidR="01005E6B" w:rsidRDefault="00851AE7" w:rsidP="01005E6B">
    <w:pPr>
      <w:pStyle w:val="Piedepgina"/>
      <w:tabs>
        <w:tab w:val="clear" w:pos="4252"/>
        <w:tab w:val="clear" w:pos="8504"/>
        <w:tab w:val="center" w:pos="7285"/>
        <w:tab w:val="right" w:pos="14570"/>
      </w:tabs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F102" w14:textId="77777777" w:rsidR="00374137" w:rsidRDefault="00374137" w:rsidP="00685253">
      <w:pPr>
        <w:spacing w:after="0" w:line="240" w:lineRule="auto"/>
      </w:pPr>
      <w:r>
        <w:separator/>
      </w:r>
    </w:p>
  </w:footnote>
  <w:footnote w:type="continuationSeparator" w:id="0">
    <w:p w14:paraId="1B7DA4E2" w14:textId="77777777" w:rsidR="00374137" w:rsidRDefault="00374137" w:rsidP="00685253">
      <w:pPr>
        <w:spacing w:after="0" w:line="240" w:lineRule="auto"/>
      </w:pPr>
      <w:r>
        <w:continuationSeparator/>
      </w:r>
    </w:p>
  </w:footnote>
  <w:footnote w:type="continuationNotice" w:id="1">
    <w:p w14:paraId="190E07C6" w14:textId="77777777" w:rsidR="00374137" w:rsidRDefault="003741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10E2" w14:textId="369C1B0B" w:rsidR="00685253" w:rsidRPr="001E024A" w:rsidRDefault="009C2646" w:rsidP="003C77DE">
    <w:pPr>
      <w:pStyle w:val="Encabezado"/>
      <w:tabs>
        <w:tab w:val="clear" w:pos="4252"/>
        <w:tab w:val="clear" w:pos="8504"/>
        <w:tab w:val="center" w:pos="7285"/>
        <w:tab w:val="right" w:pos="14570"/>
      </w:tabs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54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ind w:left="1620" w:hanging="360"/>
      </w:pPr>
      <w:rPr>
        <w:rFonts w:ascii="Arial" w:hAnsi="Arial" w:cs="Arial" w:hint="default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74ABE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137"/>
    <w:rsid w:val="0037473A"/>
    <w:rsid w:val="00394F9B"/>
    <w:rsid w:val="00397D03"/>
    <w:rsid w:val="003B265B"/>
    <w:rsid w:val="003C77DE"/>
    <w:rsid w:val="003D29A4"/>
    <w:rsid w:val="003E0B33"/>
    <w:rsid w:val="00417427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85253"/>
    <w:rsid w:val="006D3C31"/>
    <w:rsid w:val="00701A1A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D4174"/>
    <w:rsid w:val="00BF5FA8"/>
    <w:rsid w:val="00C16F56"/>
    <w:rsid w:val="00C36405"/>
    <w:rsid w:val="00CA0F0C"/>
    <w:rsid w:val="00D00985"/>
    <w:rsid w:val="00D97A8D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pageBreakBefore w:val="0"/>
      <w:spacing w:before="0" w:after="120" w:line="276" w:lineRule="auto"/>
    </w:pPr>
    <w:rPr>
      <w:rFonts w:ascii="Arial" w:hAnsi="Arial" w:cs="Arial" w:eastAsia="Arial"/>
      <w:b w:val="0"/>
      <w:i w:val="0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pageBreakBefore/>
      <w:pBdr>
        <w:bottom w:val="single" w:sz="12" w:space="4" w:color="1F3864"/>
      </w:pBdr>
      <w:spacing w:before="0" w:after="240" w:line="240" w:lineRule="auto"/>
      <w:outlineLvl w:val="0"/>
    </w:pPr>
    <w:rPr>
      <w:rFonts w:ascii="Arial" w:hAnsi="Arial" w:cs="Arial" w:eastAsia="Arial"/>
      <w:b/>
      <w:i w:val="0"/>
      <w:color w:val="1F3864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pageBreakBefore w:val="0"/>
      <w:spacing w:before="320" w:after="160" w:line="240" w:lineRule="auto"/>
      <w:outlineLvl w:val="1"/>
    </w:pPr>
    <w:rPr>
      <w:rFonts w:ascii="Arial" w:hAnsi="Arial" w:cs="Arial" w:eastAsia="Arial"/>
      <w:b/>
      <w:i w:val="0"/>
      <w:color w:val="2E5597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pageBreakBefore w:val="0"/>
      <w:spacing w:before="240" w:after="120" w:line="240" w:lineRule="auto"/>
      <w:outlineLvl w:val="2"/>
    </w:pPr>
    <w:rPr>
      <w:rFonts w:ascii="Arial" w:hAnsi="Arial" w:cs="Arial" w:eastAsia="Arial"/>
      <w:b/>
      <w:i w:val="0"/>
      <w:color w:val="1F3864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Props1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246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– AulaPlus</dc:title>
  <dc:subject/>
  <dc:creator>Matthew Montes de Oca</dc:creator>
  <cp:keywords/>
  <dc:description/>
  <cp:lastModifiedBy>Andres Caleb Leija Pedroza</cp:lastModifiedBy>
  <cp:revision>4</cp:revision>
  <dcterms:created xsi:type="dcterms:W3CDTF">2026-01-19T18:01:00Z</dcterms:created>
  <dcterms:modified xsi:type="dcterms:W3CDTF">2026-10-16T04:06:00Z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