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2"/>
        <w:gridCol w:w="2673"/>
        <w:gridCol w:w="4394"/>
      </w:tblGrid>
      <w:tr w:rsidR="002125C5" w:rsidRPr="00AB4C0E" w14:paraId="435BD952" w14:textId="77777777" w:rsidTr="002125C5">
        <w:trPr>
          <w:trHeight w:val="458"/>
        </w:trPr>
        <w:tc>
          <w:tcPr>
            <w:tcW w:w="10175" w:type="dxa"/>
            <w:gridSpan w:val="2"/>
          </w:tcPr>
          <w:p w14:paraId="2F33F9D6" w14:textId="6DE0C4A5" w:rsidR="00D97A8D" w:rsidRPr="00D97A8D" w:rsidRDefault="00D97A8D" w:rsidP="00D97A8D">
            <w:pPr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proofErr w:type="gramStart"/>
            <w:r w:rsidRPr="00D97A8D">
              <w:rPr>
                <w:rFonts w:ascii="Arial" w:hAnsi="Arial" w:cs="Arial"/>
                <w:b/>
                <w:bCs/>
                <w:lang w:val="es-MX"/>
              </w:rPr>
              <w:t>Nombres :</w:t>
            </w:r>
            <w:proofErr w:type="gramEnd"/>
            <w:r w:rsidR="002125C5" w:rsidRPr="00D97A8D">
              <w:rPr>
                <w:rFonts w:ascii="Arial" w:hAnsi="Arial" w:cs="Arial"/>
                <w:lang w:val="es-MX"/>
              </w:rPr>
              <w:t xml:space="preserve"> </w:t>
            </w:r>
            <w:r w:rsidRPr="00D97A8D">
              <w:rPr>
                <w:rFonts w:ascii="Arial" w:hAnsi="Arial" w:cs="Arial"/>
                <w:b/>
                <w:bCs/>
                <w:lang w:val="es-MX"/>
              </w:rPr>
              <w:t>E</w:t>
            </w:r>
            <w:r>
              <w:rPr>
                <w:rFonts w:ascii="Arial" w:hAnsi="Arial" w:cs="Arial"/>
                <w:b/>
                <w:bCs/>
                <w:lang w:val="es-MX"/>
              </w:rPr>
              <w:t>quipo 8</w:t>
            </w:r>
          </w:p>
          <w:p w14:paraId="25DEB46B" w14:textId="6BBC3B18" w:rsidR="002125C5" w:rsidRPr="00D97A8D" w:rsidRDefault="00D97A8D" w:rsidP="00D97A8D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 w:rsidRPr="00D97A8D">
              <w:rPr>
                <w:rFonts w:ascii="Arial" w:hAnsi="Arial" w:cs="Arial"/>
                <w:lang w:val="es-MX"/>
              </w:rPr>
              <w:t>Andrés Caleb Leija Pedroza</w:t>
            </w:r>
          </w:p>
          <w:p w14:paraId="31B88F40" w14:textId="02FC2FE9" w:rsidR="00D97A8D" w:rsidRPr="00D97A8D" w:rsidRDefault="00D97A8D" w:rsidP="00D97A8D">
            <w:pPr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4394" w:type="dxa"/>
          </w:tcPr>
          <w:p w14:paraId="58E91D98" w14:textId="02214722" w:rsidR="00D97A8D" w:rsidRDefault="002125C5" w:rsidP="00D97A8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="00D97A8D">
              <w:rPr>
                <w:rFonts w:ascii="Arial" w:hAnsi="Arial" w:cs="Arial"/>
                <w:b/>
                <w:bCs/>
              </w:rPr>
              <w:t>s</w:t>
            </w:r>
            <w:r w:rsidRPr="02430DCF">
              <w:rPr>
                <w:rFonts w:ascii="Arial" w:hAnsi="Arial" w:cs="Arial"/>
              </w:rPr>
              <w:t xml:space="preserve">: </w:t>
            </w:r>
          </w:p>
          <w:p w14:paraId="105C6358" w14:textId="780452CB" w:rsidR="002125C5" w:rsidRPr="00AB4C0E" w:rsidRDefault="00D97A8D" w:rsidP="00D97A8D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2144830</w:t>
            </w:r>
          </w:p>
        </w:tc>
      </w:tr>
      <w:tr w:rsidR="002125C5" w:rsidRPr="00AB4C0E" w14:paraId="1C1EDCCA" w14:textId="77777777" w:rsidTr="002125C5">
        <w:trPr>
          <w:trHeight w:val="222"/>
        </w:trPr>
        <w:tc>
          <w:tcPr>
            <w:tcW w:w="7502" w:type="dxa"/>
          </w:tcPr>
          <w:p w14:paraId="35ACFB07" w14:textId="073571EE" w:rsidR="002125C5" w:rsidRPr="007D6318" w:rsidRDefault="002125C5" w:rsidP="00D97A8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 w:rsidR="00D97A8D">
              <w:rPr>
                <w:rFonts w:ascii="Arial" w:hAnsi="Arial" w:cs="Arial"/>
              </w:rPr>
              <w:t>Componentes de Lógica de Negocio</w:t>
            </w:r>
          </w:p>
        </w:tc>
        <w:tc>
          <w:tcPr>
            <w:tcW w:w="7067" w:type="dxa"/>
            <w:gridSpan w:val="2"/>
          </w:tcPr>
          <w:p w14:paraId="48270606" w14:textId="77777777" w:rsidR="002125C5" w:rsidRPr="00AB4C0E" w:rsidRDefault="002125C5" w:rsidP="00D97A8D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2125C5" w:rsidRPr="00AB4C0E" w14:paraId="004ABB11" w14:textId="77777777" w:rsidTr="002125C5">
        <w:trPr>
          <w:trHeight w:val="121"/>
        </w:trPr>
        <w:tc>
          <w:tcPr>
            <w:tcW w:w="7502" w:type="dxa"/>
          </w:tcPr>
          <w:p w14:paraId="6708E53B" w14:textId="23FD3CA7" w:rsidR="002125C5" w:rsidRPr="00AB4C0E" w:rsidRDefault="002125C5" w:rsidP="00D97A8D">
            <w:pPr>
              <w:spacing w:line="360" w:lineRule="auto"/>
              <w:jc w:val="both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67" w:type="dxa"/>
            <w:gridSpan w:val="2"/>
          </w:tcPr>
          <w:p w14:paraId="5B4EFCF2" w14:textId="3B1E5F62" w:rsidR="002125C5" w:rsidRPr="00AB4C0E" w:rsidRDefault="002125C5" w:rsidP="00D97A8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 w:rsidR="00D97A8D">
              <w:rPr>
                <w:rFonts w:ascii="Arial" w:hAnsi="Arial" w:cs="Arial"/>
              </w:rPr>
              <w:t>Bitácora de IA</w:t>
            </w:r>
          </w:p>
        </w:tc>
      </w:tr>
      <w:tr w:rsidR="002125C5" w:rsidRPr="00AB4C0E" w14:paraId="1D4FDF28" w14:textId="77777777" w:rsidTr="002125C5">
        <w:trPr>
          <w:trHeight w:val="458"/>
        </w:trPr>
        <w:tc>
          <w:tcPr>
            <w:tcW w:w="14570" w:type="dxa"/>
            <w:gridSpan w:val="3"/>
          </w:tcPr>
          <w:p w14:paraId="4DF724E9" w14:textId="3898ABE0" w:rsidR="002125C5" w:rsidRPr="00AB4C0E" w:rsidRDefault="002125C5" w:rsidP="00D97A8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D97A8D">
              <w:rPr>
                <w:rFonts w:ascii="Arial" w:hAnsi="Arial" w:cs="Arial"/>
              </w:rPr>
              <w:t>17</w:t>
            </w:r>
            <w:r>
              <w:rPr>
                <w:rFonts w:ascii="Arial" w:hAnsi="Arial" w:cs="Arial"/>
              </w:rPr>
              <w:t>/</w:t>
            </w:r>
            <w:r w:rsidR="00D97A8D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/202</w:t>
            </w:r>
            <w:r w:rsidR="00D97A8D">
              <w:rPr>
                <w:rFonts w:ascii="Arial" w:hAnsi="Arial" w:cs="Arial"/>
              </w:rPr>
              <w:t>6</w:t>
            </w:r>
          </w:p>
        </w:tc>
      </w:tr>
      <w:tr w:rsidR="002125C5" w:rsidRPr="00AB4C0E" w14:paraId="157FC9AD" w14:textId="77777777" w:rsidTr="002125C5">
        <w:trPr>
          <w:trHeight w:val="938"/>
        </w:trPr>
        <w:tc>
          <w:tcPr>
            <w:tcW w:w="14570" w:type="dxa"/>
            <w:gridSpan w:val="3"/>
          </w:tcPr>
          <w:p w14:paraId="1C30C199" w14:textId="77777777" w:rsidR="002125C5" w:rsidRPr="00472B17" w:rsidRDefault="002125C5" w:rsidP="00D97A8D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  <w:p>
            <w:pPr>
              <w:spacing w:line="360" w:lineRule="auto" w:after="0"/>
              <w:ind w:left="567" w:hanging="567"/>
              <w:jc w:val="left"/>
            </w:pPr>
            <w:r>
              <w:rPr>
                <w:rFonts w:ascii="Arial" w:hAnsi="Arial"/>
                <w:i w:val="0"/>
                <w:sz w:val="24"/>
              </w:rPr>
              <w:t xml:space="preserve">Evans, E. (2003). </w:t>
            </w:r>
            <w:r>
              <w:rPr>
                <w:rFonts w:ascii="Arial" w:hAnsi="Arial"/>
                <w:i/>
                <w:sz w:val="24"/>
              </w:rPr>
              <w:t>Domain-driven design: Tackling complexity in the heart of software</w:t>
            </w:r>
            <w:r>
              <w:rPr>
                <w:rFonts w:ascii="Arial" w:hAnsi="Arial"/>
                <w:i w:val="0"/>
                <w:sz w:val="24"/>
              </w:rPr>
              <w:t>. Addison-Wesley.</w:t>
            </w:r>
          </w:p>
          <w:p>
            <w:pPr>
              <w:spacing w:line="360" w:lineRule="auto" w:after="0"/>
              <w:ind w:left="567" w:hanging="567"/>
              <w:jc w:val="left"/>
            </w:pPr>
            <w:r>
              <w:rPr>
                <w:rFonts w:ascii="Arial" w:hAnsi="Arial"/>
                <w:i w:val="0"/>
                <w:sz w:val="24"/>
              </w:rPr>
              <w:t xml:space="preserve">Fowler, M. (2002). </w:t>
            </w:r>
            <w:r>
              <w:rPr>
                <w:rFonts w:ascii="Arial" w:hAnsi="Arial"/>
                <w:i/>
                <w:sz w:val="24"/>
              </w:rPr>
              <w:t>Patterns of enterprise application architecture</w:t>
            </w:r>
            <w:r>
              <w:rPr>
                <w:rFonts w:ascii="Arial" w:hAnsi="Arial"/>
                <w:i w:val="0"/>
                <w:sz w:val="24"/>
              </w:rPr>
              <w:t>. Addison-Wesley.</w:t>
            </w:r>
          </w:p>
          <w:p>
            <w:pPr>
              <w:spacing w:line="360" w:lineRule="auto" w:after="0"/>
              <w:ind w:left="567" w:hanging="567"/>
              <w:jc w:val="left"/>
            </w:pPr>
            <w:r>
              <w:rPr>
                <w:rFonts w:ascii="Arial" w:hAnsi="Arial"/>
                <w:i w:val="0"/>
                <w:sz w:val="24"/>
              </w:rPr>
              <w:t xml:space="preserve">Martin, R. C. (2003). </w:t>
            </w:r>
            <w:r>
              <w:rPr>
                <w:rFonts w:ascii="Arial" w:hAnsi="Arial"/>
                <w:i/>
                <w:sz w:val="24"/>
              </w:rPr>
              <w:t>Agile software development: Principles, patterns, and practices</w:t>
            </w:r>
            <w:r>
              <w:rPr>
                <w:rFonts w:ascii="Arial" w:hAnsi="Arial"/>
                <w:i w:val="0"/>
                <w:sz w:val="24"/>
              </w:rPr>
              <w:t>. Prentice Hall.</w:t>
            </w:r>
          </w:p>
        </w:tc>
      </w:tr>
    </w:tbl>
    <w:p>
      <w:pPr>
        <w:pStyle w:val="Ttulo1"/>
      </w:pPr>
      <w:r>
        <w:t>Bitácora de IA de AulaPlus</w:t>
      </w:r>
    </w:p>
    <w:p>
      <w:pPr>
        <w:jc w:val="left"/>
      </w:pPr>
      <w:r>
        <w:t>Este documento reúne las iteraciones verificables de la asistencia con IA usada para diseñar la arquitectura de AulaPlus. Permite explicar qué se pidió, qué produjo la IA, qué se corrigió y qué decisiones siguen pendientes. La evidencia procede de las solicitudes de esta conversación, los archivos creados y los documentos de la Unidad 2; no se presenta como transcripción completa de todas las respuestas del chat.</w:t>
      </w:r>
    </w:p>
    <w:tbl>
      <w:tblPr>
        <w:tblW w:w="1457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06"/>
        <w:gridCol w:w="11464"/>
      </w:tblGrid>
      <w:tr>
        <w:trPr>
          <w:cantSplit/>
          <w:tblHeader/>
        </w:trPr>
        <w:tc>
          <w:tcPr>
            <w:tcW w:type="dxa" w:w="31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Ficha</w:t>
            </w:r>
          </w:p>
        </w:tc>
        <w:tc>
          <w:tcPr>
            <w:tcW w:type="dxa" w:w="114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Dato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Proceso revisado</w:t>
            </w:r>
          </w:p>
        </w:tc>
        <w:tc>
          <w:tcPr>
            <w:tcW w:type="dxa" w:w="114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Reserva, confirmación de pago, cancelación, disputa y liberación de fondos.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Casos de uso</w:t>
            </w:r>
          </w:p>
        </w:tc>
        <w:tc>
          <w:tcPr>
            <w:tcW w:type="dxa" w:w="114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CU-01 a CU-05; diagramas de secuencia detallados de CU-01 y CU-02.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Entregables relacionados</w:t>
            </w:r>
          </w:p>
        </w:tc>
        <w:tc>
          <w:tcPr>
            <w:tcW w:type="dxa" w:w="114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01 informe, 02 dominio y clases, 03 secuencias y 04 matriz de trazabilidad.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Fecha del registro</w:t>
            </w:r>
          </w:p>
        </w:tc>
        <w:tc>
          <w:tcPr>
            <w:tcW w:type="dxa" w:w="114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15 de octubre de 2026. Los mensajes anteriores no tienen una marca temporal individual verificable aquí.</w:t>
            </w:r>
          </w:p>
        </w:tc>
      </w:tr>
      <w:tr>
        <w:trPr>
          <w:cantSplit/>
        </w:trPr>
        <w:tc>
          <w:tcPr>
            <w:tcW w:type="dxa" w:w="310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Responsabilidad</w:t>
            </w:r>
          </w:p>
        </w:tc>
        <w:tc>
          <w:tcPr>
            <w:tcW w:type="dxa" w:w="114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Las revisiones visuales atribuidas al usuario constan en sus mensajes. Las reglas pendientes requieren confirmación del equipo y del stakeholder.</w:t>
            </w:r>
          </w:p>
        </w:tc>
      </w:tr>
    </w:tbl>
    <w:p>
      <w:pPr>
        <w:spacing w:after="80"/>
      </w:pPr>
    </w:p>
    <w:p>
      <w:pPr>
        <w:pStyle w:val="Ttulo2"/>
      </w:pPr>
      <w:r>
        <w:t>1 Método de registro</w:t>
      </w:r>
    </w:p>
    <w:p>
      <w:pPr>
        <w:jc w:val="left"/>
      </w:pPr>
      <w:r>
        <w:t>Cada iteración sigue el ciclo pedido por la guía: preparar contexto, solicitar una propuesta, compararla con el caso, corregirla, validar el resultado y registrar la decisión. Los mensajes entre comillas son solicitudes textuales del usuario. La “respuesta útil” describe la salida observable en los archivos y no pretende ser una cita literal del modelo. Las acciones técnicas realizadas por la asistencia no equivalen por sí solas a aprobación académica del equipo.</w:t>
      </w:r>
    </w:p>
    <w:tbl>
      <w:tblPr>
        <w:tblW w:w="1457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2"/>
        <w:gridCol w:w="3321"/>
        <w:gridCol w:w="9857"/>
      </w:tblGrid>
      <w:tr>
        <w:trPr>
          <w:cantSplit/>
          <w:tblHeader/>
        </w:trPr>
        <w:tc>
          <w:tcPr>
            <w:tcW w:type="dxa" w:w="13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3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985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RV</w:t>
            </w:r>
          </w:p>
        </w:tc>
        <w:tc>
          <w:tcPr>
            <w:tcW w:type="dxa" w:w="33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Revisado visualmente</w:t>
            </w:r>
          </w:p>
        </w:tc>
        <w:tc>
          <w:tcPr>
            <w:tcW w:type="dxa" w:w="985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El usuario identificó un defecto o una preferencia en una imagen o archivo.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CD</w:t>
            </w:r>
          </w:p>
        </w:tc>
        <w:tc>
          <w:tcPr>
            <w:tcW w:type="dxa" w:w="33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Corregido en diseño</w:t>
            </w:r>
          </w:p>
        </w:tc>
        <w:tc>
          <w:tcPr>
            <w:tcW w:type="dxa" w:w="985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La salida posterior incorporó la corrección en la propuesta o artefacto.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PV</w:t>
            </w:r>
          </w:p>
        </w:tc>
        <w:tc>
          <w:tcPr>
            <w:tcW w:type="dxa" w:w="33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Pendiente de validar</w:t>
            </w:r>
          </w:p>
        </w:tc>
        <w:tc>
          <w:tcPr>
            <w:tcW w:type="dxa" w:w="985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La fuente no cierra la regla o falta prueba/decisión del equipo.</w:t>
            </w:r>
          </w:p>
        </w:tc>
      </w:tr>
    </w:tbl>
    <w:p>
      <w:pPr>
        <w:spacing w:after="80"/>
      </w:pPr>
    </w:p>
    <w:p>
      <w:pPr>
        <w:pStyle w:val="Ttulo2"/>
      </w:pPr>
      <w:r>
        <w:t>2 Resumen de iteraciones</w:t>
      </w:r>
    </w:p>
    <w:tbl>
      <w:tblPr>
        <w:tblW w:w="1457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35"/>
        <w:gridCol w:w="3213"/>
        <w:gridCol w:w="10222"/>
      </w:tblGrid>
      <w:tr>
        <w:trPr>
          <w:cantSplit/>
          <w:tblHeader/>
        </w:trPr>
        <w:tc>
          <w:tcPr>
            <w:tcW w:type="dxa" w:w="11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2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Solicitud o foco</w:t>
            </w:r>
          </w:p>
        </w:tc>
        <w:tc>
          <w:tcPr>
            <w:tcW w:type="dxa" w:w="1022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Revisión y resultado</w:t>
            </w:r>
          </w:p>
        </w:tc>
      </w:tr>
      <w:tr>
        <w:trPr>
          <w:cantSplit/>
        </w:trPr>
        <w:tc>
          <w:tcPr>
            <w:tcW w:type="dxa" w:w="11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I-01</w:t>
            </w:r>
          </w:p>
        </w:tc>
        <w:tc>
          <w:tcPr>
            <w:tcW w:type="dxa" w:w="32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Etapas 7 a 9</w:t>
            </w:r>
          </w:p>
        </w:tc>
        <w:tc>
          <w:tcPr>
            <w:tcW w:type="dxa" w:w="1022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 estructuró SOLID, UML, ADR y validación para CU-01 a CU-05.</w:t>
            </w:r>
          </w:p>
        </w:tc>
      </w:tr>
      <w:tr>
        <w:trPr>
          <w:cantSplit/>
        </w:trPr>
        <w:tc>
          <w:tcPr>
            <w:tcW w:type="dxa" w:w="11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I-02</w:t>
            </w:r>
          </w:p>
        </w:tc>
        <w:tc>
          <w:tcPr>
            <w:tcW w:type="dxa" w:w="32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Legibilidad del diagrama</w:t>
            </w:r>
          </w:p>
        </w:tc>
        <w:tc>
          <w:tcPr>
            <w:tcW w:type="dxa" w:w="1022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Se detectaron textos y conectores superpuestos. RV.</w:t>
            </w:r>
          </w:p>
        </w:tc>
      </w:tr>
      <w:tr>
        <w:trPr>
          <w:cantSplit/>
        </w:trPr>
        <w:tc>
          <w:tcPr>
            <w:tcW w:type="dxa" w:w="11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I-03</w:t>
            </w:r>
          </w:p>
        </w:tc>
        <w:tc>
          <w:tcPr>
            <w:tcW w:type="dxa" w:w="32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Cobertura y relaciones</w:t>
            </w:r>
          </w:p>
        </w:tc>
        <w:tc>
          <w:tcPr>
            <w:tcW w:type="dxa" w:w="1022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 rechazó una simplificación de 11 a 8 cajas y la pérdida de conexiones. RV.</w:t>
            </w:r>
          </w:p>
        </w:tc>
      </w:tr>
      <w:tr>
        <w:trPr>
          <w:cantSplit/>
        </w:trPr>
        <w:tc>
          <w:tcPr>
            <w:tcW w:type="dxa" w:w="11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I-04</w:t>
            </w:r>
          </w:p>
        </w:tc>
        <w:tc>
          <w:tcPr>
            <w:tcW w:type="dxa" w:w="32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Alcance de los diagramas</w:t>
            </w:r>
          </w:p>
        </w:tc>
        <w:tc>
          <w:tcPr>
            <w:tcW w:type="dxa" w:w="1022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Se descartaron tres diagramas añadidos por malentendido y se volvió a los originales. RV.</w:t>
            </w:r>
          </w:p>
        </w:tc>
      </w:tr>
      <w:tr>
        <w:trPr>
          <w:cantSplit/>
        </w:trPr>
        <w:tc>
          <w:tcPr>
            <w:tcW w:type="dxa" w:w="11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I-05</w:t>
            </w:r>
          </w:p>
        </w:tc>
        <w:tc>
          <w:tcPr>
            <w:tcW w:type="dxa" w:w="32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Documento final</w:t>
            </w:r>
          </w:p>
        </w:tc>
        <w:tc>
          <w:tcPr>
            <w:tcW w:type="dxa" w:w="1022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 pidieron diagramas con fondo claro y extensión mínima de 10 páginas. RV/CD.</w:t>
            </w:r>
          </w:p>
        </w:tc>
      </w:tr>
      <w:tr>
        <w:trPr>
          <w:cantSplit/>
        </w:trPr>
        <w:tc>
          <w:tcPr>
            <w:tcW w:type="dxa" w:w="11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I-06</w:t>
            </w:r>
          </w:p>
        </w:tc>
        <w:tc>
          <w:tcPr>
            <w:tcW w:type="dxa" w:w="32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Informe y UML</w:t>
            </w:r>
          </w:p>
        </w:tc>
        <w:tc>
          <w:tcPr>
            <w:tcW w:type="dxa" w:w="1022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Se consolidaron patrón, dominio, servicios, persistencia, CQRS y ADR. CD/PV.</w:t>
            </w:r>
          </w:p>
        </w:tc>
      </w:tr>
      <w:tr>
        <w:trPr>
          <w:cantSplit/>
        </w:trPr>
        <w:tc>
          <w:tcPr>
            <w:tcW w:type="dxa" w:w="11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I-07</w:t>
            </w:r>
          </w:p>
        </w:tc>
        <w:tc>
          <w:tcPr>
            <w:tcW w:type="dxa" w:w="32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Secuencias</w:t>
            </w:r>
          </w:p>
        </w:tc>
        <w:tc>
          <w:tcPr>
            <w:tcW w:type="dxa" w:w="1022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 separaron reserva y pago/vencimiento, con flujos alternativos. CD/PV.</w:t>
            </w:r>
          </w:p>
        </w:tc>
      </w:tr>
      <w:tr>
        <w:trPr>
          <w:cantSplit/>
        </w:trPr>
        <w:tc>
          <w:tcPr>
            <w:tcW w:type="dxa" w:w="113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I-08</w:t>
            </w:r>
          </w:p>
        </w:tc>
        <w:tc>
          <w:tcPr>
            <w:tcW w:type="dxa" w:w="321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Trazabilidad</w:t>
            </w:r>
          </w:p>
        </w:tc>
        <w:tc>
          <w:tcPr>
            <w:tcW w:type="dxa" w:w="1022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Se cruzaron NB, US, R, CU y ADR; se evidenciaron conflictos de fuentes. CD/PV.</w:t>
            </w:r>
          </w:p>
        </w:tc>
      </w:tr>
    </w:tbl>
    <w:p>
      <w:pPr>
        <w:spacing w:after="80"/>
      </w:pPr>
    </w:p>
    <w:p>
      <w:pPr>
        <w:pStyle w:val="Ttulo2"/>
      </w:pPr>
      <w:r>
        <w:t>3 Registro detallado</w:t>
      </w:r>
    </w:p>
    <w:p>
      <w:pPr>
        <w:pStyle w:val="Ttulo3"/>
      </w:pPr>
      <w:r>
        <w:t>I-01  Del material de negocio a las etapas 7 a 9</w:t>
      </w:r>
    </w:p>
    <w:p>
      <w:pPr>
        <w:jc w:val="left"/>
      </w:pPr>
      <w:r>
        <w:rPr>
          <w:b/>
        </w:rPr>
        <w:t xml:space="preserve">Solicitud comprobable  </w:t>
      </w:r>
      <w:r>
        <w:t>“tengo todo esto sobre el proyecto este, ayudame a hacer lo de la 7-9”</w:t>
      </w:r>
    </w:p>
    <w:p>
      <w:pPr>
        <w:jc w:val="left"/>
      </w:pPr>
      <w:r>
        <w:rPr>
          <w:b/>
        </w:rPr>
        <w:t xml:space="preserve">Respuesta útil observada  </w:t>
      </w:r>
      <w:r>
        <w:t>Se organizaron la revisión SOLID, el diagrama de clases, los flujos de secuencia, los ADR y la validación del proceso de reserva y pago.</w:t>
      </w:r>
    </w:p>
    <w:p>
      <w:pPr>
        <w:jc w:val="left"/>
      </w:pPr>
      <w:r>
        <w:rPr>
          <w:b/>
        </w:rPr>
        <w:t xml:space="preserve">Error o supuesto detectado  </w:t>
      </w:r>
      <w:r>
        <w:t>La propuesta inicial tenía que mantenerse dentro del BRD de AulaPlus y usar los nombres del glosario. No bastaba producir cajas sin relaciones con los cinco casos de uso.</w:t>
      </w:r>
    </w:p>
    <w:p>
      <w:pPr>
        <w:jc w:val="left"/>
      </w:pPr>
      <w:r>
        <w:rPr>
          <w:b/>
        </w:rPr>
        <w:t xml:space="preserve">Corrección aplicada  </w:t>
      </w:r>
      <w:r>
        <w:t>Se conservaron TransaccionSesion y AgendaTutor como raíces, y se separaron Application Services, políticas y puertos de persistencia. El informe 01 deja visibles los hallazgos abiertos.</w:t>
      </w:r>
    </w:p>
    <w:p>
      <w:pPr>
        <w:jc w:val="left"/>
      </w:pPr>
      <w:r>
        <w:rPr>
          <w:b/>
        </w:rPr>
        <w:t xml:space="preserve">Decisión y evidencia  </w:t>
      </w:r>
      <w:r>
        <w:t>Diseño documentado, sujeto a defensa del equipo. Evidencia: 01_Informe_de_Arquitectura_AulaPlus.pdf; AulaPlus_Documento_Final_Etapas_7_8_9.docx.</w:t>
      </w:r>
    </w:p>
    <w:p>
      <w:pPr>
        <w:pStyle w:val="Ttulo3"/>
      </w:pPr>
      <w:r>
        <w:t>I-02  Detección de superposición visual</w:t>
      </w:r>
    </w:p>
    <w:p>
      <w:pPr>
        <w:jc w:val="left"/>
      </w:pPr>
      <w:r>
        <w:rPr>
          <w:b/>
        </w:rPr>
        <w:t xml:space="preserve">Solicitud comprobable  </w:t>
      </w:r>
      <w:r>
        <w:t>“mira aqui veo que hay lineas y palabras que se superponen entre si, crees que puedas corregir eso”</w:t>
      </w:r>
    </w:p>
    <w:p>
      <w:pPr>
        <w:jc w:val="left"/>
      </w:pPr>
      <w:r>
        <w:rPr>
          <w:b/>
        </w:rPr>
        <w:t xml:space="preserve">Respuesta útil observada  </w:t>
      </w:r>
      <w:r>
        <w:t>Se modificó la distribución del UML para dar más espacio a texto y conectores.</w:t>
      </w:r>
    </w:p>
    <w:p>
      <w:pPr>
        <w:jc w:val="left"/>
      </w:pPr>
      <w:r>
        <w:rPr>
          <w:b/>
        </w:rPr>
        <w:t xml:space="preserve">Error o supuesto detectado  </w:t>
      </w:r>
      <w:r>
        <w:t>La mejora visual inicial redujo contenido. La imagen posterior mostró solo ocho recuadros frente a los once del diseño previo.</w:t>
      </w:r>
    </w:p>
    <w:p>
      <w:pPr>
        <w:jc w:val="left"/>
      </w:pPr>
      <w:r>
        <w:rPr>
          <w:b/>
        </w:rPr>
        <w:t xml:space="preserve">Corrección aplicada  </w:t>
      </w:r>
      <w:r>
        <w:t>La observación visual se registró como criterio de aceptación: etiquetas legibles, sin líneas sobre texto y sin borrar elementos justificados.</w:t>
      </w:r>
    </w:p>
    <w:p>
      <w:pPr>
        <w:jc w:val="left"/>
      </w:pPr>
      <w:r>
        <w:rPr>
          <w:b/>
        </w:rPr>
        <w:t xml:space="preserve">Decisión y evidencia  </w:t>
      </w:r>
      <w:r>
        <w:t>Rechazo explícito del usuario a la pérdida de contenido. Evidencia: capturas de las versiones del diagrama de clases aportadas en el chat.</w:t>
      </w:r>
    </w:p>
    <w:p>
      <w:pPr>
        <w:pStyle w:val="Ttulo3"/>
      </w:pPr>
      <w:r>
        <w:t>I-03  Cobertura de clases y conectividad</w:t>
      </w:r>
    </w:p>
    <w:p>
      <w:pPr>
        <w:jc w:val="left"/>
      </w:pPr>
      <w:r>
        <w:rPr>
          <w:b/>
        </w:rPr>
        <w:t xml:space="preserve">Solicitud comprobable  </w:t>
      </w:r>
      <w:r>
        <w:t>“pero este corregido tiene 8 recuadros y el otro tenia 11...” y “en el primero se ve como si todo estuviera conectado y en este ultimo solo estan conectado 3-1 y 1-1”</w:t>
      </w:r>
    </w:p>
    <w:p>
      <w:pPr>
        <w:jc w:val="left"/>
      </w:pPr>
      <w:r>
        <w:rPr>
          <w:b/>
        </w:rPr>
        <w:t xml:space="preserve">Respuesta útil observada  </w:t>
      </w:r>
      <w:r>
        <w:t>Se restauró la intención de mostrar componentes relacionados y se revisaron las conexiones entre dominio, aplicación y persistencia.</w:t>
      </w:r>
    </w:p>
    <w:p>
      <w:pPr>
        <w:jc w:val="left"/>
      </w:pPr>
      <w:r>
        <w:rPr>
          <w:b/>
        </w:rPr>
        <w:t xml:space="preserve">Error o supuesto detectado  </w:t>
      </w:r>
      <w:r>
        <w:t>El recuento de cajas y la conectividad fueron señales de pérdida de información, no solo un problema estético. Un conector necesita representar una relación real y legible.</w:t>
      </w:r>
    </w:p>
    <w:p>
      <w:pPr>
        <w:jc w:val="left"/>
      </w:pPr>
      <w:r>
        <w:rPr>
          <w:b/>
        </w:rPr>
        <w:t xml:space="preserve">Corrección aplicada  </w:t>
      </w:r>
      <w:r>
        <w:t>Se mantuvo como requisito de revisión comparar cada versión con la anterior: clases justificadas, relaciones semánticas y espaciado.</w:t>
      </w:r>
    </w:p>
    <w:p>
      <w:pPr>
        <w:jc w:val="left"/>
      </w:pPr>
      <w:r>
        <w:rPr>
          <w:b/>
        </w:rPr>
        <w:t xml:space="preserve">Decisión y evidencia  </w:t>
      </w:r>
      <w:r>
        <w:t>Corrección pedida por el usuario. Evidencia: AulaPlus_UML_11_recuadros.drawio y versiones corregidas; 02_Diagrama_Dominio_y_Clases_AulaPlus.drawio.</w:t>
      </w:r>
    </w:p>
    <w:p>
      <w:pPr>
        <w:pStyle w:val="Ttulo3"/>
      </w:pPr>
      <w:r>
        <w:t>I-04  Corrección de alcance</w:t>
      </w:r>
    </w:p>
    <w:p>
      <w:pPr>
        <w:jc w:val="left"/>
      </w:pPr>
      <w:r>
        <w:rPr>
          <w:b/>
        </w:rPr>
        <w:t xml:space="preserve">Solicitud comprobable  </w:t>
      </w:r>
      <w:r>
        <w:t>“nd mas trabajaremos con los primeros que vimos, los ultimos 3 que pensaste que queria esos no”</w:t>
      </w:r>
    </w:p>
    <w:p>
      <w:pPr>
        <w:jc w:val="left"/>
      </w:pPr>
      <w:r>
        <w:rPr>
          <w:b/>
        </w:rPr>
        <w:t xml:space="preserve">Respuesta útil observada  </w:t>
      </w:r>
      <w:r>
        <w:t>La asistencia había preparado tres diagramas adicionales por interpretar “otros 3” como nuevos diagramas.</w:t>
      </w:r>
    </w:p>
    <w:p>
      <w:pPr>
        <w:jc w:val="left"/>
      </w:pPr>
      <w:r>
        <w:rPr>
          <w:b/>
        </w:rPr>
        <w:t xml:space="preserve">Error o supuesto detectado  </w:t>
      </w:r>
      <w:r>
        <w:t>La interpretación no correspondía a la selección del usuario. Agregar entregables no solicitados complicaba la revisión.</w:t>
      </w:r>
    </w:p>
    <w:p>
      <w:pPr>
        <w:jc w:val="left"/>
      </w:pPr>
      <w:r>
        <w:rPr>
          <w:b/>
        </w:rPr>
        <w:t xml:space="preserve">Corrección aplicada  </w:t>
      </w:r>
      <w:r>
        <w:t>Se volvió a los diagramas originales de clases, reserva y pago; las revisiones posteriores se aplicaron a ese conjunto.</w:t>
      </w:r>
    </w:p>
    <w:p>
      <w:pPr>
        <w:jc w:val="left"/>
      </w:pPr>
      <w:r>
        <w:rPr>
          <w:b/>
        </w:rPr>
        <w:t xml:space="preserve">Decisión y evidencia  </w:t>
      </w:r>
      <w:r>
        <w:t>Decisión del usuario sobre el alcance. Evidencia: 02_Diagrama_Dominio_y_Clases_AulaPlus.drawio; 03_CU01_Reserva_AulaPlus.drawio; 03_CU02_Pago_y_Vencimiento_AulaPlus.drawio.</w:t>
      </w:r>
    </w:p>
    <w:p>
      <w:pPr>
        <w:pStyle w:val="Ttulo3"/>
      </w:pPr>
      <w:r>
        <w:t>I-05  Documento final y legibilidad de imágenes</w:t>
      </w:r>
    </w:p>
    <w:p>
      <w:pPr>
        <w:jc w:val="left"/>
      </w:pPr>
      <w:r>
        <w:rPr>
          <w:b/>
        </w:rPr>
        <w:t xml:space="preserve">Solicitud comprobable  </w:t>
      </w:r>
      <w:r>
        <w:t>“Ahora es el Documento Final del 7-9 incluyendo los diagramas, no quiero el borrador”; después pidió quitar el fondo en cuatro imágenes y extenderlo a un mínimo de diez páginas.</w:t>
      </w:r>
    </w:p>
    <w:p>
      <w:pPr>
        <w:jc w:val="left"/>
      </w:pPr>
      <w:r>
        <w:rPr>
          <w:b/>
        </w:rPr>
        <w:t xml:space="preserve">Respuesta útil observada  </w:t>
      </w:r>
      <w:r>
        <w:t>Se produjo un documento integrado con diagramas y explicaciones; se revisaron sus imágenes y extensión tras los comentarios.</w:t>
      </w:r>
    </w:p>
    <w:p>
      <w:pPr>
        <w:jc w:val="left"/>
      </w:pPr>
      <w:r>
        <w:rPr>
          <w:b/>
        </w:rPr>
        <w:t xml:space="preserve">Error o supuesto detectado  </w:t>
      </w:r>
      <w:r>
        <w:t>El fondo oscuro y la escala reducida dificultaban lectura e impresión. La primera extensión tampoco satisfacía el mínimo solicitado.</w:t>
      </w:r>
    </w:p>
    <w:p>
      <w:pPr>
        <w:jc w:val="left"/>
      </w:pPr>
      <w:r>
        <w:rPr>
          <w:b/>
        </w:rPr>
        <w:t xml:space="preserve">Corrección aplicada  </w:t>
      </w:r>
      <w:r>
        <w:t>Se preparó una versión final extendida y se trataron las imágenes para fondo claro. La lectura de cada página sigue siendo criterio de aceptación.</w:t>
      </w:r>
    </w:p>
    <w:p>
      <w:pPr>
        <w:jc w:val="left"/>
      </w:pPr>
      <w:r>
        <w:rPr>
          <w:b/>
        </w:rPr>
        <w:t xml:space="preserve">Decisión y evidencia  </w:t>
      </w:r>
      <w:r>
        <w:t>Revisión directa del usuario mediante anotaciones sobre el documento. Evidencia: AulaPlus_Documento_Final_Etapas_7_8_9.docx y sus cuatro imágenes señaladas.</w:t>
      </w:r>
    </w:p>
    <w:p>
      <w:pPr>
        <w:pStyle w:val="Ttulo3"/>
      </w:pPr>
      <w:r>
        <w:t>I-06  Informe y diagrama de dominio</w:t>
      </w:r>
    </w:p>
    <w:p>
      <w:pPr>
        <w:jc w:val="left"/>
      </w:pPr>
      <w:r>
        <w:rPr>
          <w:b/>
        </w:rPr>
        <w:t xml:space="preserve">Solicitud comprobable  </w:t>
      </w:r>
      <w:r>
        <w:t>“bueno haremos todo la parte de entregables, con lo que ya trabajamos, empezemos por el primero, el informe de arquitectura”; luego pidió el entregable 2 con todos los criterios de evaluación.</w:t>
      </w:r>
    </w:p>
    <w:p>
      <w:pPr>
        <w:jc w:val="left"/>
      </w:pPr>
      <w:r>
        <w:rPr>
          <w:b/>
        </w:rPr>
        <w:t xml:space="preserve">Respuesta útil observada  </w:t>
      </w:r>
      <w:r>
        <w:t>El informe comparó patrones, delimitó cinco CU, explicó dominio, servicios, Repository, Unit of Work, CQRS, SOLID y tres ADR; el entregable 02 incorporó fuente editable y PDF.</w:t>
      </w:r>
    </w:p>
    <w:p>
      <w:pPr>
        <w:jc w:val="left"/>
      </w:pPr>
      <w:r>
        <w:rPr>
          <w:b/>
        </w:rPr>
        <w:t xml:space="preserve">Error o supuesto detectado  </w:t>
      </w:r>
      <w:r>
        <w:t>La evidencia de U2 no permite tratar toda decisión anterior como regla cerrada. R-05 mezcla 48 h de retención normal con 72 h de mediación; H-05 tenía rangos de reembolso disponibles en BRD, aunque otro documento los dejó incompletos.</w:t>
      </w:r>
    </w:p>
    <w:p>
      <w:pPr>
        <w:jc w:val="left"/>
      </w:pPr>
      <w:r>
        <w:rPr>
          <w:b/>
        </w:rPr>
        <w:t xml:space="preserve">Corrección aplicada  </w:t>
      </w:r>
      <w:r>
        <w:t>Se registraron H-01 y H-05 como conflictos de integración; el informe no afirma una política final de liberación ni límites exactos de rangos de reembolso.</w:t>
      </w:r>
    </w:p>
    <w:p>
      <w:pPr>
        <w:jc w:val="left"/>
      </w:pPr>
      <w:r>
        <w:rPr>
          <w:b/>
        </w:rPr>
        <w:t xml:space="preserve">Decisión y evidencia  </w:t>
      </w:r>
      <w:r>
        <w:t>Decisión analítica documentada, pendiente de confirmación de negocio. Evidencia: 01_Informe_de_Arquitectura_AulaPlus.pdf; 02_Diagrama_Dominio_y_Clases_AulaPlus.pdf; BRD y entrevista U2.</w:t>
      </w:r>
    </w:p>
    <w:p>
      <w:pPr>
        <w:pStyle w:val="Ttulo3"/>
      </w:pPr>
      <w:r>
        <w:t>I-07  Dos secuencias coherentes con las clases</w:t>
      </w:r>
    </w:p>
    <w:p>
      <w:pPr>
        <w:jc w:val="left"/>
      </w:pPr>
      <w:r>
        <w:rPr>
          <w:b/>
        </w:rPr>
        <w:t xml:space="preserve">Solicitud comprobable  </w:t>
      </w:r>
      <w:r>
        <w:t>“ahora el tercer entregable”</w:t>
      </w:r>
    </w:p>
    <w:p>
      <w:pPr>
        <w:jc w:val="left"/>
      </w:pPr>
      <w:r>
        <w:rPr>
          <w:b/>
        </w:rPr>
        <w:t xml:space="preserve">Respuesta útil observada  </w:t>
      </w:r>
      <w:r>
        <w:t>Se generaron dos archivos fuente y dos exportaciones: CU-01 reservar sesión y CU-02 confirmar pago o vencer el congelamiento.</w:t>
      </w:r>
    </w:p>
    <w:p>
      <w:pPr>
        <w:jc w:val="left"/>
      </w:pPr>
      <w:r>
        <w:rPr>
          <w:b/>
        </w:rPr>
        <w:t xml:space="preserve">Error o supuesto detectado  </w:t>
      </w:r>
      <w:r>
        <w:t>Las secuencias deben usar participantes presentes en la arquitectura. Pago tardío tras diez minutos y registro del pago fallido son hallazgos H-11 y H-13 sin regla cerrada.</w:t>
      </w:r>
    </w:p>
    <w:p>
      <w:pPr>
        <w:jc w:val="left"/>
      </w:pPr>
      <w:r>
        <w:rPr>
          <w:b/>
        </w:rPr>
        <w:t xml:space="preserve">Corrección aplicada  </w:t>
      </w:r>
      <w:r>
        <w:t>Se mostraron alternativas explícitas y una UnidadDeTrabajo que confirma los cambios locales de sesión y agenda; las reglas no resueltas quedaron marcadas en las notas.</w:t>
      </w:r>
    </w:p>
    <w:p>
      <w:pPr>
        <w:jc w:val="left"/>
      </w:pPr>
      <w:r>
        <w:rPr>
          <w:b/>
        </w:rPr>
        <w:t xml:space="preserve">Decisión y evidencia  </w:t>
      </w:r>
      <w:r>
        <w:t>Diseño revisable, con política externa pendiente. Evidencia: 03_CU01_Reserva_AulaPlus.drawio/.pdf y 03_CU02_Pago_y_Vencimiento_AulaPlus.drawio/.pdf.</w:t>
      </w:r>
    </w:p>
    <w:p>
      <w:pPr>
        <w:pStyle w:val="Ttulo3"/>
      </w:pPr>
      <w:r>
        <w:t>I-08  Matriz y contraste de fuentes</w:t>
      </w:r>
    </w:p>
    <w:p>
      <w:pPr>
        <w:jc w:val="left"/>
      </w:pPr>
      <w:r>
        <w:rPr>
          <w:b/>
        </w:rPr>
        <w:t xml:space="preserve">Solicitud comprobable  </w:t>
      </w:r>
      <w:r>
        <w:t>“ahora el 4”</w:t>
      </w:r>
    </w:p>
    <w:p>
      <w:pPr>
        <w:jc w:val="left"/>
      </w:pPr>
      <w:r>
        <w:rPr>
          <w:b/>
        </w:rPr>
        <w:t xml:space="preserve">Respuesta útil observada  </w:t>
      </w:r>
      <w:r>
        <w:t>Se creó una hoja editable con 16 vínculos entre CU, NB, Req, US, regla/hallazgo, componente, persistencia y ADR; una segunda hoja recorre NB-01 a NB-13.</w:t>
      </w:r>
    </w:p>
    <w:p>
      <w:pPr>
        <w:jc w:val="left"/>
      </w:pPr>
      <w:r>
        <w:rPr>
          <w:b/>
        </w:rPr>
        <w:t xml:space="preserve">Error o supuesto detectado  </w:t>
      </w:r>
      <w:r>
        <w:t>Una matriz que marca todo como cubierto ocultaría alcance no desarrollado y contradicciones. NB-04, NB-07, NB-10, NB-11 y NB-13 no se detallaron en los cinco CU elegidos.</w:t>
      </w:r>
    </w:p>
    <w:p>
      <w:pPr>
        <w:jc w:val="left"/>
      </w:pPr>
      <w:r>
        <w:rPr>
          <w:b/>
        </w:rPr>
        <w:t xml:space="preserve">Corrección aplicada  </w:t>
      </w:r>
      <w:r>
        <w:t>La matriz diferencia cobertura detallada, parcial y no detallada; conserva H-01, H-05, H-06, H-11, H-13 y H-15 con estado pendiente cuando corresponde.</w:t>
      </w:r>
    </w:p>
    <w:p>
      <w:pPr>
        <w:jc w:val="left"/>
      </w:pPr>
      <w:r>
        <w:rPr>
          <w:b/>
        </w:rPr>
        <w:t xml:space="preserve">Decisión y evidencia  </w:t>
      </w:r>
      <w:r>
        <w:t>Consolidación documental pendiente de validación por el equipo. Evidencia: 04_Matriz_de_Trazabilidad_AulaPlus.xlsx; BRD_Caso08_AulaPlus.docx; Etapas_1_2_y_3 CLNG (1).docx.</w:t>
      </w:r>
    </w:p>
    <w:p>
      <w:pPr>
        <w:pStyle w:val="Ttulo2"/>
      </w:pPr>
      <w:r>
        <w:t>4 Decisiones que aún requieren validación</w:t>
      </w:r>
    </w:p>
    <w:p>
      <w:pPr>
        <w:jc w:val="left"/>
      </w:pPr>
      <w:r>
        <w:t>Estos asuntos se registran para evitar que una respuesta de IA se convierta en regla de negocio por repetición. La validación exige revisar el BRD y confirmar la política con el equipo o stakeholder antes de codificar.</w:t>
      </w:r>
    </w:p>
    <w:tbl>
      <w:tblPr>
        <w:tblW w:w="1457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57"/>
        <w:gridCol w:w="5999"/>
        <w:gridCol w:w="6814"/>
      </w:tblGrid>
      <w:tr>
        <w:trPr>
          <w:cantSplit/>
          <w:tblHeader/>
        </w:trPr>
        <w:tc>
          <w:tcPr>
            <w:tcW w:type="dxa" w:w="175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99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Evidencia y diferencia</w:t>
            </w:r>
          </w:p>
        </w:tc>
        <w:tc>
          <w:tcPr>
            <w:tcW w:type="dxa" w:w="6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Acción de validación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H-01</w:t>
            </w:r>
          </w:p>
        </w:tc>
        <w:tc>
          <w:tcPr>
            <w:tcW w:type="dxa" w:w="599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BRD/entrevista: liberación normal a las 48 h después de completada. Diseño previo: 72 h. La mediación de disputa también usa 72 h.</w:t>
            </w:r>
          </w:p>
        </w:tc>
        <w:tc>
          <w:tcPr>
            <w:tcW w:type="dxa" w:w="6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Separar reloj de retención normal y plazo de mediación; actualizar R-05, ADR y CU-05.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H-05</w:t>
            </w:r>
          </w:p>
        </w:tc>
        <w:tc>
          <w:tcPr>
            <w:tcW w:type="dxa" w:w="599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BRD/entrevista: 100 % &gt;24 h, 50 % entre 24 y 6 h, 0 % &lt;6 h. Documento posterior decía que faltaban porcentajes.</w:t>
            </w:r>
          </w:p>
        </w:tc>
        <w:tc>
          <w:tcPr>
            <w:tcW w:type="dxa" w:w="6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Confirmar bordes exactos en 24 h y 6 h, excepciones y redondeo; actualizar CU-03.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H-06</w:t>
            </w:r>
          </w:p>
        </w:tc>
        <w:tc>
          <w:tcPr>
            <w:tcW w:type="dxa" w:w="599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Cupo presencial compartido entre tutores; leer ocupación no protege por sí mismo el último cupo.</w:t>
            </w:r>
          </w:p>
        </w:tc>
        <w:tc>
          <w:tcPr>
            <w:tcW w:type="dxa" w:w="6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Definir capacidad y control atómico de sede; probar concurrencia.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H-11 / H-13</w:t>
            </w:r>
          </w:p>
        </w:tc>
        <w:tc>
          <w:tcPr>
            <w:tcW w:type="dxa" w:w="599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Pago confirmado después del vencimiento y registro de un fallo de pasarela sin política completa.</w:t>
            </w:r>
          </w:p>
        </w:tc>
        <w:tc>
          <w:tcPr>
            <w:tcW w:type="dxa" w:w="6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Acordar devolución/compensación y estado o evento de pago fallido.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H-15</w:t>
            </w:r>
          </w:p>
        </w:tc>
        <w:tc>
          <w:tcPr>
            <w:tcW w:type="dxa" w:w="599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La liberación de fondos presupone sesión Completada, pero falta cerrar quién registra esa transición.</w:t>
            </w:r>
          </w:p>
        </w:tc>
        <w:tc>
          <w:tcPr>
            <w:tcW w:type="dxa" w:w="681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Especificar el caso de uso y su evidencia; actualizar el diagrama y el servicio.</w:t>
            </w:r>
          </w:p>
        </w:tc>
      </w:tr>
    </w:tbl>
    <w:p>
      <w:pPr>
        <w:spacing w:after="80"/>
      </w:pPr>
    </w:p>
    <w:p>
      <w:pPr>
        <w:pStyle w:val="Ttulo2"/>
      </w:pPr>
      <w:r>
        <w:t>5 Comprobación frente a la guía</w:t>
      </w:r>
    </w:p>
    <w:tbl>
      <w:tblPr>
        <w:tblW w:w="1457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28"/>
        <w:gridCol w:w="9384"/>
        <w:gridCol w:w="2358"/>
      </w:tblGrid>
      <w:tr>
        <w:trPr>
          <w:cantSplit/>
          <w:tblHeader/>
        </w:trPr>
        <w:tc>
          <w:tcPr>
            <w:tcW w:type="dxa" w:w="28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Exigencia</w:t>
            </w:r>
          </w:p>
        </w:tc>
        <w:tc>
          <w:tcPr>
            <w:tcW w:type="dxa" w:w="938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Evidencia en esta bitácora</w:t>
            </w:r>
          </w:p>
        </w:tc>
        <w:tc>
          <w:tcPr>
            <w:tcW w:type="dxa" w:w="235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</w:tcPr>
          <w:p>
            <w:pPr>
              <w:spacing w:after="40" w:line="240" w:lineRule="auto"/>
              <w:jc w:val="left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Prompt y contexto</w:t>
            </w:r>
          </w:p>
        </w:tc>
        <w:tc>
          <w:tcPr>
            <w:tcW w:type="dxa" w:w="938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Solicitudes textuales de I-01 a I-08 y fuentes U2 indicadas.</w:t>
            </w:r>
          </w:p>
        </w:tc>
        <w:tc>
          <w:tcPr>
            <w:tcW w:type="dxa" w:w="235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Cubierta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Respuesta útil</w:t>
            </w:r>
          </w:p>
        </w:tc>
        <w:tc>
          <w:tcPr>
            <w:tcW w:type="dxa" w:w="938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Resumen de salidas observables y nombre del archivo resultante.</w:t>
            </w:r>
          </w:p>
        </w:tc>
        <w:tc>
          <w:tcPr>
            <w:tcW w:type="dxa" w:w="235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Cubierta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Error o supuesto</w:t>
            </w:r>
          </w:p>
        </w:tc>
        <w:tc>
          <w:tcPr>
            <w:tcW w:type="dxa" w:w="938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Pérdida de cajas, conectores, malentendido del alcance y conflictos U2.</w:t>
            </w:r>
          </w:p>
        </w:tc>
        <w:tc>
          <w:tcPr>
            <w:tcW w:type="dxa" w:w="235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Cubierta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Corrección humana</w:t>
            </w:r>
          </w:p>
        </w:tc>
        <w:tc>
          <w:tcPr>
            <w:tcW w:type="dxa" w:w="938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Comentarios visuales y acotación de alcance del usuario.</w:t>
            </w:r>
          </w:p>
        </w:tc>
        <w:tc>
          <w:tcPr>
            <w:tcW w:type="dxa" w:w="235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Cubierta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Decisión del equipo</w:t>
            </w:r>
          </w:p>
        </w:tc>
        <w:tc>
          <w:tcPr>
            <w:tcW w:type="dxa" w:w="938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Decisiones de diseño documentadas; aprobación final de reglas H-01, H-05, H-06, H-11, H-13, H-15 pendiente.</w:t>
            </w:r>
          </w:p>
        </w:tc>
        <w:tc>
          <w:tcPr>
            <w:tcW w:type="dxa" w:w="235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</w:tcPr>
          <w:p>
            <w:pPr>
              <w:spacing w:after="40" w:line="240" w:lineRule="auto"/>
              <w:jc w:val="left"/>
            </w:pPr>
            <w:r>
              <w:t>Parcial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Repositorio</w:t>
            </w:r>
          </w:p>
        </w:tc>
        <w:tc>
          <w:tcPr>
            <w:tcW w:type="dxa" w:w="938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Las rutas de artefactos están identificadas; historial de commits y README pertenecen al entregable 07.</w:t>
            </w:r>
          </w:p>
        </w:tc>
        <w:tc>
          <w:tcPr>
            <w:tcW w:type="dxa" w:w="235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C"/>
          </w:tcPr>
          <w:p>
            <w:pPr>
              <w:spacing w:after="40" w:line="240" w:lineRule="auto"/>
              <w:jc w:val="left"/>
            </w:pPr>
            <w:r>
              <w:t>Pendiente E07</w:t>
            </w:r>
          </w:p>
        </w:tc>
      </w:tr>
    </w:tbl>
    <w:p>
      <w:pPr>
        <w:spacing w:after="80"/>
      </w:pPr>
    </w:p>
    <w:p>
      <w:pPr>
        <w:pStyle w:val="Ttulo2"/>
      </w:pPr>
      <w:r>
        <w:t>6 Índice de evidencias</w:t>
      </w:r>
    </w:p>
    <w:p>
      <w:pPr>
        <w:jc w:val="left"/>
      </w:pPr>
      <w:r>
        <w:t>Guía: Actividad_Unidad_3_CLN_ArquitecturaAlumnos.docx. Continuidad de Unidad 2: BRD_Caso08_AulaPlus.docx y Etapas_1_2_y_3 CLNG (1).docx. Diseño previo: AulaPlus_Etapa4_ServiceLayer.docx y AulaPlus_Etapa5_Repository_UnitOfWork (1).docx. Artefactos de Unidad 3 en la carpeta outputs: 01_Informe_de_Arquitectura_AulaPlus.pdf; 02_Diagrama_Dominio_y_Clases_AulaPlus.drawio y .pdf; 03_CU01_Reserva_AulaPlus.drawio y .pdf; 03_CU02_Pago_y_Vencimiento_AulaPlus.drawio y .pdf; 04_Matriz_de_Trazabilidad_AulaPlus.xlsx.</w:t>
      </w:r>
    </w:p>
    <w:sectPr w:rsidR="00BD4174" w:rsidRPr="002125C5" w:rsidSect="00DE1F3F">
      <w:headerReference w:type="default" r:id="rId11"/>
      <w:footerReference w:type="default" r:id="rId12"/>
      <w:pgSz w:w="16838" w:h="11906" w:orient="landscape"/>
      <w:pgMar w:top="1417" w:right="1134" w:bottom="141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59514" w14:textId="77777777" w:rsidR="00374137" w:rsidRDefault="00374137" w:rsidP="00685253">
      <w:pPr>
        <w:spacing w:after="0" w:line="240" w:lineRule="auto"/>
      </w:pPr>
      <w:r>
        <w:separator/>
      </w:r>
    </w:p>
  </w:endnote>
  <w:endnote w:type="continuationSeparator" w:id="0">
    <w:p w14:paraId="2C41F1C1" w14:textId="77777777" w:rsidR="00374137" w:rsidRDefault="00374137" w:rsidP="00685253">
      <w:pPr>
        <w:spacing w:after="0" w:line="240" w:lineRule="auto"/>
      </w:pPr>
      <w:r>
        <w:continuationSeparator/>
      </w:r>
    </w:p>
  </w:endnote>
  <w:endnote w:type="continuationNotice" w:id="1">
    <w:p w14:paraId="672D3064" w14:textId="77777777" w:rsidR="00374137" w:rsidRDefault="003741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68" w:type="dxa"/>
      <w:tblLayout w:type="fixed"/>
      <w:tblLook w:val="04A0" w:firstRow="1" w:lastRow="0" w:firstColumn="1" w:lastColumn="0" w:noHBand="0" w:noVBand="1"/>
    </w:tblPr>
    <w:tblGrid>
      <w:gridCol w:w="4856"/>
      <w:gridCol w:w="4856"/>
      <w:gridCol w:w="4856"/>
    </w:tblGrid>
    <w:tr w:rsidR="01005E6B" w14:paraId="42E34346" w14:textId="77777777" w:rsidTr="01005E6B">
      <w:tc>
        <w:tcPr>
          <w:tcW w:w="4856" w:type="dxa"/>
        </w:tcPr>
        <w:p w14:paraId="1076021F" w14:textId="7E39E55E" w:rsidR="01005E6B" w:rsidRDefault="01005E6B" w:rsidP="01005E6B">
          <w:pPr>
            <w:pStyle w:val="Encabezado"/>
            <w:ind w:left="-115"/>
          </w:pPr>
        </w:p>
      </w:tc>
      <w:tc>
        <w:tcPr>
          <w:tcW w:w="4856" w:type="dxa"/>
        </w:tcPr>
        <w:p w14:paraId="1A184D06" w14:textId="043840EB" w:rsidR="01005E6B" w:rsidRDefault="01005E6B" w:rsidP="01005E6B">
          <w:pPr>
            <w:pStyle w:val="Encabezado"/>
            <w:jc w:val="center"/>
          </w:pPr>
        </w:p>
      </w:tc>
      <w:tc>
        <w:tcPr>
          <w:tcW w:w="4856" w:type="dxa"/>
        </w:tcPr>
        <w:p w14:paraId="6A85749D" w14:textId="47B790B3" w:rsidR="01005E6B" w:rsidRDefault="01005E6B" w:rsidP="01005E6B">
          <w:pPr>
            <w:pStyle w:val="Encabezado"/>
            <w:ind w:right="-115"/>
            <w:jc w:val="right"/>
          </w:pPr>
          <w:r>
            <w:rPr>
              <w:rFonts w:ascii="Arial" w:hAnsi="Arial"/>
              <w:sz w:val="20"/>
            </w:rPr>
            <w:t xml:space="preserve">Página </w:t>
          </w:r>
          <w:r>
            <w:rPr>
              <w:rFonts w:ascii="Arial" w:hAnsi="Arial"/>
              <w:sz w:val="20"/>
            </w:rPr>
            <w:fldChar w:fldCharType="begin"/>
          </w:r>
          <w:r>
            <w:rPr>
              <w:rFonts w:ascii="Arial" w:hAnsi="Arial"/>
              <w:sz w:val="20"/>
            </w:rPr>
            <w:instrText xml:space="preserve"> PAGE </w:instrText>
          </w:r>
          <w:r>
            <w:rPr>
              <w:rFonts w:ascii="Arial" w:hAnsi="Arial"/>
              <w:sz w:val="20"/>
            </w:rPr>
            <w:fldChar w:fldCharType="separate"/>
          </w:r>
          <w:r>
            <w:rPr>
              <w:rFonts w:ascii="Arial" w:hAnsi="Arial"/>
              <w:sz w:val="20"/>
            </w:rPr>
            <w:t>1</w:t>
          </w:r>
          <w:r>
            <w:rPr>
              <w:rFonts w:ascii="Arial" w:hAnsi="Arial"/>
              <w:sz w:val="20"/>
            </w:rPr>
            <w:fldChar w:fldCharType="end"/>
          </w:r>
        </w:p>
      </w:tc>
    </w:tr>
  </w:tbl>
  <w:p w14:paraId="0E2B38C6" w14:textId="0AF0FD25" w:rsidR="01005E6B" w:rsidRDefault="00851AE7" w:rsidP="01005E6B">
    <w:pPr>
      <w:pStyle w:val="Piedepgina"/>
      <w:tabs>
        <w:tab w:val="clear" w:pos="4252"/>
        <w:tab w:val="clear" w:pos="8504"/>
        <w:tab w:val="center" w:pos="7285"/>
        <w:tab w:val="right" w:pos="14570"/>
      </w:tabs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F102" w14:textId="77777777" w:rsidR="00374137" w:rsidRDefault="00374137" w:rsidP="00685253">
      <w:pPr>
        <w:spacing w:after="0" w:line="240" w:lineRule="auto"/>
      </w:pPr>
      <w:r>
        <w:separator/>
      </w:r>
    </w:p>
  </w:footnote>
  <w:footnote w:type="continuationSeparator" w:id="0">
    <w:p w14:paraId="1B7DA4E2" w14:textId="77777777" w:rsidR="00374137" w:rsidRDefault="00374137" w:rsidP="00685253">
      <w:pPr>
        <w:spacing w:after="0" w:line="240" w:lineRule="auto"/>
      </w:pPr>
      <w:r>
        <w:continuationSeparator/>
      </w:r>
    </w:p>
  </w:footnote>
  <w:footnote w:type="continuationNotice" w:id="1">
    <w:p w14:paraId="190E07C6" w14:textId="77777777" w:rsidR="00374137" w:rsidRDefault="003741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C10E2" w14:textId="369C1B0B" w:rsidR="00685253" w:rsidRPr="001E024A" w:rsidRDefault="009C2646" w:rsidP="003C77DE">
    <w:pPr>
      <w:pStyle w:val="Encabezado"/>
      <w:tabs>
        <w:tab w:val="clear" w:pos="4252"/>
        <w:tab w:val="clear" w:pos="8504"/>
        <w:tab w:val="center" w:pos="7285"/>
        <w:tab w:val="right" w:pos="14570"/>
      </w:tabs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F08ADD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540" w:hanging="360"/>
      </w:pPr>
      <w:rPr>
        <w:rFonts w:ascii="Arial" w:hAnsi="Arial" w:cs="Arial" w:hint="default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ind w:left="1620" w:hanging="360"/>
      </w:pPr>
      <w:rPr>
        <w:rFonts w:ascii="Arial" w:hAnsi="Arial" w:cs="Arial" w:hint="default"/>
      </w:rPr>
    </w:lvl>
  </w:abstractNum>
  <w:num w:numId="1" w16cid:durableId="223030742">
    <w:abstractNumId w:val="6"/>
  </w:num>
  <w:num w:numId="2" w16cid:durableId="206913873">
    <w:abstractNumId w:val="5"/>
  </w:num>
  <w:num w:numId="3" w16cid:durableId="2055736322">
    <w:abstractNumId w:val="2"/>
  </w:num>
  <w:num w:numId="4" w16cid:durableId="1575237468">
    <w:abstractNumId w:val="4"/>
  </w:num>
  <w:num w:numId="5" w16cid:durableId="1931742875">
    <w:abstractNumId w:val="0"/>
  </w:num>
  <w:num w:numId="6" w16cid:durableId="143202984">
    <w:abstractNumId w:val="7"/>
  </w:num>
  <w:num w:numId="7" w16cid:durableId="1580209689">
    <w:abstractNumId w:val="3"/>
  </w:num>
  <w:num w:numId="8" w16cid:durableId="2048723477">
    <w:abstractNumId w:val="1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74ABE"/>
    <w:rsid w:val="00094617"/>
    <w:rsid w:val="000D596E"/>
    <w:rsid w:val="000F5991"/>
    <w:rsid w:val="001467A8"/>
    <w:rsid w:val="00147CA4"/>
    <w:rsid w:val="00161EC1"/>
    <w:rsid w:val="00196BEB"/>
    <w:rsid w:val="001C6840"/>
    <w:rsid w:val="001E0A65"/>
    <w:rsid w:val="001E6620"/>
    <w:rsid w:val="002125C5"/>
    <w:rsid w:val="003427B9"/>
    <w:rsid w:val="00374137"/>
    <w:rsid w:val="0037473A"/>
    <w:rsid w:val="00394F9B"/>
    <w:rsid w:val="00397D03"/>
    <w:rsid w:val="003B265B"/>
    <w:rsid w:val="003C77DE"/>
    <w:rsid w:val="003D29A4"/>
    <w:rsid w:val="003E0B33"/>
    <w:rsid w:val="00417427"/>
    <w:rsid w:val="00463962"/>
    <w:rsid w:val="00472B17"/>
    <w:rsid w:val="00474F79"/>
    <w:rsid w:val="00510153"/>
    <w:rsid w:val="00560FB4"/>
    <w:rsid w:val="005A6A71"/>
    <w:rsid w:val="005B1484"/>
    <w:rsid w:val="005C2BD3"/>
    <w:rsid w:val="00610808"/>
    <w:rsid w:val="00650E3B"/>
    <w:rsid w:val="00685253"/>
    <w:rsid w:val="006D3C31"/>
    <w:rsid w:val="00701A1A"/>
    <w:rsid w:val="007611E9"/>
    <w:rsid w:val="00832977"/>
    <w:rsid w:val="00834490"/>
    <w:rsid w:val="00845B51"/>
    <w:rsid w:val="00851AE7"/>
    <w:rsid w:val="00874607"/>
    <w:rsid w:val="00881A17"/>
    <w:rsid w:val="0091071B"/>
    <w:rsid w:val="00927322"/>
    <w:rsid w:val="009C2646"/>
    <w:rsid w:val="009E6BCF"/>
    <w:rsid w:val="00A10177"/>
    <w:rsid w:val="00A30076"/>
    <w:rsid w:val="00A8760B"/>
    <w:rsid w:val="00AA51FF"/>
    <w:rsid w:val="00AA6238"/>
    <w:rsid w:val="00AB3559"/>
    <w:rsid w:val="00AC6A01"/>
    <w:rsid w:val="00B05939"/>
    <w:rsid w:val="00BD4174"/>
    <w:rsid w:val="00BF5FA8"/>
    <w:rsid w:val="00C16F56"/>
    <w:rsid w:val="00C36405"/>
    <w:rsid w:val="00CA0F0C"/>
    <w:rsid w:val="00D00985"/>
    <w:rsid w:val="00D97A8D"/>
    <w:rsid w:val="00DD7087"/>
    <w:rsid w:val="00DE1F3F"/>
    <w:rsid w:val="00E0171B"/>
    <w:rsid w:val="00E33F29"/>
    <w:rsid w:val="00E35408"/>
    <w:rsid w:val="00E378EC"/>
    <w:rsid w:val="00E53AC9"/>
    <w:rsid w:val="00E95675"/>
    <w:rsid w:val="00EC1C8A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Next w:val="0"/>
      <w:pageBreakBefore w:val="0"/>
      <w:spacing w:before="0" w:after="120" w:line="276" w:lineRule="auto"/>
    </w:pPr>
    <w:rPr>
      <w:rFonts w:ascii="Arial" w:hAnsi="Arial" w:cs="Arial" w:eastAsia="Arial"/>
      <w:b w:val="0"/>
      <w:i w:val="0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pageBreakBefore/>
      <w:pBdr>
        <w:bottom w:val="single" w:sz="12" w:space="4" w:color="1F3864"/>
      </w:pBdr>
      <w:spacing w:before="0" w:after="240" w:line="240" w:lineRule="auto"/>
      <w:outlineLvl w:val="0"/>
    </w:pPr>
    <w:rPr>
      <w:rFonts w:ascii="Arial" w:hAnsi="Arial" w:cs="Arial" w:eastAsia="Arial"/>
      <w:b/>
      <w:i w:val="0"/>
      <w:color w:val="1F3864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pageBreakBefore w:val="0"/>
      <w:spacing w:before="320" w:after="160" w:line="240" w:lineRule="auto"/>
      <w:outlineLvl w:val="1"/>
    </w:pPr>
    <w:rPr>
      <w:rFonts w:ascii="Arial" w:hAnsi="Arial" w:cs="Arial" w:eastAsia="Arial"/>
      <w:b/>
      <w:i w:val="0"/>
      <w:color w:val="2E5597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pageBreakBefore w:val="0"/>
      <w:spacing w:before="240" w:after="120" w:line="240" w:lineRule="auto"/>
      <w:outlineLvl w:val="2"/>
    </w:pPr>
    <w:rPr>
      <w:rFonts w:ascii="Arial" w:hAnsi="Arial" w:cs="Arial" w:eastAsia="Arial"/>
      <w:b/>
      <w:i w:val="0"/>
      <w:color w:val="1F3864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F60299A8DF8B4D9A323BE955188E87" ma:contentTypeVersion="0" ma:contentTypeDescription="Crear nuevo documento." ma:contentTypeScope="" ma:versionID="ff3fa225fd52f309ca8fb6e540d8f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Props1.xml><?xml version="1.0" encoding="utf-8"?>
<ds:datastoreItem xmlns:ds="http://schemas.openxmlformats.org/officeDocument/2006/customXml" ds:itemID="{A5F50B1D-538B-42A4-B3DB-9104BB6453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68D8BA-0569-4F13-AA79-CB46EED8A1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EFBA9E-882D-4048-A715-2B943DBF8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</Words>
  <Characters>246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 IA – AulaPlus</dc:title>
  <dc:subject/>
  <dc:creator>Matthew Montes de Oca</dc:creator>
  <cp:keywords/>
  <dc:description/>
  <cp:lastModifiedBy>Andres Caleb Leija Pedroza</cp:lastModifiedBy>
  <cp:revision>4</cp:revision>
  <dcterms:created xsi:type="dcterms:W3CDTF">2026-01-19T18:01:00Z</dcterms:created>
  <dcterms:modified xsi:type="dcterms:W3CDTF">2026-10-16T04:06:00Z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0x0101002DF60299A8DF8B4D9A323BE955188E87</vt:lpwstr>
  </property>
</Properties>
</file>