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32"/>
          <w:sz w:val="44"/>
          <w:szCs w:val="44"/>
        </w:rPr>
        <w:t xml:space="preserve">SCI Vanille Bio</w:t>
      </w:r>
    </w:p>
    <w:p>
      <w:pPr>
        <w:spacing w:after="60"/>
      </w:pPr>
      <w:r>
        <w:rPr>
          <w:b/>
          <w:bCs/>
          <w:sz w:val="30"/>
          <w:szCs w:val="30"/>
        </w:rPr>
        <w:t xml:space="preserve">Script de demonstration - V1 + V2</w:t>
      </w:r>
    </w:p>
    <w:p>
      <w:pPr>
        <w:spacing w:after="300"/>
      </w:pPr>
      <w:r>
        <w:rPr>
          <w:i/>
          <w:iCs/>
          <w:color w:val="666666"/>
        </w:rPr>
        <w:t xml:space="preserve">Prepare pour la presentation aux parties prenantes - mis a jour le 28 juillet 2026</w:t>
      </w:r>
    </w:p>
    <w:p>
      <w:pPr>
        <w:pStyle w:val="Heading1"/>
        <w:spacing w:after="150" w:before="300"/>
      </w:pPr>
      <w:r>
        <w:t xml:space="preserve">1. Objectif de ce document</w:t>
      </w:r>
    </w:p>
    <w:p>
      <w:pPr>
        <w:spacing w:after="120"/>
      </w:pPr>
      <w:r>
        <w:t xml:space="preserve">Ce document sert de guide pas a pas pour presenter au stakeholder ce qui a ete construit dans l'application de tracabilite (Systeme de Controle Interne) du groupement de vanille bio. Il couvre desormais l'integralite du perimetre V1 (Producteurs, Parcelles, Recoltes, Collectes, Lots verts, Transformation, Lots prepares, Stock, Vente/Export, Tracabilite, Documents) ainsi que le perimetre V2 (Inspections internes, Non-conformites, tableau de bord avance et bilan matiere). Chaque etape indique l'action a realiser dans l'interface et le resultat attendu a l'ecran.</w:t>
      </w:r>
    </w:p>
    <w:p>
      <w:pPr>
        <w:spacing w:after="120"/>
      </w:pPr>
      <w:r>
        <w:t xml:space="preserve">Toutes les etapes ci-dessous ont ete testees et verifiees avant la redaction de ce document (creation reelle des enregistrements, verification des calculs, des regles de blocage automatique et de la suspension automatique de parcelle).</w:t>
      </w:r>
    </w:p>
    <w:p>
      <w:pPr>
        <w:pStyle w:val="Heading1"/>
        <w:spacing w:after="150" w:before="300"/>
      </w:pPr>
      <w:r>
        <w:t xml:space="preserve">2. Avant de commencer</w:t>
      </w:r>
    </w:p>
    <w:p>
      <w:pPr>
        <w:pStyle w:val="Heading2"/>
        <w:spacing w:after="120" w:before="240"/>
      </w:pPr>
      <w:r>
        <w:t xml:space="preserve">2.1 IMPORTANT - reinitialiser la base de donnees avant cette demo</w:t>
      </w:r>
    </w:p>
    <w:p>
      <w:pPr>
        <w:spacing w:after="120"/>
      </w:pPr>
      <w:r>
        <w:rPr>
          <w:b/>
          <w:bCs/>
          <w:color w:val="C62828"/>
        </w:rPr>
        <w:t xml:space="preserve">Le schema de la base de donnees a change avec l'ajout du perimetre V2 (nouvelles colonnes sur les tables inspections, non_conformities, sales, stock_movements, prepared_lots). Le fichier sci_vanille_v2.db existant sur cette machine correspond a l'ANCIEN schema et provoquera des erreurs si vous le gardez tel quel. Il n'y a pas d'outil de migration automatique branche pour l'instant.</w:t>
      </w:r>
    </w:p>
    <w:p>
      <w:pPr>
        <w:spacing w:after="120"/>
      </w:pPr>
      <w:r>
        <w:t xml:space="preserve">Avant de lancer le backend pour cette demo, supprimer le fichier backend/sci_vanille_v2.db puis relancer python seed.py pour recreer une base a jour avec le nouveau jeu de donnees de demonstration (incluant desormais des mouvements de stock, une vente, deux inspections et une non-conformite). Cette base ne contenait que des donnees de test, aucune perte de donnees reelles n'est a prevoir.</w:t>
      </w:r>
    </w:p>
    <w:p>
      <w:pPr>
        <w:pStyle w:val="Heading2"/>
        <w:spacing w:after="120" w:before="240"/>
      </w:pPr>
      <w:r>
        <w:t xml:space="preserve">2.2 Lancer l'application</w:t>
      </w:r>
    </w:p>
    <w:p>
      <w:pPr>
        <w:pStyle w:val="ListParagraph"/>
        <w:numPr>
          <w:ilvl w:val="0"/>
          <w:numId w:val="1"/>
        </w:numPr>
        <w:spacing w:after="80"/>
      </w:pPr>
      <w:r>
        <w:t xml:space="preserve">Backend : dans le dossier backend, activer l'environnement virtuel puis lancer  python -m uvicorn main:app --reload --port 8001</w:t>
      </w:r>
    </w:p>
    <w:p>
      <w:pPr>
        <w:pStyle w:val="ListParagraph"/>
        <w:numPr>
          <w:ilvl w:val="0"/>
          <w:numId w:val="1"/>
        </w:numPr>
        <w:spacing w:after="80"/>
      </w:pPr>
      <w:r>
        <w:t xml:space="preserve">Frontend : dans le dossier frontend, lancer  npm run dev  puis ouvrir  http://localhost:5173</w:t>
      </w:r>
    </w:p>
    <w:p>
      <w:pPr>
        <w:pStyle w:val="ListParagraph"/>
        <w:numPr>
          <w:ilvl w:val="0"/>
          <w:numId w:val="1"/>
        </w:numPr>
        <w:spacing w:after="80"/>
      </w:pPr>
      <w:r>
        <w:t xml:space="preserve">Verifier que le tableau de bord se charge sans erreur avant de commencer la demo.</w:t>
      </w:r>
    </w:p>
    <w:p>
      <w:pPr>
        <w:pStyle w:val="Heading2"/>
        <w:spacing w:after="120" w:before="240"/>
      </w:pPr>
      <w:r>
        <w:t xml:space="preserve">2.3 Compte a utiliser pour la demo</w:t>
      </w:r>
    </w:p>
    <w:p>
      <w:pPr>
        <w:spacing w:after="120"/>
      </w:pPr>
      <w:r>
        <w:t xml:space="preserve">Se connecter avec le compte Administrateur, qui a acces a toutes les actions V1 et V2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EFEFEF" w:val="clear"/>
            <w:tcMar>
              <w:top w:type="dxa" w:w="80"/>
              <w:left w:type="dxa" w:w="100"/>
              <w:bottom w:type="dxa" w:w="80"/>
              <w:right w:type="dxa" w:w="100"/>
            </w:tcMar>
            <w:vAlign w:val="center"/>
          </w:tcPr>
          <w:p>
            <w:r>
              <w:rPr>
                <w:b/>
                <w:bCs/>
              </w:rPr>
              <w:t xml:space="preserve">Identifiant</w:t>
            </w:r>
          </w:p>
        </w:tc>
        <w:tc>
          <w:tcPr>
            <w:shd w:fill="EFEFEF" w:val="clear"/>
            <w:tcMar>
              <w:top w:type="dxa" w:w="80"/>
              <w:left w:type="dxa" w:w="100"/>
              <w:bottom w:type="dxa" w:w="80"/>
              <w:right w:type="dxa" w:w="100"/>
            </w:tcMar>
            <w:vAlign w:val="center"/>
          </w:tcPr>
          <w:p>
            <w:r>
              <w:rPr>
                <w:b/>
                <w:bCs/>
              </w:rPr>
              <w:t xml:space="preserve">Mot de passe</w:t>
            </w:r>
          </w:p>
        </w:tc>
        <w:tc>
          <w:tcPr>
            <w:shd w:fill="EFEFEF" w:val="clear"/>
            <w:tcMar>
              <w:top w:type="dxa" w:w="80"/>
              <w:left w:type="dxa" w:w="100"/>
              <w:bottom w:type="dxa" w:w="80"/>
              <w:right w:type="dxa" w:w="100"/>
            </w:tcMar>
            <w:vAlign w:val="center"/>
          </w:tcPr>
          <w:p>
            <w:r>
              <w:rPr>
                <w:b/>
                <w:bCs/>
              </w:rPr>
              <w:t xml:space="preserve">Role</w:t>
            </w:r>
          </w:p>
        </w:tc>
      </w:tr>
      <w:tr>
        <w:tc>
          <w:tcPr>
            <w:tcMar>
              <w:top w:type="dxa" w:w="80"/>
              <w:left w:type="dxa" w:w="100"/>
              <w:bottom w:type="dxa" w:w="80"/>
              <w:right w:type="dxa" w:w="100"/>
            </w:tcMar>
            <w:vAlign w:val="center"/>
          </w:tcPr>
          <w:p>
            <w:r>
              <w:rPr>
                <w:b w:val="false"/>
                <w:bCs w:val="false"/>
              </w:rPr>
              <w:t xml:space="preserve">admin</w:t>
            </w:r>
          </w:p>
        </w:tc>
        <w:tc>
          <w:tcPr>
            <w:tcMar>
              <w:top w:type="dxa" w:w="80"/>
              <w:left w:type="dxa" w:w="100"/>
              <w:bottom w:type="dxa" w:w="80"/>
              <w:right w:type="dxa" w:w="100"/>
            </w:tcMar>
            <w:vAlign w:val="center"/>
          </w:tcPr>
          <w:p>
            <w:r>
              <w:rPr>
                <w:b w:val="false"/>
                <w:bCs w:val="false"/>
              </w:rPr>
              <w:t xml:space="preserve">admin123</w:t>
            </w:r>
          </w:p>
        </w:tc>
        <w:tc>
          <w:tcPr>
            <w:tcMar>
              <w:top w:type="dxa" w:w="80"/>
              <w:left w:type="dxa" w:w="100"/>
              <w:bottom w:type="dxa" w:w="80"/>
              <w:right w:type="dxa" w:w="100"/>
            </w:tcMar>
            <w:vAlign w:val="center"/>
          </w:tcPr>
          <w:p>
            <w:r>
              <w:rPr>
                <w:b w:val="false"/>
                <w:bCs w:val="false"/>
              </w:rPr>
              <w:t xml:space="preserve">ADMIN (acces complet)</w:t>
            </w:r>
          </w:p>
        </w:tc>
      </w:tr>
    </w:tbl>
    <w:p>
      <w:pPr>
        <w:spacing w:after="120"/>
      </w:pPr>
    </w:p>
    <w:p>
      <w:pPr>
        <w:spacing w:after="120"/>
      </w:pPr>
      <w:r>
        <w:t xml:space="preserve">Cinq autres comptes existent avec des permissions plus restreintes par module : coordinator/coord123 (COORDINATOR_SCI), collecteur/collecte123 (COLLECTION_MANAGER), transformateur/transfo123 (TRANSFORMATION_MANAGER), stockiste/stock123 (STOCK_MANAGER, nouveau), auditeur/audit123 (INTERNAL_AUDITOR, nouveau). C'est volontaire - voir encadre en section 4.</w:t>
      </w:r>
    </w:p>
    <w:p>
      <w:pPr>
        <w:pStyle w:val="Heading2"/>
        <w:spacing w:after="120" w:before="240"/>
      </w:pPr>
      <w:r>
        <w:t xml:space="preserve">2.4 Donnees de depart (jeu de demonstration apres reinitialisation)</w:t>
      </w:r>
    </w:p>
    <w:p>
      <w:pPr>
        <w:pStyle w:val="ListParagraph"/>
        <w:numPr>
          <w:ilvl w:val="0"/>
          <w:numId w:val="1"/>
        </w:numPr>
        <w:spacing w:after="80"/>
      </w:pPr>
      <w:r>
        <w:t xml:space="preserve">2 producteurs, 3 parcelles (dont une Conventionnelle), 3 recoltes, 3 collectes.</w:t>
      </w:r>
    </w:p>
    <w:p>
      <w:pPr>
        <w:pStyle w:val="ListParagraph"/>
        <w:numPr>
          <w:ilvl w:val="0"/>
          <w:numId w:val="1"/>
        </w:numPr>
        <w:spacing w:after="80"/>
      </w:pPr>
      <w:r>
        <w:t xml:space="preserve">2 lots verts : un pur Bio Disponible, un melange deja bloque automatiquement.</w:t>
      </w:r>
    </w:p>
    <w:p>
      <w:pPr>
        <w:pStyle w:val="ListParagraph"/>
        <w:numPr>
          <w:ilvl w:val="0"/>
          <w:numId w:val="1"/>
        </w:numPr>
        <w:spacing w:after="80"/>
      </w:pPr>
      <w:r>
        <w:t xml:space="preserve">1 transformation cloturee (rendement 88.0%), 4 lots prepares (Gourmet/Standard/TK/Fendue).</w:t>
      </w:r>
    </w:p>
    <w:p>
      <w:pPr>
        <w:pStyle w:val="ListParagraph"/>
        <w:numPr>
          <w:ilvl w:val="0"/>
          <w:numId w:val="1"/>
        </w:numPr>
        <w:spacing w:after="80"/>
      </w:pPr>
      <w:r>
        <w:t xml:space="preserve">6 mouvements de stock (entrees + 1 correction d'inventaire + 1 sortie liee a une vente), 1 vente (Gourmet, Expediee).</w:t>
      </w:r>
    </w:p>
    <w:p>
      <w:pPr>
        <w:pStyle w:val="ListParagraph"/>
        <w:numPr>
          <w:ilvl w:val="0"/>
          <w:numId w:val="1"/>
        </w:numPr>
        <w:spacing w:after="80"/>
      </w:pPr>
      <w:r>
        <w:t xml:space="preserve">2 inspections (une Conforme, une Non conforme - la parcelle correspondante est deja Suspendue), 1 non-conformite Majeure ouverte.</w:t>
      </w:r>
    </w:p>
    <w:p>
      <w:pPr>
        <w:pStyle w:val="Heading1"/>
        <w:spacing w:after="150" w:before="300"/>
      </w:pPr>
      <w:r>
        <w:t xml:space="preserve">3. Scenario de demonstration - V1 (rappel modules 1 a 6)</w:t>
      </w:r>
    </w:p>
    <w:p>
      <w:pPr>
        <w:spacing w:after="120"/>
      </w:pPr>
      <w:r>
        <w:t xml:space="preserve">Le scenario detaille des modules 1 a 6 (Producteurs, Parcelles, Recoltes, Collectes, Lots verts, Transformation, y compris la demonstration du blocage automatique Bio/Conventionnel et du calcul de rendement) reste identique a la version precedente de ce document. Se referer aux etapes A a H deja validees ; elles n'ont pas change avec l'ajout de Stock, Sales, Inspections et Non-conformites.</w:t>
      </w:r>
    </w:p>
    <w:p>
      <w:pPr>
        <w:pStyle w:val="Heading1"/>
        <w:spacing w:after="150" w:before="300"/>
      </w:pPr>
      <w:r>
        <w:t xml:space="preserve">4. Scenario de demonstration - fermeture des ecarts V1 (Stock, Vente/Export, Documents)</w:t>
      </w:r>
    </w:p>
    <w:p>
      <w:pPr>
        <w:pStyle w:val="Heading2"/>
        <w:spacing w:after="120" w:before="240"/>
      </w:pPr>
      <w:r>
        <w:t xml:space="preserve">Etape I - Module 9 : Stock (mouvements reels, plus seulement un statut)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000"/>
      </w:tblGrid>
      <w:tr>
        <w:trPr>
          <w:tblHeader/>
        </w:trPr>
        <w:tc>
          <w:tcPr>
            <w:tcW w:type="dxa" w:w="700"/>
            <w:shd w:fill="1F4E3D" w:val="clear"/>
            <w:tcMar>
              <w:top w:type="dxa" w:w="80"/>
              <w:left w:type="dxa" w:w="100"/>
              <w:bottom w:type="dxa" w:w="80"/>
              <w:right w:type="dxa" w:w="100"/>
            </w:tcMar>
            <w:vAlign w:val="center"/>
          </w:tcPr>
          <w:p>
            <w:r>
              <w:rPr>
                <w:b/>
                <w:bCs/>
                <w:color w:val="FFFFFF"/>
              </w:rPr>
              <w:t xml:space="preserve">#</w:t>
            </w:r>
          </w:p>
        </w:tc>
        <w:tc>
          <w:tcPr>
            <w:tcW w:type="dxa" w:w="4650"/>
            <w:shd w:fill="1F4E3D" w:val="clear"/>
            <w:tcMar>
              <w:top w:type="dxa" w:w="80"/>
              <w:left w:type="dxa" w:w="100"/>
              <w:bottom w:type="dxa" w:w="80"/>
              <w:right w:type="dxa" w:w="100"/>
            </w:tcMar>
            <w:vAlign w:val="center"/>
          </w:tcPr>
          <w:p>
            <w:r>
              <w:rPr>
                <w:b/>
                <w:bCs/>
                <w:color w:val="FFFFFF"/>
              </w:rPr>
              <w:t xml:space="preserve">Action dans l'interface</w:t>
            </w:r>
          </w:p>
        </w:tc>
        <w:tc>
          <w:tcPr>
            <w:tcW w:type="dxa" w:w="4000"/>
            <w:shd w:fill="1F4E3D" w:val="clear"/>
            <w:tcMar>
              <w:top w:type="dxa" w:w="80"/>
              <w:left w:type="dxa" w:w="100"/>
              <w:bottom w:type="dxa" w:w="80"/>
              <w:right w:type="dxa" w:w="100"/>
            </w:tcMar>
            <w:vAlign w:val="center"/>
          </w:tcPr>
          <w:p>
            <w:r>
              <w:rPr>
                <w:b/>
                <w:bCs/>
                <w:color w:val="FFFFFF"/>
              </w:rPr>
              <w:t xml:space="preserve">Resultat attendu</w:t>
            </w:r>
          </w:p>
        </w:tc>
      </w:tr>
      <w:tr>
        <w:tc>
          <w:tcPr>
            <w:tcW w:type="dxa" w:w="700"/>
            <w:tcMar>
              <w:top w:type="dxa" w:w="80"/>
              <w:left w:type="dxa" w:w="100"/>
              <w:bottom w:type="dxa" w:w="80"/>
              <w:right w:type="dxa" w:w="100"/>
            </w:tcMar>
            <w:vAlign w:val="center"/>
          </w:tcPr>
          <w:p>
            <w:r>
              <w:rPr>
                <w:b w:val="false"/>
                <w:bCs w:val="false"/>
              </w:rPr>
              <w:t xml:space="preserve">1</w:t>
            </w:r>
          </w:p>
        </w:tc>
        <w:tc>
          <w:tcPr>
            <w:tcW w:type="dxa" w:w="4650"/>
            <w:tcMar>
              <w:top w:type="dxa" w:w="80"/>
              <w:left w:type="dxa" w:w="100"/>
              <w:bottom w:type="dxa" w:w="80"/>
              <w:right w:type="dxa" w:w="100"/>
            </w:tcMar>
            <w:vAlign w:val="center"/>
          </w:tcPr>
          <w:p>
            <w:r>
              <w:rPr>
                <w:b w:val="false"/>
                <w:bCs w:val="false"/>
              </w:rPr>
              <w:t xml:space="preserve">Ouvrir Stock. Observer les 4 cartes de stock disponible par qualite (Gourmet, Standard, TK, Fendue) et le bloc "Stock par emplacement".</w:t>
            </w:r>
          </w:p>
        </w:tc>
        <w:tc>
          <w:tcPr>
            <w:tcW w:type="dxa" w:w="4000"/>
            <w:tcMar>
              <w:top w:type="dxa" w:w="80"/>
              <w:left w:type="dxa" w:w="100"/>
              <w:bottom w:type="dxa" w:w="80"/>
              <w:right w:type="dxa" w:w="100"/>
            </w:tcMar>
            <w:vAlign w:val="center"/>
          </w:tcPr>
          <w:p>
            <w:r>
              <w:rPr>
                <w:b w:val="false"/>
                <w:bCs w:val="false"/>
              </w:rPr>
              <w:t xml:space="preserve">Gourmet affiche 35 kg (55 kg produits - 20 kg deja vendus), Standard 39.5 kg (suite a une correction d'inventaire), TK 20 kg, Fendue 10 kg. Tout est regroupe sous l'emplacement "Magasin central".</w:t>
            </w:r>
          </w:p>
        </w:tc>
      </w:tr>
      <w:tr>
        <w:tc>
          <w:tcPr>
            <w:tcW w:type="dxa" w:w="700"/>
            <w:tcMar>
              <w:top w:type="dxa" w:w="80"/>
              <w:left w:type="dxa" w:w="100"/>
              <w:bottom w:type="dxa" w:w="80"/>
              <w:right w:type="dxa" w:w="100"/>
            </w:tcMar>
            <w:vAlign w:val="center"/>
          </w:tcPr>
          <w:p>
            <w:r>
              <w:rPr>
                <w:b w:val="false"/>
                <w:bCs w:val="false"/>
              </w:rPr>
              <w:t xml:space="preserve">2</w:t>
            </w:r>
          </w:p>
        </w:tc>
        <w:tc>
          <w:tcPr>
            <w:tcW w:type="dxa" w:w="4650"/>
            <w:tcMar>
              <w:top w:type="dxa" w:w="80"/>
              <w:left w:type="dxa" w:w="100"/>
              <w:bottom w:type="dxa" w:w="80"/>
              <w:right w:type="dxa" w:w="100"/>
            </w:tcMar>
            <w:vAlign w:val="center"/>
          </w:tcPr>
          <w:p>
            <w:r>
              <w:rPr>
                <w:b w:val="false"/>
                <w:bCs w:val="false"/>
              </w:rPr>
              <w:t xml:space="preserve">Cliquer "Nouveau mouvement". Choisir le lot TK (PREP-2026-003), type "Sortie", quantite 5 kg, justification "Echantillon qualite envoye au laboratoire". Valider.</w:t>
            </w:r>
          </w:p>
        </w:tc>
        <w:tc>
          <w:tcPr>
            <w:tcW w:type="dxa" w:w="4000"/>
            <w:tcMar>
              <w:top w:type="dxa" w:w="80"/>
              <w:left w:type="dxa" w:w="100"/>
              <w:bottom w:type="dxa" w:w="80"/>
              <w:right w:type="dxa" w:w="100"/>
            </w:tcMar>
            <w:vAlign w:val="center"/>
          </w:tcPr>
          <w:p>
            <w:r>
              <w:rPr>
                <w:b w:val="false"/>
                <w:bCs w:val="false"/>
              </w:rPr>
              <w:t xml:space="preserve">Mouvement MVT-2026-00X cree et historise. Le stock TK passe de 20 kg a 15 kg immediatement.</w:t>
            </w:r>
          </w:p>
        </w:tc>
      </w:tr>
      <w:tr>
        <w:tc>
          <w:tcPr>
            <w:tcW w:type="dxa" w:w="700"/>
            <w:tcMar>
              <w:top w:type="dxa" w:w="80"/>
              <w:left w:type="dxa" w:w="100"/>
              <w:bottom w:type="dxa" w:w="80"/>
              <w:right w:type="dxa" w:w="100"/>
            </w:tcMar>
            <w:vAlign w:val="center"/>
          </w:tcPr>
          <w:p>
            <w:r>
              <w:rPr>
                <w:b w:val="false"/>
                <w:bCs w:val="false"/>
              </w:rPr>
              <w:t xml:space="preserve">3</w:t>
            </w:r>
          </w:p>
        </w:tc>
        <w:tc>
          <w:tcPr>
            <w:tcW w:type="dxa" w:w="4650"/>
            <w:tcMar>
              <w:top w:type="dxa" w:w="80"/>
              <w:left w:type="dxa" w:w="100"/>
              <w:bottom w:type="dxa" w:w="80"/>
              <w:right w:type="dxa" w:w="100"/>
            </w:tcMar>
            <w:vAlign w:val="center"/>
          </w:tcPr>
          <w:p>
            <w:r>
              <w:rPr>
                <w:b w:val="false"/>
                <w:bCs w:val="false"/>
              </w:rPr>
              <w:t xml:space="preserve">Essayer une sortie de 999 kg sur le meme lot.</w:t>
            </w:r>
          </w:p>
        </w:tc>
        <w:tc>
          <w:tcPr>
            <w:tcW w:type="dxa" w:w="4000"/>
            <w:tcMar>
              <w:top w:type="dxa" w:w="80"/>
              <w:left w:type="dxa" w:w="100"/>
              <w:bottom w:type="dxa" w:w="80"/>
              <w:right w:type="dxa" w:w="100"/>
            </w:tcMar>
            <w:vAlign w:val="center"/>
          </w:tcPr>
          <w:p>
            <w:r>
              <w:rPr>
                <w:b w:val="false"/>
                <w:bCs w:val="false"/>
              </w:rPr>
              <w:t xml:space="preserve">Refuse avec le message "Stock insuffisant sur PREP-2026-003 (15 kg disponibles)" - protection contre une sortie superieure au stock reel.</w:t>
            </w:r>
          </w:p>
        </w:tc>
      </w:tr>
    </w:tbl>
    <w:p>
      <w:pPr>
        <w:pStyle w:val="Heading2"/>
        <w:spacing w:after="120" w:before="240"/>
      </w:pPr>
      <w:r>
        <w:t xml:space="preserve">Etape J - Module 10 : Vente / Export (numero auto, tracabilite du stock)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000"/>
      </w:tblGrid>
      <w:tr>
        <w:trPr>
          <w:tblHeader/>
        </w:trPr>
        <w:tc>
          <w:tcPr>
            <w:tcW w:type="dxa" w:w="700"/>
            <w:shd w:fill="1F4E3D" w:val="clear"/>
            <w:tcMar>
              <w:top w:type="dxa" w:w="80"/>
              <w:left w:type="dxa" w:w="100"/>
              <w:bottom w:type="dxa" w:w="80"/>
              <w:right w:type="dxa" w:w="100"/>
            </w:tcMar>
            <w:vAlign w:val="center"/>
          </w:tcPr>
          <w:p>
            <w:r>
              <w:rPr>
                <w:b/>
                <w:bCs/>
                <w:color w:val="FFFFFF"/>
              </w:rPr>
              <w:t xml:space="preserve">#</w:t>
            </w:r>
          </w:p>
        </w:tc>
        <w:tc>
          <w:tcPr>
            <w:tcW w:type="dxa" w:w="4650"/>
            <w:shd w:fill="1F4E3D" w:val="clear"/>
            <w:tcMar>
              <w:top w:type="dxa" w:w="80"/>
              <w:left w:type="dxa" w:w="100"/>
              <w:bottom w:type="dxa" w:w="80"/>
              <w:right w:type="dxa" w:w="100"/>
            </w:tcMar>
            <w:vAlign w:val="center"/>
          </w:tcPr>
          <w:p>
            <w:r>
              <w:rPr>
                <w:b/>
                <w:bCs/>
                <w:color w:val="FFFFFF"/>
              </w:rPr>
              <w:t xml:space="preserve">Action dans l'interface</w:t>
            </w:r>
          </w:p>
        </w:tc>
        <w:tc>
          <w:tcPr>
            <w:tcW w:type="dxa" w:w="4000"/>
            <w:shd w:fill="1F4E3D" w:val="clear"/>
            <w:tcMar>
              <w:top w:type="dxa" w:w="80"/>
              <w:left w:type="dxa" w:w="100"/>
              <w:bottom w:type="dxa" w:w="80"/>
              <w:right w:type="dxa" w:w="100"/>
            </w:tcMar>
            <w:vAlign w:val="center"/>
          </w:tcPr>
          <w:p>
            <w:r>
              <w:rPr>
                <w:b/>
                <w:bCs/>
                <w:color w:val="FFFFFF"/>
              </w:rPr>
              <w:t xml:space="preserve">Resultat attendu</w:t>
            </w:r>
          </w:p>
        </w:tc>
      </w:tr>
      <w:tr>
        <w:tc>
          <w:tcPr>
            <w:tcW w:type="dxa" w:w="700"/>
            <w:tcMar>
              <w:top w:type="dxa" w:w="80"/>
              <w:left w:type="dxa" w:w="100"/>
              <w:bottom w:type="dxa" w:w="80"/>
              <w:right w:type="dxa" w:w="100"/>
            </w:tcMar>
            <w:vAlign w:val="center"/>
          </w:tcPr>
          <w:p>
            <w:r>
              <w:rPr>
                <w:b w:val="false"/>
                <w:bCs w:val="false"/>
              </w:rPr>
              <w:t xml:space="preserve">1</w:t>
            </w:r>
          </w:p>
        </w:tc>
        <w:tc>
          <w:tcPr>
            <w:tcW w:type="dxa" w:w="4650"/>
            <w:tcMar>
              <w:top w:type="dxa" w:w="80"/>
              <w:left w:type="dxa" w:w="100"/>
              <w:bottom w:type="dxa" w:w="80"/>
              <w:right w:type="dxa" w:w="100"/>
            </w:tcMar>
            <w:vAlign w:val="center"/>
          </w:tcPr>
          <w:p>
            <w:r>
              <w:rPr>
                <w:b w:val="false"/>
                <w:bCs w:val="false"/>
              </w:rPr>
              <w:t xml:space="preserve">Aller sur Ventes &amp; Exports, cliquer "Nouvelle Vente". Client "Client Demo", destination "Comores", statut "Prepare", selectionner le lot Standard et saisir 10 kg. Valider.</w:t>
            </w:r>
          </w:p>
        </w:tc>
        <w:tc>
          <w:tcPr>
            <w:tcW w:type="dxa" w:w="4000"/>
            <w:tcMar>
              <w:top w:type="dxa" w:w="80"/>
              <w:left w:type="dxa" w:w="100"/>
              <w:bottom w:type="dxa" w:w="80"/>
              <w:right w:type="dxa" w:w="100"/>
            </w:tcMar>
            <w:vAlign w:val="center"/>
          </w:tcPr>
          <w:p>
            <w:r>
              <w:rPr>
                <w:b w:val="false"/>
                <w:bCs w:val="false"/>
              </w:rPr>
              <w:t xml:space="preserve">Facture VTE-2026-00X generee automatiquement (aucune saisie manuelle du numero). Le stock Standard diminue de 10 kg et un mouvement de sortie "Vente VTE-2026-00X" apparait dans l'historique Stock.</w:t>
            </w:r>
          </w:p>
        </w:tc>
      </w:tr>
      <w:tr>
        <w:tc>
          <w:tcPr>
            <w:tcW w:type="dxa" w:w="700"/>
            <w:tcMar>
              <w:top w:type="dxa" w:w="80"/>
              <w:left w:type="dxa" w:w="100"/>
              <w:bottom w:type="dxa" w:w="80"/>
              <w:right w:type="dxa" w:w="100"/>
            </w:tcMar>
            <w:vAlign w:val="center"/>
          </w:tcPr>
          <w:p>
            <w:r>
              <w:rPr>
                <w:b w:val="false"/>
                <w:bCs w:val="false"/>
              </w:rPr>
              <w:t xml:space="preserve">2</w:t>
            </w:r>
          </w:p>
        </w:tc>
        <w:tc>
          <w:tcPr>
            <w:tcW w:type="dxa" w:w="4650"/>
            <w:tcMar>
              <w:top w:type="dxa" w:w="80"/>
              <w:left w:type="dxa" w:w="100"/>
              <w:bottom w:type="dxa" w:w="80"/>
              <w:right w:type="dxa" w:w="100"/>
            </w:tcMar>
            <w:vAlign w:val="center"/>
          </w:tcPr>
          <w:p>
            <w:r>
              <w:rPr>
                <w:b w:val="false"/>
                <w:bCs w:val="false"/>
              </w:rPr>
              <w:t xml:space="preserve">Cliquer sur "Tracabilite" pour cette vente.</w:t>
            </w:r>
          </w:p>
        </w:tc>
        <w:tc>
          <w:tcPr>
            <w:tcW w:type="dxa" w:w="4000"/>
            <w:tcMar>
              <w:top w:type="dxa" w:w="80"/>
              <w:left w:type="dxa" w:w="100"/>
              <w:bottom w:type="dxa" w:w="80"/>
              <w:right w:type="dxa" w:w="100"/>
            </w:tcMar>
            <w:vAlign w:val="center"/>
          </w:tcPr>
          <w:p>
            <w:r>
              <w:rPr>
                <w:b w:val="false"/>
                <w:bCs w:val="false"/>
              </w:rPr>
              <w:t xml:space="preserve">La chaine complete producteur -&gt; parcelle -&gt; recolte -&gt; collecte -&gt; lot vert -&gt; transformation est affichee pour chaque lot vendu.</w:t>
            </w:r>
          </w:p>
        </w:tc>
      </w:tr>
    </w:tbl>
    <w:p>
      <w:pPr>
        <w:pStyle w:val="Heading2"/>
        <w:spacing w:after="120" w:before="240"/>
      </w:pPr>
      <w:r>
        <w:t xml:space="preserve">Etape K - Documents et exports (module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000"/>
      </w:tblGrid>
      <w:tr>
        <w:trPr>
          <w:tblHeader/>
        </w:trPr>
        <w:tc>
          <w:tcPr>
            <w:tcW w:type="dxa" w:w="700"/>
            <w:shd w:fill="1F4E3D" w:val="clear"/>
            <w:tcMar>
              <w:top w:type="dxa" w:w="80"/>
              <w:left w:type="dxa" w:w="100"/>
              <w:bottom w:type="dxa" w:w="80"/>
              <w:right w:type="dxa" w:w="100"/>
            </w:tcMar>
            <w:vAlign w:val="center"/>
          </w:tcPr>
          <w:p>
            <w:r>
              <w:rPr>
                <w:b/>
                <w:bCs/>
                <w:color w:val="FFFFFF"/>
              </w:rPr>
              <w:t xml:space="preserve">#</w:t>
            </w:r>
          </w:p>
        </w:tc>
        <w:tc>
          <w:tcPr>
            <w:tcW w:type="dxa" w:w="4650"/>
            <w:shd w:fill="1F4E3D" w:val="clear"/>
            <w:tcMar>
              <w:top w:type="dxa" w:w="80"/>
              <w:left w:type="dxa" w:w="100"/>
              <w:bottom w:type="dxa" w:w="80"/>
              <w:right w:type="dxa" w:w="100"/>
            </w:tcMar>
            <w:vAlign w:val="center"/>
          </w:tcPr>
          <w:p>
            <w:r>
              <w:rPr>
                <w:b/>
                <w:bCs/>
                <w:color w:val="FFFFFF"/>
              </w:rPr>
              <w:t xml:space="preserve">Action dans l'interface</w:t>
            </w:r>
          </w:p>
        </w:tc>
        <w:tc>
          <w:tcPr>
            <w:tcW w:type="dxa" w:w="4000"/>
            <w:shd w:fill="1F4E3D" w:val="clear"/>
            <w:tcMar>
              <w:top w:type="dxa" w:w="80"/>
              <w:left w:type="dxa" w:w="100"/>
              <w:bottom w:type="dxa" w:w="80"/>
              <w:right w:type="dxa" w:w="100"/>
            </w:tcMar>
            <w:vAlign w:val="center"/>
          </w:tcPr>
          <w:p>
            <w:r>
              <w:rPr>
                <w:b/>
                <w:bCs/>
                <w:color w:val="FFFFFF"/>
              </w:rPr>
              <w:t xml:space="preserve">Resultat attendu</w:t>
            </w:r>
          </w:p>
        </w:tc>
      </w:tr>
      <w:tr>
        <w:tc>
          <w:tcPr>
            <w:tcW w:type="dxa" w:w="700"/>
            <w:tcMar>
              <w:top w:type="dxa" w:w="80"/>
              <w:left w:type="dxa" w:w="100"/>
              <w:bottom w:type="dxa" w:w="80"/>
              <w:right w:type="dxa" w:w="100"/>
            </w:tcMar>
            <w:vAlign w:val="center"/>
          </w:tcPr>
          <w:p>
            <w:r>
              <w:rPr>
                <w:b w:val="false"/>
                <w:bCs w:val="false"/>
              </w:rPr>
              <w:t xml:space="preserve">1</w:t>
            </w:r>
          </w:p>
        </w:tc>
        <w:tc>
          <w:tcPr>
            <w:tcW w:type="dxa" w:w="4650"/>
            <w:tcMar>
              <w:top w:type="dxa" w:w="80"/>
              <w:left w:type="dxa" w:w="100"/>
              <w:bottom w:type="dxa" w:w="80"/>
              <w:right w:type="dxa" w:w="100"/>
            </w:tcMar>
            <w:vAlign w:val="center"/>
          </w:tcPr>
          <w:p>
            <w:r>
              <w:rPr>
                <w:b w:val="false"/>
                <w:bCs w:val="false"/>
              </w:rPr>
              <w:t xml:space="preserve">Sur la page Collectes, cliquer "PDF" pour n'importe quelle collecte.</w:t>
            </w:r>
          </w:p>
        </w:tc>
        <w:tc>
          <w:tcPr>
            <w:tcW w:type="dxa" w:w="4000"/>
            <w:tcMar>
              <w:top w:type="dxa" w:w="80"/>
              <w:left w:type="dxa" w:w="100"/>
              <w:bottom w:type="dxa" w:w="80"/>
              <w:right w:type="dxa" w:w="100"/>
            </w:tcMar>
            <w:vAlign w:val="center"/>
          </w:tcPr>
          <w:p>
            <w:r>
              <w:rPr>
                <w:b w:val="false"/>
                <w:bCs w:val="false"/>
              </w:rPr>
              <w:t xml:space="preserve">Le bordereau de collecte se telecharge (producteur, parcelle, poids brut/net, collecteur, statut).</w:t>
            </w:r>
          </w:p>
        </w:tc>
      </w:tr>
      <w:tr>
        <w:tc>
          <w:tcPr>
            <w:tcW w:type="dxa" w:w="700"/>
            <w:tcMar>
              <w:top w:type="dxa" w:w="80"/>
              <w:left w:type="dxa" w:w="100"/>
              <w:bottom w:type="dxa" w:w="80"/>
              <w:right w:type="dxa" w:w="100"/>
            </w:tcMar>
            <w:vAlign w:val="center"/>
          </w:tcPr>
          <w:p>
            <w:r>
              <w:rPr>
                <w:b w:val="false"/>
                <w:bCs w:val="false"/>
              </w:rPr>
              <w:t xml:space="preserve">2</w:t>
            </w:r>
          </w:p>
        </w:tc>
        <w:tc>
          <w:tcPr>
            <w:tcW w:type="dxa" w:w="4650"/>
            <w:tcMar>
              <w:top w:type="dxa" w:w="80"/>
              <w:left w:type="dxa" w:w="100"/>
              <w:bottom w:type="dxa" w:w="80"/>
              <w:right w:type="dxa" w:w="100"/>
            </w:tcMar>
            <w:vAlign w:val="center"/>
          </w:tcPr>
          <w:p>
            <w:r>
              <w:rPr>
                <w:b w:val="false"/>
                <w:bCs w:val="false"/>
              </w:rPr>
              <w:t xml:space="preserve">Sur Lots verts et Transformations, cliquer "PDF" sur une ligne.</w:t>
            </w:r>
          </w:p>
        </w:tc>
        <w:tc>
          <w:tcPr>
            <w:tcW w:type="dxa" w:w="4000"/>
            <w:tcMar>
              <w:top w:type="dxa" w:w="80"/>
              <w:left w:type="dxa" w:w="100"/>
              <w:bottom w:type="dxa" w:w="80"/>
              <w:right w:type="dxa" w:w="100"/>
            </w:tcMar>
            <w:vAlign w:val="center"/>
          </w:tcPr>
          <w:p>
            <w:r>
              <w:rPr>
                <w:b w:val="false"/>
                <w:bCs w:val="false"/>
              </w:rPr>
              <w:t xml:space="preserve">La fiche du lot vert et le rapport de transformation (bilan entrant/sortant/pertes/rendement) se telechargent.</w:t>
            </w:r>
          </w:p>
        </w:tc>
      </w:tr>
      <w:tr>
        <w:tc>
          <w:tcPr>
            <w:tcW w:type="dxa" w:w="700"/>
            <w:tcMar>
              <w:top w:type="dxa" w:w="80"/>
              <w:left w:type="dxa" w:w="100"/>
              <w:bottom w:type="dxa" w:w="80"/>
              <w:right w:type="dxa" w:w="100"/>
            </w:tcMar>
            <w:vAlign w:val="center"/>
          </w:tcPr>
          <w:p>
            <w:r>
              <w:rPr>
                <w:b w:val="false"/>
                <w:bCs w:val="false"/>
              </w:rPr>
              <w:t xml:space="preserve">3</w:t>
            </w:r>
          </w:p>
        </w:tc>
        <w:tc>
          <w:tcPr>
            <w:tcW w:type="dxa" w:w="4650"/>
            <w:tcMar>
              <w:top w:type="dxa" w:w="80"/>
              <w:left w:type="dxa" w:w="100"/>
              <w:bottom w:type="dxa" w:w="80"/>
              <w:right w:type="dxa" w:w="100"/>
            </w:tcMar>
            <w:vAlign w:val="center"/>
          </w:tcPr>
          <w:p>
            <w:r>
              <w:rPr>
                <w:b w:val="false"/>
                <w:bCs w:val="false"/>
              </w:rPr>
              <w:t xml:space="preserve">Sur Bilan matiere (voir etape N), cliquer sur un des boutons d'export CSV (producers, transformations, sales, stock).</w:t>
            </w:r>
          </w:p>
        </w:tc>
        <w:tc>
          <w:tcPr>
            <w:tcW w:type="dxa" w:w="4000"/>
            <w:tcMar>
              <w:top w:type="dxa" w:w="80"/>
              <w:left w:type="dxa" w:w="100"/>
              <w:bottom w:type="dxa" w:w="80"/>
              <w:right w:type="dxa" w:w="100"/>
            </w:tcMar>
            <w:vAlign w:val="center"/>
          </w:tcPr>
          <w:p>
            <w:r>
              <w:rPr>
                <w:b w:val="false"/>
                <w:bCs w:val="false"/>
              </w:rPr>
              <w:t xml:space="preserve">Le fichier CSV correspondant se telecharge directement.</w:t>
            </w:r>
          </w:p>
        </w:tc>
      </w:tr>
    </w:tbl>
    <w:p>
      <w:pPr>
        <w:pStyle w:val="Heading1"/>
        <w:spacing w:after="150" w:before="300"/>
      </w:pPr>
      <w:r>
        <w:t xml:space="preserve">5. Scenario de demonstration - V2 (Inspections, Non-conformites, Bilan matiere)</w:t>
      </w:r>
    </w:p>
    <w:p>
      <w:pPr>
        <w:pStyle w:val="Heading2"/>
        <w:spacing w:after="120" w:before="240"/>
      </w:pPr>
      <w:r>
        <w:t xml:space="preserve">Etape L - Module 12 : Inspections internes (suspension automatique de parcelle)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000"/>
      </w:tblGrid>
      <w:tr>
        <w:trPr>
          <w:tblHeader/>
        </w:trPr>
        <w:tc>
          <w:tcPr>
            <w:tcW w:type="dxa" w:w="700"/>
            <w:shd w:fill="1F4E3D" w:val="clear"/>
            <w:tcMar>
              <w:top w:type="dxa" w:w="80"/>
              <w:left w:type="dxa" w:w="100"/>
              <w:bottom w:type="dxa" w:w="80"/>
              <w:right w:type="dxa" w:w="100"/>
            </w:tcMar>
            <w:vAlign w:val="center"/>
          </w:tcPr>
          <w:p>
            <w:r>
              <w:rPr>
                <w:b/>
                <w:bCs/>
                <w:color w:val="FFFFFF"/>
              </w:rPr>
              <w:t xml:space="preserve">#</w:t>
            </w:r>
          </w:p>
        </w:tc>
        <w:tc>
          <w:tcPr>
            <w:tcW w:type="dxa" w:w="4650"/>
            <w:shd w:fill="1F4E3D" w:val="clear"/>
            <w:tcMar>
              <w:top w:type="dxa" w:w="80"/>
              <w:left w:type="dxa" w:w="100"/>
              <w:bottom w:type="dxa" w:w="80"/>
              <w:right w:type="dxa" w:w="100"/>
            </w:tcMar>
            <w:vAlign w:val="center"/>
          </w:tcPr>
          <w:p>
            <w:r>
              <w:rPr>
                <w:b/>
                <w:bCs/>
                <w:color w:val="FFFFFF"/>
              </w:rPr>
              <w:t xml:space="preserve">Action dans l'interface</w:t>
            </w:r>
          </w:p>
        </w:tc>
        <w:tc>
          <w:tcPr>
            <w:tcW w:type="dxa" w:w="4000"/>
            <w:shd w:fill="1F4E3D" w:val="clear"/>
            <w:tcMar>
              <w:top w:type="dxa" w:w="80"/>
              <w:left w:type="dxa" w:w="100"/>
              <w:bottom w:type="dxa" w:w="80"/>
              <w:right w:type="dxa" w:w="100"/>
            </w:tcMar>
            <w:vAlign w:val="center"/>
          </w:tcPr>
          <w:p>
            <w:r>
              <w:rPr>
                <w:b/>
                <w:bCs/>
                <w:color w:val="FFFFFF"/>
              </w:rPr>
              <w:t xml:space="preserve">Resultat attendu</w:t>
            </w:r>
          </w:p>
        </w:tc>
      </w:tr>
      <w:tr>
        <w:tc>
          <w:tcPr>
            <w:tcW w:type="dxa" w:w="700"/>
            <w:tcMar>
              <w:top w:type="dxa" w:w="80"/>
              <w:left w:type="dxa" w:w="100"/>
              <w:bottom w:type="dxa" w:w="80"/>
              <w:right w:type="dxa" w:w="100"/>
            </w:tcMar>
            <w:vAlign w:val="center"/>
          </w:tcPr>
          <w:p>
            <w:r>
              <w:rPr>
                <w:b w:val="false"/>
                <w:bCs w:val="false"/>
              </w:rPr>
              <w:t xml:space="preserve">1</w:t>
            </w:r>
          </w:p>
        </w:tc>
        <w:tc>
          <w:tcPr>
            <w:tcW w:type="dxa" w:w="4650"/>
            <w:tcMar>
              <w:top w:type="dxa" w:w="80"/>
              <w:left w:type="dxa" w:w="100"/>
              <w:bottom w:type="dxa" w:w="80"/>
              <w:right w:type="dxa" w:w="100"/>
            </w:tcMar>
            <w:vAlign w:val="center"/>
          </w:tcPr>
          <w:p>
            <w:r>
              <w:rPr>
                <w:b w:val="false"/>
                <w:bCs w:val="false"/>
              </w:rPr>
              <w:t xml:space="preserve">Ouvrir Inspections. Observer les 2 inspections deja presentes : INSP-2026-001 (Conforme) et INSP-2026-002 (Non conforme, sur la parcelle Mvouni Sud).</w:t>
            </w:r>
          </w:p>
        </w:tc>
        <w:tc>
          <w:tcPr>
            <w:tcW w:type="dxa" w:w="4000"/>
            <w:tcMar>
              <w:top w:type="dxa" w:w="80"/>
              <w:left w:type="dxa" w:w="100"/>
              <w:bottom w:type="dxa" w:w="80"/>
              <w:right w:type="dxa" w:w="100"/>
            </w:tcMar>
            <w:vAlign w:val="center"/>
          </w:tcPr>
          <w:p>
            <w:r>
              <w:rPr>
                <w:b w:val="false"/>
                <w:bCs w:val="false"/>
              </w:rPr>
              <w:t xml:space="preserve">La parcelle Mvouni Sud (PAR-2026-002) est deja au statut Suspendue - consequence automatique de l'inspection Non conforme, visible sur la page Parcelles.</w:t>
            </w:r>
          </w:p>
        </w:tc>
      </w:tr>
      <w:tr>
        <w:tc>
          <w:tcPr>
            <w:tcW w:type="dxa" w:w="700"/>
            <w:tcMar>
              <w:top w:type="dxa" w:w="80"/>
              <w:left w:type="dxa" w:w="100"/>
              <w:bottom w:type="dxa" w:w="80"/>
              <w:right w:type="dxa" w:w="100"/>
            </w:tcMar>
            <w:vAlign w:val="center"/>
          </w:tcPr>
          <w:p>
            <w:r>
              <w:rPr>
                <w:b w:val="false"/>
                <w:bCs w:val="false"/>
              </w:rPr>
              <w:t xml:space="preserve">2</w:t>
            </w:r>
          </w:p>
        </w:tc>
        <w:tc>
          <w:tcPr>
            <w:tcW w:type="dxa" w:w="4650"/>
            <w:tcMar>
              <w:top w:type="dxa" w:w="80"/>
              <w:left w:type="dxa" w:w="100"/>
              <w:bottom w:type="dxa" w:w="80"/>
              <w:right w:type="dxa" w:w="100"/>
            </w:tcMar>
            <w:vAlign w:val="center"/>
          </w:tcPr>
          <w:p>
            <w:r>
              <w:rPr>
                <w:b w:val="false"/>
                <w:bCs w:val="false"/>
              </w:rPr>
              <w:t xml:space="preserve">Cliquer "Nouvelle Inspection". Choisir la parcelle Bimbini Sud (Halima Said), decocher "Absence de produits chimiques", resultat "Non conforme". Valider.</w:t>
            </w:r>
          </w:p>
        </w:tc>
        <w:tc>
          <w:tcPr>
            <w:tcW w:type="dxa" w:w="4000"/>
            <w:tcMar>
              <w:top w:type="dxa" w:w="80"/>
              <w:left w:type="dxa" w:w="100"/>
              <w:bottom w:type="dxa" w:w="80"/>
              <w:right w:type="dxa" w:w="100"/>
            </w:tcMar>
            <w:vAlign w:val="center"/>
          </w:tcPr>
          <w:p>
            <w:r>
              <w:rPr>
                <w:b w:val="false"/>
                <w:bCs w:val="false"/>
              </w:rPr>
              <w:t xml:space="preserve">Inspection INSP-2026-00X creee. En retournant sur Parcelles, PAR-2026-003 (Bimbini Sud) est desormais automatiquement passee au statut Suspendue - aucune action manuelle requise.</w:t>
            </w:r>
          </w:p>
        </w:tc>
      </w:tr>
      <w:tr>
        <w:tc>
          <w:tcPr>
            <w:tcW w:type="dxa" w:w="700"/>
            <w:tcMar>
              <w:top w:type="dxa" w:w="80"/>
              <w:left w:type="dxa" w:w="100"/>
              <w:bottom w:type="dxa" w:w="80"/>
              <w:right w:type="dxa" w:w="100"/>
            </w:tcMar>
            <w:vAlign w:val="center"/>
          </w:tcPr>
          <w:p>
            <w:r>
              <w:rPr>
                <w:b w:val="false"/>
                <w:bCs w:val="false"/>
              </w:rPr>
              <w:t xml:space="preserve">3</w:t>
            </w:r>
          </w:p>
        </w:tc>
        <w:tc>
          <w:tcPr>
            <w:tcW w:type="dxa" w:w="4650"/>
            <w:tcMar>
              <w:top w:type="dxa" w:w="80"/>
              <w:left w:type="dxa" w:w="100"/>
              <w:bottom w:type="dxa" w:w="80"/>
              <w:right w:type="dxa" w:w="100"/>
            </w:tcMar>
            <w:vAlign w:val="center"/>
          </w:tcPr>
          <w:p>
            <w:r>
              <w:rPr>
                <w:b w:val="false"/>
                <w:bCs w:val="false"/>
              </w:rPr>
              <w:t xml:space="preserve">Cliquer "PDF" sur une inspection.</w:t>
            </w:r>
          </w:p>
        </w:tc>
        <w:tc>
          <w:tcPr>
            <w:tcW w:type="dxa" w:w="4000"/>
            <w:tcMar>
              <w:top w:type="dxa" w:w="80"/>
              <w:left w:type="dxa" w:w="100"/>
              <w:bottom w:type="dxa" w:w="80"/>
              <w:right w:type="dxa" w:w="100"/>
            </w:tcMar>
            <w:vAlign w:val="center"/>
          </w:tcPr>
          <w:p>
            <w:r>
              <w:rPr>
                <w:b w:val="false"/>
                <w:bCs w:val="false"/>
              </w:rPr>
              <w:t xml:space="preserve">Le rapport d'inspection (checklist, resultat, signatures) se telecharge.</w:t>
            </w:r>
          </w:p>
        </w:tc>
      </w:tr>
    </w:tbl>
    <w:p>
      <w:pPr>
        <w:pStyle w:val="Heading2"/>
        <w:spacing w:after="120" w:before="240"/>
      </w:pPr>
      <w:r>
        <w:t xml:space="preserve">Etape M - Module 13 : Non-conformites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000"/>
      </w:tblGrid>
      <w:tr>
        <w:trPr>
          <w:tblHeader/>
        </w:trPr>
        <w:tc>
          <w:tcPr>
            <w:tcW w:type="dxa" w:w="700"/>
            <w:shd w:fill="1F4E3D" w:val="clear"/>
            <w:tcMar>
              <w:top w:type="dxa" w:w="80"/>
              <w:left w:type="dxa" w:w="100"/>
              <w:bottom w:type="dxa" w:w="80"/>
              <w:right w:type="dxa" w:w="100"/>
            </w:tcMar>
            <w:vAlign w:val="center"/>
          </w:tcPr>
          <w:p>
            <w:r>
              <w:rPr>
                <w:b/>
                <w:bCs/>
                <w:color w:val="FFFFFF"/>
              </w:rPr>
              <w:t xml:space="preserve">#</w:t>
            </w:r>
          </w:p>
        </w:tc>
        <w:tc>
          <w:tcPr>
            <w:tcW w:type="dxa" w:w="4650"/>
            <w:shd w:fill="1F4E3D" w:val="clear"/>
            <w:tcMar>
              <w:top w:type="dxa" w:w="80"/>
              <w:left w:type="dxa" w:w="100"/>
              <w:bottom w:type="dxa" w:w="80"/>
              <w:right w:type="dxa" w:w="100"/>
            </w:tcMar>
            <w:vAlign w:val="center"/>
          </w:tcPr>
          <w:p>
            <w:r>
              <w:rPr>
                <w:b/>
                <w:bCs/>
                <w:color w:val="FFFFFF"/>
              </w:rPr>
              <w:t xml:space="preserve">Action dans l'interface</w:t>
            </w:r>
          </w:p>
        </w:tc>
        <w:tc>
          <w:tcPr>
            <w:tcW w:type="dxa" w:w="4000"/>
            <w:shd w:fill="1F4E3D" w:val="clear"/>
            <w:tcMar>
              <w:top w:type="dxa" w:w="80"/>
              <w:left w:type="dxa" w:w="100"/>
              <w:bottom w:type="dxa" w:w="80"/>
              <w:right w:type="dxa" w:w="100"/>
            </w:tcMar>
            <w:vAlign w:val="center"/>
          </w:tcPr>
          <w:p>
            <w:r>
              <w:rPr>
                <w:b/>
                <w:bCs/>
                <w:color w:val="FFFFFF"/>
              </w:rPr>
              <w:t xml:space="preserve">Resultat attendu</w:t>
            </w:r>
          </w:p>
        </w:tc>
      </w:tr>
      <w:tr>
        <w:tc>
          <w:tcPr>
            <w:tcW w:type="dxa" w:w="700"/>
            <w:tcMar>
              <w:top w:type="dxa" w:w="80"/>
              <w:left w:type="dxa" w:w="100"/>
              <w:bottom w:type="dxa" w:w="80"/>
              <w:right w:type="dxa" w:w="100"/>
            </w:tcMar>
            <w:vAlign w:val="center"/>
          </w:tcPr>
          <w:p>
            <w:r>
              <w:rPr>
                <w:b w:val="false"/>
                <w:bCs w:val="false"/>
              </w:rPr>
              <w:t xml:space="preserve">1</w:t>
            </w:r>
          </w:p>
        </w:tc>
        <w:tc>
          <w:tcPr>
            <w:tcW w:type="dxa" w:w="4650"/>
            <w:tcMar>
              <w:top w:type="dxa" w:w="80"/>
              <w:left w:type="dxa" w:w="100"/>
              <w:bottom w:type="dxa" w:w="80"/>
              <w:right w:type="dxa" w:w="100"/>
            </w:tcMar>
            <w:vAlign w:val="center"/>
          </w:tcPr>
          <w:p>
            <w:r>
              <w:rPr>
                <w:b w:val="false"/>
                <w:bCs w:val="false"/>
              </w:rPr>
              <w:t xml:space="preserve">Ouvrir Non-conformites. Observer NC-2026-001 (Majeure, ouverte, liee a INSP-2026-002).</w:t>
            </w:r>
          </w:p>
        </w:tc>
        <w:tc>
          <w:tcPr>
            <w:tcW w:type="dxa" w:w="4000"/>
            <w:tcMar>
              <w:top w:type="dxa" w:w="80"/>
              <w:left w:type="dxa" w:w="100"/>
              <w:bottom w:type="dxa" w:w="80"/>
              <w:right w:type="dxa" w:w="100"/>
            </w:tcMar>
            <w:vAlign w:val="center"/>
          </w:tcPr>
          <w:p>
            <w:r>
              <w:rPr>
                <w:b w:val="false"/>
                <w:bCs w:val="false"/>
              </w:rPr>
              <w:t xml:space="preserve">Description, action corrective, responsable et echeance (15 aout 2026) sont affiches.</w:t>
            </w:r>
          </w:p>
        </w:tc>
      </w:tr>
      <w:tr>
        <w:tc>
          <w:tcPr>
            <w:tcW w:type="dxa" w:w="700"/>
            <w:tcMar>
              <w:top w:type="dxa" w:w="80"/>
              <w:left w:type="dxa" w:w="100"/>
              <w:bottom w:type="dxa" w:w="80"/>
              <w:right w:type="dxa" w:w="100"/>
            </w:tcMar>
            <w:vAlign w:val="center"/>
          </w:tcPr>
          <w:p>
            <w:r>
              <w:rPr>
                <w:b w:val="false"/>
                <w:bCs w:val="false"/>
              </w:rPr>
              <w:t xml:space="preserve">2</w:t>
            </w:r>
          </w:p>
        </w:tc>
        <w:tc>
          <w:tcPr>
            <w:tcW w:type="dxa" w:w="4650"/>
            <w:tcMar>
              <w:top w:type="dxa" w:w="80"/>
              <w:left w:type="dxa" w:w="100"/>
              <w:bottom w:type="dxa" w:w="80"/>
              <w:right w:type="dxa" w:w="100"/>
            </w:tcMar>
            <w:vAlign w:val="center"/>
          </w:tcPr>
          <w:p>
            <w:r>
              <w:rPr>
                <w:b w:val="false"/>
                <w:bCs w:val="false"/>
              </w:rPr>
              <w:t xml:space="preserve">Cliquer "Nouvelle non-conformite". La lier a l'inspection creee a l'etape L, type "Mineure", decrire l'ecart, assigner un responsable et une date limite. Valider.</w:t>
            </w:r>
          </w:p>
        </w:tc>
        <w:tc>
          <w:tcPr>
            <w:tcW w:type="dxa" w:w="4000"/>
            <w:tcMar>
              <w:top w:type="dxa" w:w="80"/>
              <w:left w:type="dxa" w:w="100"/>
              <w:bottom w:type="dxa" w:w="80"/>
              <w:right w:type="dxa" w:w="100"/>
            </w:tcMar>
            <w:vAlign w:val="center"/>
          </w:tcPr>
          <w:p>
            <w:r>
              <w:rPr>
                <w:b w:val="false"/>
                <w:bCs w:val="false"/>
              </w:rPr>
              <w:t xml:space="preserve">Non-conformite NC-2026-00X creee et listee, statut Ouverte par defaut.</w:t>
            </w:r>
          </w:p>
        </w:tc>
      </w:tr>
    </w:tbl>
    <w:p>
      <w:pPr>
        <w:pStyle w:val="Heading2"/>
        <w:spacing w:after="120" w:before="240"/>
      </w:pPr>
      <w:r>
        <w:t xml:space="preserve">Etape N - Bilan matiere et tableau de bord avance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000"/>
      </w:tblGrid>
      <w:tr>
        <w:trPr>
          <w:tblHeader/>
        </w:trPr>
        <w:tc>
          <w:tcPr>
            <w:tcW w:type="dxa" w:w="700"/>
            <w:shd w:fill="1F4E3D" w:val="clear"/>
            <w:tcMar>
              <w:top w:type="dxa" w:w="80"/>
              <w:left w:type="dxa" w:w="100"/>
              <w:bottom w:type="dxa" w:w="80"/>
              <w:right w:type="dxa" w:w="100"/>
            </w:tcMar>
            <w:vAlign w:val="center"/>
          </w:tcPr>
          <w:p>
            <w:r>
              <w:rPr>
                <w:b/>
                <w:bCs/>
                <w:color w:val="FFFFFF"/>
              </w:rPr>
              <w:t xml:space="preserve">#</w:t>
            </w:r>
          </w:p>
        </w:tc>
        <w:tc>
          <w:tcPr>
            <w:tcW w:type="dxa" w:w="4650"/>
            <w:shd w:fill="1F4E3D" w:val="clear"/>
            <w:tcMar>
              <w:top w:type="dxa" w:w="80"/>
              <w:left w:type="dxa" w:w="100"/>
              <w:bottom w:type="dxa" w:w="80"/>
              <w:right w:type="dxa" w:w="100"/>
            </w:tcMar>
            <w:vAlign w:val="center"/>
          </w:tcPr>
          <w:p>
            <w:r>
              <w:rPr>
                <w:b/>
                <w:bCs/>
                <w:color w:val="FFFFFF"/>
              </w:rPr>
              <w:t xml:space="preserve">Action dans l'interface</w:t>
            </w:r>
          </w:p>
        </w:tc>
        <w:tc>
          <w:tcPr>
            <w:tcW w:type="dxa" w:w="4000"/>
            <w:shd w:fill="1F4E3D" w:val="clear"/>
            <w:tcMar>
              <w:top w:type="dxa" w:w="80"/>
              <w:left w:type="dxa" w:w="100"/>
              <w:bottom w:type="dxa" w:w="80"/>
              <w:right w:type="dxa" w:w="100"/>
            </w:tcMar>
            <w:vAlign w:val="center"/>
          </w:tcPr>
          <w:p>
            <w:r>
              <w:rPr>
                <w:b/>
                <w:bCs/>
                <w:color w:val="FFFFFF"/>
              </w:rPr>
              <w:t xml:space="preserve">Resultat attendu</w:t>
            </w:r>
          </w:p>
        </w:tc>
      </w:tr>
      <w:tr>
        <w:tc>
          <w:tcPr>
            <w:tcW w:type="dxa" w:w="700"/>
            <w:tcMar>
              <w:top w:type="dxa" w:w="80"/>
              <w:left w:type="dxa" w:w="100"/>
              <w:bottom w:type="dxa" w:w="80"/>
              <w:right w:type="dxa" w:w="100"/>
            </w:tcMar>
            <w:vAlign w:val="center"/>
          </w:tcPr>
          <w:p>
            <w:r>
              <w:rPr>
                <w:b w:val="false"/>
                <w:bCs w:val="false"/>
              </w:rPr>
              <w:t xml:space="preserve">1</w:t>
            </w:r>
          </w:p>
        </w:tc>
        <w:tc>
          <w:tcPr>
            <w:tcW w:type="dxa" w:w="4650"/>
            <w:tcMar>
              <w:top w:type="dxa" w:w="80"/>
              <w:left w:type="dxa" w:w="100"/>
              <w:bottom w:type="dxa" w:w="80"/>
              <w:right w:type="dxa" w:w="100"/>
            </w:tcMar>
            <w:vAlign w:val="center"/>
          </w:tcPr>
          <w:p>
            <w:r>
              <w:rPr>
                <w:b w:val="false"/>
                <w:bCs w:val="false"/>
              </w:rPr>
              <w:t xml:space="preserve">Ouvrir la page Bilan matiere (nouvelle entree de menu).</w:t>
            </w:r>
          </w:p>
        </w:tc>
        <w:tc>
          <w:tcPr>
            <w:tcW w:type="dxa" w:w="4000"/>
            <w:tcMar>
              <w:top w:type="dxa" w:w="80"/>
              <w:left w:type="dxa" w:w="100"/>
              <w:bottom w:type="dxa" w:w="80"/>
              <w:right w:type="dxa" w:w="100"/>
            </w:tcMar>
            <w:vAlign w:val="center"/>
          </w:tcPr>
          <w:p>
            <w:r>
              <w:rPr>
                <w:b w:val="false"/>
                <w:bCs w:val="false"/>
              </w:rPr>
              <w:t xml:space="preserve">Le systeme affiche la reconciliation complete : poids recolte, collecte, en lots verts (dont bloques), entrant/sortant/pertes de transformation, un "ecart theorique" (doit rester proche de 0), le stock actuel, le total vendu, et la repartition par qualite.</w:t>
            </w:r>
          </w:p>
        </w:tc>
      </w:tr>
      <w:tr>
        <w:tc>
          <w:tcPr>
            <w:tcW w:type="dxa" w:w="700"/>
            <w:tcMar>
              <w:top w:type="dxa" w:w="80"/>
              <w:left w:type="dxa" w:w="100"/>
              <w:bottom w:type="dxa" w:w="80"/>
              <w:right w:type="dxa" w:w="100"/>
            </w:tcMar>
            <w:vAlign w:val="center"/>
          </w:tcPr>
          <w:p>
            <w:r>
              <w:rPr>
                <w:b w:val="false"/>
                <w:bCs w:val="false"/>
              </w:rPr>
              <w:t xml:space="preserve">2</w:t>
            </w:r>
          </w:p>
        </w:tc>
        <w:tc>
          <w:tcPr>
            <w:tcW w:type="dxa" w:w="4650"/>
            <w:tcMar>
              <w:top w:type="dxa" w:w="80"/>
              <w:left w:type="dxa" w:w="100"/>
              <w:bottom w:type="dxa" w:w="80"/>
              <w:right w:type="dxa" w:w="100"/>
            </w:tcMar>
            <w:vAlign w:val="center"/>
          </w:tcPr>
          <w:p>
            <w:r>
              <w:rPr>
                <w:b w:val="false"/>
                <w:bCs w:val="false"/>
              </w:rPr>
              <w:t xml:space="preserve">Observer le classement "Top producteurs par volume recolte".</w:t>
            </w:r>
          </w:p>
        </w:tc>
        <w:tc>
          <w:tcPr>
            <w:tcW w:type="dxa" w:w="4000"/>
            <w:tcMar>
              <w:top w:type="dxa" w:w="80"/>
              <w:left w:type="dxa" w:w="100"/>
              <w:bottom w:type="dxa" w:w="80"/>
              <w:right w:type="dxa" w:w="100"/>
            </w:tcMar>
            <w:vAlign w:val="center"/>
          </w:tcPr>
          <w:p>
            <w:r>
              <w:rPr>
                <w:b w:val="false"/>
                <w:bCs w:val="false"/>
              </w:rPr>
              <w:t xml:space="preserve">Ahmed Msa apparait en tete avec le plus grand volume recolte cumule.</w:t>
            </w:r>
          </w:p>
        </w:tc>
      </w:tr>
    </w:tbl>
    <w:p>
      <w:pPr>
        <w:pStyle w:val="Heading1"/>
        <w:spacing w:after="150" w:before="300"/>
      </w:pPr>
      <w:r>
        <w:t xml:space="preserve">6. Ce qui fonctionne (recapitulatif pour le stakeholder)</w:t>
      </w:r>
    </w:p>
    <w:p>
      <w:pPr>
        <w:pStyle w:val="ListParagraph"/>
        <w:numPr>
          <w:ilvl w:val="0"/>
          <w:numId w:val="1"/>
        </w:numPr>
        <w:spacing w:after="80"/>
      </w:pPr>
      <w:r>
        <w:t xml:space="preserve">Perimetre V1 complet : Producteurs, Parcelles, Recoltes, Collectes, Lots verts, Transformation, Lots prepares, Stock (mouvements reels), Vente/Export, Tracabilite, et les 5 documents PDF obligatoires + exports CSV.</w:t>
      </w:r>
    </w:p>
    <w:p>
      <w:pPr>
        <w:pStyle w:val="ListParagraph"/>
        <w:numPr>
          <w:ilvl w:val="0"/>
          <w:numId w:val="1"/>
        </w:numPr>
        <w:spacing w:after="80"/>
      </w:pPr>
      <w:r>
        <w:t xml:space="preserve">Perimetre V2 : Inspections internes avec suspension automatique de parcelle en cas de non-conformite, Non-conformites liees aux inspections, tableau de bord avance avec bilan matiere (reconciliation des poids sur toute la chaine) et classement des producteurs.</w:t>
      </w:r>
    </w:p>
    <w:p>
      <w:pPr>
        <w:pStyle w:val="ListParagraph"/>
        <w:numPr>
          <w:ilvl w:val="0"/>
          <w:numId w:val="1"/>
        </w:numPr>
        <w:spacing w:after="80"/>
      </w:pPr>
      <w:r>
        <w:t xml:space="preserve">Codes automatiques generalises a tous les modules (PROD-, PAR-, REC-, COL-, LV-, TR-, PREP-, MVT-, VTE-, INSP-, NC-2026-00X).</w:t>
      </w:r>
    </w:p>
    <w:p>
      <w:pPr>
        <w:pStyle w:val="ListParagraph"/>
        <w:numPr>
          <w:ilvl w:val="0"/>
          <w:numId w:val="1"/>
        </w:numPr>
        <w:spacing w:after="80"/>
      </w:pPr>
      <w:r>
        <w:t xml:space="preserve">Regles metier automatiques : blocage Bio/Conventionnel sur les lots verts, suspension de parcelle sur inspection non conforme, controle de stock insuffisant, protection contre la reutilisation d'un lot deja transforme.</w:t>
      </w:r>
    </w:p>
    <w:p>
      <w:pPr>
        <w:pStyle w:val="ListParagraph"/>
        <w:numPr>
          <w:ilvl w:val="0"/>
          <w:numId w:val="1"/>
        </w:numPr>
        <w:spacing w:after="80"/>
      </w:pPr>
      <w:r>
        <w:t xml:space="preserve">Droits d'acces par role deja en place (ex. seuls Admin et Stock Manager peuvent enregistrer un mouvement de stock).</w:t>
      </w:r>
    </w:p>
    <w:p>
      <w:pPr>
        <w:pStyle w:val="ListParagraph"/>
        <w:numPr>
          <w:ilvl w:val="0"/>
          <w:numId w:val="1"/>
        </w:numPr>
        <w:spacing w:after="80"/>
      </w:pPr>
      <w:r>
        <w:t xml:space="preserve">Recherche/filtres deja disponibles sur Producteurs, Ventes et Non-conformites.</w:t>
      </w:r>
    </w:p>
    <w:p>
      <w:pPr>
        <w:pStyle w:val="Heading1"/>
        <w:spacing w:after="150" w:before="300"/>
      </w:pPr>
      <w:r>
        <w:t xml:space="preserve">7. Ce qui n'est PAS encore fait (perimetre restant)</w:t>
      </w:r>
    </w:p>
    <w:p>
      <w:pPr>
        <w:pStyle w:val="ListParagraph"/>
        <w:numPr>
          <w:ilvl w:val="0"/>
          <w:numId w:val="1"/>
        </w:numPr>
        <w:spacing w:after="80"/>
      </w:pPr>
      <w:r>
        <w:t xml:space="preserve">Consommation partielle d'un lot vert lors d'une transformation : un lot selectionne est toujours consomme en totalite.</w:t>
      </w:r>
    </w:p>
    <w:p>
      <w:pPr>
        <w:pStyle w:val="ListParagraph"/>
        <w:numPr>
          <w:ilvl w:val="0"/>
          <w:numId w:val="1"/>
        </w:numPr>
        <w:spacing w:after="80"/>
      </w:pPr>
      <w:r>
        <w:t xml:space="preserve">Recherche/filtres pas encore generalises a toutes les listes (Parcelles, Recoltes, Collectes, Lots verts, Transformations, Stock n'en ont pas encore).</w:t>
      </w:r>
    </w:p>
    <w:p>
      <w:pPr>
        <w:pStyle w:val="ListParagraph"/>
        <w:numPr>
          <w:ilvl w:val="0"/>
          <w:numId w:val="1"/>
        </w:numPr>
        <w:spacing w:after="80"/>
      </w:pPr>
      <w:r>
        <w:t xml:space="preserve">Notifications email non implementees (necessiteraient un serveur SMTP reel - aucune notification n'est envoyee ni simulee actuellement).</w:t>
      </w:r>
    </w:p>
    <w:p>
      <w:pPr>
        <w:pStyle w:val="ListParagraph"/>
        <w:numPr>
          <w:ilvl w:val="0"/>
          <w:numId w:val="1"/>
        </w:numPr>
        <w:spacing w:after="80"/>
      </w:pPr>
      <w:r>
        <w:t xml:space="preserve">Region/village restent des champs de texte libre (pas de liste hierarchique ile -&gt; region -&gt; village).</w:t>
      </w:r>
    </w:p>
    <w:p>
      <w:pPr>
        <w:pStyle w:val="ListParagraph"/>
        <w:numPr>
          <w:ilvl w:val="0"/>
          <w:numId w:val="1"/>
        </w:numPr>
        <w:spacing w:after="80"/>
      </w:pPr>
      <w:r>
        <w:t xml:space="preserve">Pas d'upload de photo producteur depuis l'interface (le champ existe cote serveur).</w:t>
      </w:r>
    </w:p>
    <w:p>
      <w:pPr>
        <w:pStyle w:val="ListParagraph"/>
        <w:numPr>
          <w:ilvl w:val="0"/>
          <w:numId w:val="1"/>
        </w:numPr>
        <w:spacing w:after="80"/>
      </w:pPr>
      <w:r>
        <w:t xml:space="preserve">V3 (mode hors ligne, application mobile native, QR codes, cartographie avancee, notifications SMS/WhatsApp) : non commence, differe sur decision explicite du stakeholder.</w:t>
      </w:r>
    </w:p>
    <w:p>
      <w:pPr>
        <w:pStyle w:val="ListParagraph"/>
        <w:numPr>
          <w:ilvl w:val="0"/>
          <w:numId w:val="1"/>
        </w:numPr>
        <w:spacing w:after="80"/>
      </w:pPr>
      <w:r>
        <w:t xml:space="preserve">Pas encore de test manuel complet dans un vrai navigateur avec plusieurs utilisateurs simultanes - a faire avant une mise en production.</w:t>
      </w:r>
    </w:p>
    <w:p>
      <w:pPr>
        <w:pStyle w:val="Heading1"/>
        <w:spacing w:after="150" w:before="300"/>
      </w:pPr>
      <w:r>
        <w:t xml:space="preserve">8. Apres la demo</w:t>
      </w:r>
    </w:p>
    <w:p>
      <w:pPr>
        <w:spacing w:after="120"/>
      </w:pPr>
      <w:r>
        <w:t xml:space="preserve">A l'issue de la presentation, il peut etre utile de recueillir la reaction du stakeholder sur : la priorite a donner (ou non) a la consommation partielle des lots verts, l'extension de la recherche/filtres aux listes restantes, et si le perimetre V3 (hors ligne, mobile, QR codes) doit etre planifie pour une prochaine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2026-07-28T16:30:26.682Z</dcterms:created>
  <dcterms:modified xsi:type="dcterms:W3CDTF">2026-07-28T16:30:26.682Z</dcterms:modified>
</cp:coreProperties>
</file>

<file path=docProps/custom.xml><?xml version="1.0" encoding="utf-8"?>
<Properties xmlns="http://schemas.openxmlformats.org/officeDocument/2006/custom-properties" xmlns:vt="http://schemas.openxmlformats.org/officeDocument/2006/docPropsVTypes"/>
</file>