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058400">
            <wp:simplePos x="0" y="0"/>
            <wp:positionH relativeFrom="page">
              <wp:align>center</wp:align>
            </wp:positionH>
            <wp:positionV relativeFrom="page">
              <wp:align>center</wp:align>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772400" cy="10058400"/>
                    </a:xfrm>
                    <a:prstGeom prst="rect">
                      <a:avLst/>
                    </a:prstGeom>
                  </pic:spPr>
                </pic:pic>
              </a:graphicData>
            </a:graphic>
          </wp:anchor>
        </w:drawing>
      </w:r>
    </w:p>
    <w:p>
      <w:pPr>
        <w:spacing w:before="2600"/>
      </w:pPr>
    </w:p>
    <w:p>
      <w:pPr>
        <w:spacing w:after="120"/>
        <w:jc w:val="center"/>
      </w:pPr>
      <w:r>
        <w:rPr>
          <w:b/>
          <w:bCs/>
          <w:color w:val="FFFFFF"/>
          <w:sz w:val="56"/>
          <w:szCs w:val="56"/>
        </w:rPr>
        <w:t xml:space="preserve">FİDYE YAZILIMI</w:t>
      </w:r>
    </w:p>
    <w:p>
      <w:pPr>
        <w:spacing w:after="200"/>
        <w:jc w:val="center"/>
      </w:pPr>
      <w:r>
        <w:rPr>
          <w:b/>
          <w:bCs/>
          <w:color w:val="FFFFFF"/>
          <w:sz w:val="56"/>
          <w:szCs w:val="56"/>
        </w:rPr>
        <w:t xml:space="preserve">(RANSOMWARE) TEHDİDİ</w:t>
      </w:r>
    </w:p>
    <w:p>
      <w:pPr>
        <w:spacing w:after="400"/>
        <w:jc w:val="center"/>
      </w:pPr>
      <w:r>
        <w:rPr>
          <w:i/>
          <w:iCs/>
          <w:color w:val="D9D9D9"/>
          <w:sz w:val="28"/>
          <w:szCs w:val="28"/>
        </w:rPr>
        <w:t xml:space="preserve">Türleri, Failleri ve Fidye Ödeme Kararı Üzerine Kapsamlı Rapor</w:t>
      </w:r>
    </w:p>
    <w:p>
      <w:pPr>
        <w:spacing w:after="2400"/>
        <w:jc w:val="center"/>
      </w:pPr>
      <w:r>
        <w:rPr>
          <w:b/>
          <w:bCs/>
          <w:color w:val="FFFFFF"/>
          <w:sz w:val="40"/>
          <w:szCs w:val="40"/>
        </w:rPr>
        <w:t xml:space="preserve">2026</w:t>
      </w:r>
    </w:p>
    <w:p>
      <w:pPr>
        <w:spacing w:after="40"/>
        <w:jc w:val="center"/>
      </w:pPr>
      <w:r>
        <w:rPr>
          <w:color w:val="D9D9D9"/>
          <w:sz w:val="22"/>
          <w:szCs w:val="22"/>
        </w:rPr>
        <w:t xml:space="preserve">Hazırlayan</w:t>
      </w:r>
    </w:p>
    <w:p>
      <w:pPr>
        <w:spacing w:after="40"/>
        <w:jc w:val="center"/>
      </w:pPr>
      <w:r>
        <w:rPr>
          <w:b/>
          <w:bCs/>
          <w:color w:val="FFFFFF"/>
          <w:sz w:val="30"/>
          <w:szCs w:val="30"/>
        </w:rPr>
        <w:t xml:space="preserve">Emircan Altuntaş</w:t>
      </w:r>
    </w:p>
    <w:p>
      <w:pPr>
        <w:spacing w:after="200"/>
        <w:jc w:val="center"/>
      </w:pPr>
      <w:hyperlink w:history="1" r:id="rIdz6wj2_-ct0qjtccodiemo">
        <w:r>
          <w:rPr>
            <w:color w:val="9DC3E6"/>
            <w:sz w:val="20"/>
            <w:szCs w:val="20"/>
            <w:u w:val="single"/>
          </w:rPr>
          <w:t xml:space="preserve">https://www.linkedin.com/in/emircanaltuntas/</w:t>
        </w:r>
      </w:hyperlink>
    </w:p>
    <w:p>
      <w:pPr>
        <w:jc w:val="center"/>
      </w:pPr>
      <w:r>
        <w:rPr>
          <w:i/>
          <w:iCs/>
          <w:color w:val="BFBFBF"/>
          <w:sz w:val="18"/>
          <w:szCs w:val="18"/>
        </w:rPr>
        <w:t xml:space="preserve">Kaynak: NTT Security Japan – Security Magazine</w:t>
      </w:r>
    </w:p>
    <w:p>
      <w:r>
        <w:br w:type="page"/>
      </w:r>
    </w:p>
    <w:p>
      <w:pPr>
        <w:pStyle w:val="Heading1"/>
      </w:pPr>
      <w:r>
        <w:t xml:space="preserve">Yönetici Özeti</w:t>
      </w:r>
    </w:p>
    <w:p>
      <w:pPr>
        <w:spacing w:after="120" w:line="276"/>
        <w:jc w:val="both"/>
      </w:pPr>
      <w:r>
        <w:t xml:space="preserve">“Fidye yazılımı = bilgisayar ekranını kilitleyen bir virüs” anlayışı artık geçmişte kalmıştır. Günümüzde fidye yazılımı, yalnızca bir sistem arızası olmaktan çıkıp gizli verilerin ifşası, iş süreçlerinin sabote edilmesi ve hatta iş ortaklarıyla doğrudan iletişime geçilmesinden çekinmeyen “acımasız bir kurumsal şantaj iş modeline” dönüşmüştür.</w:t>
      </w:r>
    </w:p>
    <w:p>
      <w:pPr>
        <w:spacing w:after="120" w:line="276"/>
        <w:jc w:val="both"/>
      </w:pPr>
      <w:r>
        <w:t xml:space="preserve">Bu rapor, NTT Security Japan tarafından yayımlanan üç makaleyi temel alarak fidye yazılımının (1) türlerini ve evrimini, (2) saldırıların kaynaklandığı ülkeleri ve organizasyon yapısını, (3) fidyenin ödenip ödenmemesi gerektiği sorusunu ve doğru olay müdahale yaklaşımını Türkçe olarak bir araya getirmektedir. Raporun ortak mesajı nettir: Saldırganın kim olduğunu tespit etmeye değil, kuruluşun kendi savunmasını güçlendirmeye odaklanmak gerekir.</w:t>
      </w:r>
    </w:p>
    <w:p>
      <w:pPr>
        <w:pStyle w:val="Heading1"/>
      </w:pPr>
      <w:r>
        <w:t xml:space="preserve">1. Fidye Yazılımının Türleri ve Evrimi</w:t>
      </w:r>
    </w:p>
    <w:p>
      <w:pPr>
        <w:spacing w:after="120" w:line="276"/>
        <w:jc w:val="both"/>
      </w:pPr>
      <w:r>
        <w:t xml:space="preserve">Fidye yazılımı, zaman içinde amacını, yöntemlerini ve etki alanını genişletmiştir. Günümüzde öne çıkan üç temel evrim noktası bulunmaktadır.</w:t>
      </w:r>
    </w:p>
    <w:p>
      <w:pPr>
        <w:pStyle w:val="Heading2"/>
      </w:pPr>
      <w:r>
        <w:t xml:space="preserve">1.1. “Rastgele Dağıtım” Modelinden “Hedefli” Saldırılara</w:t>
      </w:r>
    </w:p>
    <w:p>
      <w:pPr>
        <w:spacing w:after="120" w:line="276"/>
        <w:jc w:val="both"/>
      </w:pPr>
      <w:r>
        <w:t xml:space="preserve">Eskiden fidye yazılımı, belirsiz sayıda kişiye e-posta dağıtarak, tuzağa düşen bireyin bilgisayar ekranını kilitleyip küçük tutarlar talep eden basit saldırılar şeklindeydi. Bugün ise mali gücü ve iş sürekliliği olan şirketler hedef alınmakta; on milyonlarca, hatta yüz milyonlarca liralık fidyeler talep eden hedefli (targeted) bir yapıya tamamen geçilmiştir.</w:t>
      </w:r>
    </w:p>
    <w:p>
      <w:pPr>
        <w:pStyle w:val="Heading2"/>
      </w:pPr>
      <w:r>
        <w:t xml:space="preserve">1.2. İsimler Farklı Olsa da Arka Plandaki Mekanizma Aynı: RaaS</w:t>
      </w:r>
    </w:p>
    <w:p>
      <w:pPr>
        <w:spacing w:after="120" w:line="276"/>
        <w:jc w:val="both"/>
      </w:pPr>
      <w:r>
        <w:t xml:space="preserve">“LockBit” veya “Akira” gibi pek çok farklı tür bulunsa da, arka plandaki mekanizmaların çoğu “RaaS (Hizmet Olarak Fidye Yazılımı)” adı verilen iş bölümüne dayalı bir suç işidir. Virüsü geliştiren kişi, şirket ağına sızan taşeron ve saldırıyı uygulayan ortak (affiliate) rolleri paylaşır; kullanılan yöntemler ve altyapı çapraz biçimde yeniden kullanılır.</w:t>
      </w:r>
    </w:p>
    <w:p>
      <w:pPr>
        <w:pStyle w:val="Heading2"/>
      </w:pPr>
      <w:r>
        <w:t xml:space="preserve">1.3. “Şifrelemeyen” Türün Yükselişi (Nowhere Ransom)</w:t>
      </w:r>
    </w:p>
    <w:p>
      <w:pPr>
        <w:spacing w:after="120" w:line="276"/>
        <w:jc w:val="both"/>
      </w:pPr>
      <w:r>
        <w:t xml:space="preserve">En güncel eğilim, verileri şifrelemeden yalnızca gizli verileri çalıp “İfşa edilmesini istemiyorsan para öde” diyerek tehdit eden “Nowhere Ransom” türüdür. Şifrelemeye bağlı bir sistem anormalliği oluşmadığından, tespit edilmesinin gecikmesi bu türün belirgin özelliğidir.</w:t>
      </w:r>
    </w:p>
    <w:p>
      <w:pPr>
        <w:pStyle w:val="Heading2"/>
      </w:pPr>
      <w:r>
        <w:t xml:space="preserve">1.4. Tehdit Yöntemine Göre Dört Aşamalı Şantaj</w:t>
      </w:r>
    </w:p>
    <w:p>
      <w:pPr>
        <w:spacing w:after="120" w:line="276"/>
        <w:jc w:val="both"/>
      </w:pPr>
      <w:r>
        <w:t xml:space="preserve">Günümüz fidye yazılımı yalnızca veriyi şifrelemez. Şirketi kesin olarak ödemeye zorlamak için şantaj yöntemleri dört aşamaya kadar evrilmiştir.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Şantaj Aşaması</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Yöntem</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Saldırganın Amacı</w:t>
            </w:r>
          </w:p>
        </w:tc>
      </w:tr>
      <w:t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1. Şantaj</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Şifreleme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İş sistemlerini durdurarak kurtarma karşılığında fidye talep etmek</w:t>
            </w:r>
          </w:p>
        </w:tc>
      </w:tr>
      <w:t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2. Şantaj</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Veri İfşası (Sızıntı)</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Çalınan gizli bilgileri yayımlama tehdidiyle toplumsal baskı kurmak</w:t>
            </w:r>
          </w:p>
        </w:tc>
      </w:tr>
      <w:t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3. Şantaj</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DDoS Saldırısı</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Web sitelerine yük bindirerek kurtarma ve iş süreçlerini engellemek</w:t>
            </w:r>
          </w:p>
        </w:tc>
      </w:tr>
      <w:t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4. Şantaj</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Doğrudan Taciz</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Müşteri ve iş ortaklarıyla iletişime geçerek itibarı yok etmek</w:t>
            </w:r>
          </w:p>
        </w:tc>
      </w:tr>
    </w:tbl>
    <w:p>
      <w:pPr>
        <w:spacing w:after="120"/>
      </w:pPr>
    </w:p>
    <w:p>
      <w:pPr>
        <w:spacing w:after="120" w:line="276"/>
        <w:jc w:val="both"/>
      </w:pPr>
      <w:r>
        <w:t xml:space="preserve">Birinci aşamada veriler izinsiz şifrelenerek kullanılamaz hale getirilir ve şifre çözme anahtarı karşılığında fidye istenir. İkinci aşamada, şirketlerin yedeklerden kurtulma oranı arttığı için saldırganlar şifrelemeden önce verileri çalar ve “ödemezsen müşteri/finans verilerini sızıntı sitesinde yayımlarız” diyerek ikinci kez tehdit eder. Üçüncü aşamada bu ikili tehdide boyun eğmeyen şirketlere DDoS saldırısı düzenlenir. Dördüncü aşamada ise çalınan verilerdeki iletişim bilgileri kullanılarak müşteri, iş ortağı ve hatta hissedarlara doğrudan ulaşılır.</w:t>
      </w:r>
    </w:p>
    <w:p>
      <w:pPr>
        <w:spacing w:after="120" w:line="276"/>
        <w:jc w:val="both"/>
      </w:pPr>
      <w:r>
        <w:t xml:space="preserve">Korkutucu olan, bu “dört katlı şantaj” yönteminin RaaS grupları arasında standart bir uygulama haline gelmeye başlamasıdır.</w:t>
      </w:r>
    </w:p>
    <w:p>
      <w:pPr>
        <w:pStyle w:val="Heading2"/>
      </w:pPr>
      <w:r>
        <w:t xml:space="preserve">1.5. Başlıca Fidye Yazılımı Aileleri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Aile</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Özellik / Yöntem</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Başlıca Hedef / Eğilim</w:t>
            </w:r>
          </w:p>
        </w:tc>
      </w:tr>
      <w:t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LockBit</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Dünyanın en büyük RaaS ağlarından biri</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Ölçek gözetmeksizin ayrım yapmadan saldırır; defalarca yakalansa da yeniden doğar</w:t>
            </w:r>
          </w:p>
        </w:tc>
      </w:tr>
      <w:t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Akira / Black Basta</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VPN açıklarını hedefleyen yükselen gruplar</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Şirketlerin merkezi sistemlerini hedefler; ikili şantajı sık kullanır</w:t>
            </w:r>
          </w:p>
        </w:tc>
      </w:tr>
      <w:t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Phobos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RDP (uzak bağlantı) hedefleyen köklü tür</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Güvenliği daha zayıf KOBİ'leri hedefler</w:t>
            </w:r>
          </w:p>
        </w:tc>
      </w:tr>
    </w:tbl>
    <w:p>
      <w:pPr>
        <w:spacing w:after="120"/>
      </w:pPr>
    </w:p>
    <w:p>
      <w:pPr>
        <w:spacing w:after="120" w:line="276"/>
        <w:jc w:val="both"/>
      </w:pPr>
      <w:r>
        <w:t xml:space="preserve">LockBit, uluslararası kolluk kuvvetlerince defalarca yakalanmasına rağmen her seferinde araçlarını güncelleyerek farklı isimler veya yeni sürümler altında yeniden ortaya çıkan, dünyanın en büyük RaaS grubudur. Akira / Black Basta, başlıca olarak şirketlerin VPN cihazlarındaki yamalanmamış açıkları kullanarak sızan ve bilgi hırsızlığı ile şifrelemeyi hızla gerçekleştiren yükselen gruplardır. Phobos ise internete açık bırakılmış uzak masaüstü (RDP) bağlantılarının zayıf parolalarını kaba kuvvet (brute force) saldırısıyla aşarak sızar.</w:t>
      </w:r>
    </w:p>
    <w:p>
      <w:pPr>
        <w:spacing w:after="120" w:line="276"/>
        <w:jc w:val="both"/>
      </w:pPr>
      <w:r>
        <w:t xml:space="preserve">Önemli olan “aile”dir; türevlerin (varyant) isimlerini takip etmek savunma sağlamaz. Fidye yazılımları tespitten kaçmak için sayısız varyant üretir. Dolayısıyla tek tek isimleri kovalamanın anlamı yoktur; hangi aileden olursa olsun “nasıl sızdıklarını” bilmek ve o giriş noktasını kapatmak önemlidir.</w:t>
      </w:r>
    </w:p>
    <w:p>
      <w:pPr>
        <w:pStyle w:val="Heading2"/>
      </w:pPr>
      <w:r>
        <w:t xml:space="preserve">1.6. Türler Farklı Olsa da “Giriş Noktası” Aynı: Üç Temel Bulaşma Yolu</w:t>
      </w:r>
    </w:p>
    <w:p>
      <w:pPr>
        <w:spacing w:after="120" w:line="276"/>
        <w:jc w:val="both"/>
      </w:pPr>
      <w:r>
        <w:t xml:space="preserve">Fidye yazılımının türü değişse de saldırganların hedeflediği ilk giriş noktası şaşırtıcı derecede ortaktır. En üst sıradaki bulaşma yolları nettir.</w:t>
      </w:r>
    </w:p>
    <w:p>
      <w:pPr>
        <w:pStyle w:val="ListParagraph"/>
        <w:numPr>
          <w:ilvl w:val="0"/>
          <w:numId w:val="2"/>
        </w:numPr>
        <w:spacing w:after="60" w:line="276"/>
      </w:pPr>
      <w:r>
        <w:t xml:space="preserve">VPN cihazlarına yama uygulanmaması: Uzaktan çalışmanın yaygınlaşmasıyla devreye alınan VPN cihazları en büyük giriş noktasıdır. Üreticinin sağladığı güvenlik yamalarını uygulamayan, açıkları ihmal eden şirketler ilk hedeftir.</w:t>
      </w:r>
    </w:p>
    <w:p>
      <w:pPr>
        <w:pStyle w:val="ListParagraph"/>
        <w:numPr>
          <w:ilvl w:val="0"/>
          <w:numId w:val="2"/>
        </w:numPr>
        <w:spacing w:after="60" w:line="276"/>
      </w:pPr>
      <w:r>
        <w:t xml:space="preserve">Uzak masaüstü kimlik doğrulamasının aşılması: Şirket içi bilgisayarları dışarıdan yönetmek için kullanılan uzak masaüstünün internete korumasız açık bırakılması durumudur. Basit/tekrar kullanılan parolalar nedeniyle kolayca giriş yapılır.</w:t>
      </w:r>
    </w:p>
    <w:p>
      <w:pPr>
        <w:pStyle w:val="ListParagraph"/>
        <w:numPr>
          <w:ilvl w:val="0"/>
          <w:numId w:val="2"/>
        </w:numPr>
        <w:spacing w:after="60" w:line="276"/>
      </w:pPr>
      <w:r>
        <w:t xml:space="preserve">Emotet gibi “taşıyıcı zararlı yazılımlar” veya ilk erişim aracıları üzerinden: Çalışanın sahte e-posta ekini açmasıyla Emotet gibi zararlı yazılımlar bulaşır; bu bir arka kapıya dönüşür ve “ilk erişim aracısı” denilen aracılar üzerinden şirket içi erişim hakkı, saldırıyı uygulayanlara satılır.</w:t>
      </w:r>
    </w:p>
    <w:p>
      <w:pPr>
        <w:pStyle w:val="Heading2"/>
      </w:pPr>
      <w:r>
        <w:t xml:space="preserve">1.7. Tüm Türlere Karşı Ortak Kök Önlemler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Önlem Sütunu</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Somut Eylem</w:t>
            </w:r>
          </w:p>
        </w:tc>
      </w:tr>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EDR/XDR Kullanımı</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Uç nokta ve ağdaki şüpheli davranışların sürekli izlenmesi ve 7/24 ilk müdahale</w:t>
            </w:r>
          </w:p>
        </w:tc>
      </w:tr>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MFA ve En Az Yetki</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Çok faktörlü kimlik doğrulamanın zorunlu kılınması ve asgari erişim yetkisi yönetimi</w:t>
            </w:r>
          </w:p>
        </w:tc>
      </w:tr>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Değiştirilemez Yedek</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Ağdan ayrılmış, değiştirilemez/silinemez veri saklama (immutable backup)</w:t>
            </w:r>
          </w:p>
        </w:tc>
      </w:tr>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Aşamalı Çok Katmanlı Savunma</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“Sızma öncesi” ve “sızma sonrası” ayrılmış çok katmanlı savunma yapısı</w:t>
            </w:r>
          </w:p>
        </w:tc>
      </w:tr>
    </w:tbl>
    <w:p>
      <w:pPr>
        <w:spacing w:after="120"/>
      </w:pPr>
    </w:p>
    <w:p>
      <w:pPr>
        <w:spacing w:after="120" w:line="276"/>
        <w:jc w:val="both"/>
      </w:pPr>
      <w:r>
        <w:t xml:space="preserve">İlk sızmayı %100 engellemek mümkün olmadığından “zaten sızılmış olabilir” varsayımıyla iç izleme ağı kurulmalıdır. MFA ve yetki minimizasyonu, saldırganın ağ içinde yatay yayılarak yönetici yetkisi ele geçirmesini engeller. Değiştirilemez yedek, fidye ödemeden işi yeniden başlatmanın can simididir. Tek bir ürüne güvenmek yerine saldırının her aşamasına ayrı savunma duvarları kurmak gerekir.</w:t>
      </w:r>
    </w:p>
    <w:p>
      <w:r>
        <w:br w:type="page"/>
      </w:r>
    </w:p>
    <w:p>
      <w:pPr>
        <w:pStyle w:val="Heading1"/>
      </w:pPr>
      <w:r>
        <w:t xml:space="preserve">2. Fidye Yazılımının Failleri: Hangi Ülke ve Nasıl Organize?</w:t>
      </w:r>
    </w:p>
    <w:p>
      <w:pPr>
        <w:spacing w:after="120" w:line="276"/>
        <w:jc w:val="both"/>
      </w:pPr>
      <w:r>
        <w:t xml:space="preserve">Saldırıların çoğu, sınır ötesi belirli ülke veya bölgelerden “tam bir iş bölümü” ile organize bir iş olarak yürütülmektedir. ABD CISA gibi resmi raporlara göre siber tehditlerin merkez üssü olan başlıca ülkeler ve amaçları net biçimde ayrışmaktadır.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Üs / Ülke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Başlıca Amaç</w:t>
            </w:r>
          </w:p>
        </w:tc>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Özellik / Yöntem</w:t>
            </w:r>
          </w:p>
        </w:tc>
      </w:tr>
      <w:tr>
        <w:tc>
          <w:tcPr>
            <w:tcW w:type="dxa" w:w="2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Rusya / Eski SSCB ülkeleri</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Maddi kazanç</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Fidye yazılımının en büyük yatağı; suç gruplarınca ileri düzey iş bölümü</w:t>
            </w:r>
          </w:p>
        </w:tc>
      </w:tr>
      <w:tr>
        <w:tc>
          <w:tcPr>
            <w:tcW w:type="dxa" w:w="2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Kuzey Kore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Döviz kazanımı</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Devlet güdümlü; askeri/füze geliştirme fonu için kripto varlık hırsızlığı</w:t>
            </w:r>
          </w:p>
        </w:tc>
      </w:tr>
      <w:tr>
        <w:tc>
          <w:tcPr>
            <w:tcW w:type="dxa" w:w="2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Çin / İran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Bilgi hırsızlığı / yıkım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Devlet destekli; ileri teknoloji casusluğu ve altyapı sabotajı</w:t>
            </w:r>
          </w:p>
        </w:tc>
      </w:tr>
    </w:tbl>
    <w:p>
      <w:pPr>
        <w:spacing w:after="120"/>
      </w:pPr>
    </w:p>
    <w:p>
      <w:pPr>
        <w:pStyle w:val="Heading2"/>
      </w:pPr>
      <w:r>
        <w:t xml:space="preserve">2.1. Rusya ve Eski SSCB Bölgesi: Siber Suçun En Büyük Yatağı</w:t>
      </w:r>
    </w:p>
    <w:p>
      <w:pPr>
        <w:spacing w:after="120" w:line="276"/>
        <w:jc w:val="both"/>
      </w:pPr>
      <w:r>
        <w:t xml:space="preserve">Dünyadaki fidye yazılımı zararlarının büyük bölümünün Rusya ve eski SSCB bölgesi merkezli gruplardan kaynaklandığı değerlendirilmektedir. İleri düzey BT becerisine sahip korsanlar bir araya gelerek tam bir iş bölümüne dayalı yeraltı iş modeli oluşturur. Bu, devlet ideolojisinden bağımsız, salt maddi kazanç güden bir “para oyunu”dur.</w:t>
      </w:r>
    </w:p>
    <w:p>
      <w:pPr>
        <w:pStyle w:val="Heading2"/>
      </w:pPr>
      <w:r>
        <w:t xml:space="preserve">2.2. Kuzey Kore: “Döviz Kazanımı” Amaçlı Devlet Güdümlü Saldırılar</w:t>
      </w:r>
    </w:p>
    <w:p>
      <w:pPr>
        <w:spacing w:after="120" w:line="276"/>
        <w:jc w:val="both"/>
      </w:pPr>
      <w:r>
        <w:t xml:space="preserve">Kuzey Kore merkezli korsan grupları bireysel suçlular değil, “devletin güçlü desteğini” alarak faaliyet gösterir. En büyük amaç, askeri fon için döviz kazanmaktır. Fidye taleplerinin yanı sıra kripto para borsalarına doğrudan saldırılar da etkin biçimde gerçekleştirilir.</w:t>
      </w:r>
    </w:p>
    <w:p>
      <w:pPr>
        <w:pStyle w:val="Heading2"/>
      </w:pPr>
      <w:r>
        <w:t xml:space="preserve">2.3. Çin ve İran: Bilgi Hırsızlığı ve Altyapı Yıkımını Hedefleyen Devlet Destekli Korsanlar</w:t>
      </w:r>
    </w:p>
    <w:p>
      <w:pPr>
        <w:spacing w:after="120" w:line="276"/>
        <w:jc w:val="both"/>
      </w:pPr>
      <w:r>
        <w:t xml:space="preserve">Çin ve İran merkezli devlet destekli korsan grupları da sızma sırasında fidye yazılımı kullanabilir. Ancak gerçek amaçları gizli bilgi sızdırmak veya altyapıyı tahrip etmektir; fidye zararı gibi göstererek asıl casusluk faaliyetlerini gizleme amaçlı bir maskeleme yaparlar.</w:t>
      </w:r>
    </w:p>
    <w:p>
      <w:pPr>
        <w:pStyle w:val="Heading2"/>
      </w:pPr>
      <w:r>
        <w:t xml:space="preserve">2.4. Uygulayıcılar Dağınıktır; Uyruk ile Üs Çoğu Zaman Örtüşmez</w:t>
      </w:r>
    </w:p>
    <w:p>
      <w:pPr>
        <w:spacing w:after="120" w:line="276"/>
        <w:jc w:val="both"/>
      </w:pPr>
      <w:r>
        <w:t xml:space="preserve">Saldırı mekanizması paketlendiği için, Rus yapımı bir fidye yazılımıyla Güneydoğu Asya veya Güney Amerika'daki failler saldırı düzenleyebilir. Aracın geliştirildiği ülke ile failin uyruğunun örtüşmediğine dikkat edilmelidir.</w:t>
      </w:r>
    </w:p>
    <w:p>
      <w:pPr>
        <w:pStyle w:val="Heading2"/>
      </w:pPr>
      <w:r>
        <w:t xml:space="preserve">2.5. Failin Gerçek Kimliği: Organize “RaaS” Yapısı</w:t>
      </w:r>
    </w:p>
    <w:p>
      <w:pPr>
        <w:spacing w:after="120" w:line="276"/>
        <w:jc w:val="both"/>
      </w:pPr>
      <w:r>
        <w:t xml:space="preserve">Günümüz saldırıları tek bir failin değil, yüksek düzeyde organize bir iş modelinin ürünüdür:</w:t>
      </w:r>
    </w:p>
    <w:p>
      <w:pPr>
        <w:pStyle w:val="ListParagraph"/>
        <w:numPr>
          <w:ilvl w:val="0"/>
          <w:numId w:val="3"/>
        </w:numPr>
        <w:spacing w:after="60" w:line="276"/>
      </w:pPr>
      <w:r>
        <w:t xml:space="preserve">Geliştirici: Virüs gövdesini ve fidye ödeme sistemini geliştirir, altyapı sağlar.</w:t>
      </w:r>
    </w:p>
    <w:p>
      <w:pPr>
        <w:pStyle w:val="ListParagraph"/>
        <w:numPr>
          <w:ilvl w:val="0"/>
          <w:numId w:val="3"/>
        </w:numPr>
        <w:spacing w:after="60" w:line="276"/>
      </w:pPr>
      <w:r>
        <w:t xml:space="preserve">Sızma taşeronu: Şirketin VPN gibi açıklarını kullanarak ağa sızar ve “erişim hakkını” satar.</w:t>
      </w:r>
    </w:p>
    <w:p>
      <w:pPr>
        <w:pStyle w:val="ListParagraph"/>
        <w:numPr>
          <w:ilvl w:val="0"/>
          <w:numId w:val="3"/>
        </w:numPr>
        <w:spacing w:after="60" w:line="276"/>
      </w:pPr>
      <w:r>
        <w:t xml:space="preserve">Uygulayıcı (fail): Erişim hakkını satın alır, şirket içinde veriyi şifreleyerek fidye talep eder.</w:t>
      </w:r>
    </w:p>
    <w:p>
      <w:pPr>
        <w:spacing w:after="120" w:line="276"/>
        <w:jc w:val="both"/>
      </w:pPr>
      <w:r>
        <w:t xml:space="preserve">Bu yapıya “RaaS (Ransomware as a Service)” denir ve karanlık ağda (dark web) bir bulut hizmeti gibi satılır. Böylece ileri teknik bilgisi olmayan suçlular bile yalnızca araç satın alarak büyük ölçekli saldırı düzenleyebilir. RaaS organizasyonlarında fidye ödemesini kolaylaştıran “yardım masası (sohbet desteği)” ve ödeme tutarını pazarlık eden “uzman görevliler” dahi bulunur.</w:t>
      </w:r>
    </w:p>
    <w:p>
      <w:pPr>
        <w:pStyle w:val="Heading2"/>
      </w:pPr>
      <w:r>
        <w:t xml:space="preserve">2.6. Fidyeyi Çalmalarına Rağmen Failler Neden Kolay Yakalanmıyor?</w:t>
      </w:r>
    </w:p>
    <w:p>
      <w:pPr>
        <w:pStyle w:val="ListParagraph"/>
        <w:numPr>
          <w:ilvl w:val="0"/>
          <w:numId w:val="3"/>
        </w:numPr>
        <w:spacing w:after="60" w:line="276"/>
      </w:pPr>
      <w:r>
        <w:t xml:space="preserve">Suçluları koruyan “güvenli liman (safe haven)” varlığı: Rusya gibi bazı ülkeler, kendi ülkelerini hedef almadığı sürece siber suçlara göz yumar; kimlik belirlense de yerel polis harekete geçmez.</w:t>
      </w:r>
    </w:p>
    <w:p>
      <w:pPr>
        <w:pStyle w:val="ListParagraph"/>
        <w:numPr>
          <w:ilvl w:val="0"/>
          <w:numId w:val="3"/>
        </w:numPr>
        <w:spacing w:after="60" w:line="276"/>
      </w:pPr>
      <w:r>
        <w:t xml:space="preserve">Anonim kripto varlıklar ve kara para aklama: Fidye, takibi güç kripto varlıklarla ödenir; karmaşık aklama teknikleriyle paranın kime ulaştığını belirlemek son derece güçtür.</w:t>
      </w:r>
    </w:p>
    <w:p>
      <w:pPr>
        <w:pStyle w:val="ListParagraph"/>
        <w:numPr>
          <w:ilvl w:val="0"/>
          <w:numId w:val="3"/>
        </w:numPr>
        <w:spacing w:after="60" w:line="276"/>
      </w:pPr>
      <w:r>
        <w:t xml:space="preserve">Ağ altyapısının dağıtıklığı ve dark web kullanımı: Sunucular dünyaya yayılmıştır; bir üs çökertilse bile başka yerde faaliyet hemen sürdürülür.</w:t>
      </w:r>
    </w:p>
    <w:p>
      <w:pPr>
        <w:pStyle w:val="ListParagraph"/>
        <w:numPr>
          <w:ilvl w:val="0"/>
          <w:numId w:val="3"/>
        </w:numPr>
        <w:spacing w:after="60" w:line="276"/>
      </w:pPr>
      <w:r>
        <w:t xml:space="preserve">Sınır ötesi soruşturmanın yavaşlığı: Mağdur, geçiş ve kaynak ülke çoğunlukla farklıdır; hukuki ve diplomatik kısıtlar anlık yakalamayı engeller.</w:t>
      </w:r>
    </w:p>
    <w:p>
      <w:pPr>
        <w:pStyle w:val="Heading2"/>
      </w:pPr>
      <w:r>
        <w:t xml:space="preserve">2.7. Görünmeyen Uluslararası Suç Örgütüne Karşı Üç Kök Önlem</w:t>
      </w:r>
    </w:p>
    <w:p>
      <w:pPr>
        <w:pStyle w:val="ListParagraph"/>
        <w:numPr>
          <w:ilvl w:val="0"/>
          <w:numId w:val="3"/>
        </w:numPr>
        <w:spacing w:after="60" w:line="276"/>
      </w:pPr>
      <w:r>
        <w:t xml:space="preserve">Sıfır güven (zero trust) ortamı: Sınır savunmasına aşırı güvenmeden EDR kullanımı ve MFA'nın zorunlu kılınması.</w:t>
      </w:r>
    </w:p>
    <w:p>
      <w:pPr>
        <w:pStyle w:val="ListParagraph"/>
        <w:numPr>
          <w:ilvl w:val="0"/>
          <w:numId w:val="3"/>
        </w:numPr>
        <w:spacing w:after="60" w:line="276"/>
      </w:pPr>
      <w:r>
        <w:t xml:space="preserve">Değiştirilemez yedek: Ağdan ayrılmış, değiştirilemez/silinemez yedeklerin alınması ve düzenli kurtarma testleri.</w:t>
      </w:r>
    </w:p>
    <w:p>
      <w:pPr>
        <w:pStyle w:val="ListParagraph"/>
        <w:numPr>
          <w:ilvl w:val="0"/>
          <w:numId w:val="3"/>
        </w:numPr>
        <w:spacing w:after="60" w:line="276"/>
      </w:pPr>
      <w:r>
        <w:t xml:space="preserve">Resmi kurumlarla iş birliği: Barış zamanında tehdit istihbaratı toplama ve olay anında başvurulacak danışma kanallarının netleştirilmesi.</w:t>
      </w:r>
    </w:p>
    <w:p>
      <w:r>
        <w:br w:type="page"/>
      </w:r>
    </w:p>
    <w:p>
      <w:pPr>
        <w:pStyle w:val="Heading1"/>
      </w:pPr>
      <w:r>
        <w:t xml:space="preserve">3. Fidye Ödenmeli mi? Doğru Müdahale Yöntemi</w:t>
      </w:r>
    </w:p>
    <w:p>
      <w:pPr>
        <w:spacing w:after="120" w:line="276"/>
        <w:jc w:val="both"/>
      </w:pPr>
      <w:r>
        <w:t xml:space="preserve">Bir gün aniden ekran kararır ve “Verileri şifreledik; geri istiyorsan fidye öde” mesajı belirir. Bu çaresiz durumda yöneticilerin aklına “Para ödeyip işi bir an önce yeniden başlatmalı mıyız?” sorusu gelebilir. Ancak sonuç nettir: Fidyeyi ödemeye gerek yoktur. Hatta ödemek durumu daha da kötüleştirebilir.</w:t>
      </w:r>
    </w:p>
    <w:p>
      <w:pPr>
        <w:pStyle w:val="Heading2"/>
      </w:pPr>
      <w:r>
        <w:t xml:space="preserve">3.1. Resmi Görüş: “Ödememek” Esastır</w:t>
      </w:r>
    </w:p>
    <w:p>
      <w:pPr>
        <w:spacing w:after="120" w:line="276"/>
        <w:jc w:val="both"/>
      </w:pPr>
      <w:r>
        <w:t xml:space="preserve">Kolluk kuvvetleri ve hükümet kurumları, “fidye kesinlikle ödenmemelidir” görüşünü tutarlı biçimde savunur. Bunun nedeni, ödenen paranın suç örgütünün faaliyet fonu olarak kötüye kullanılması endişesi ve talebe uyulsa dahi verilerin geri getirileceğine dair hiçbir garanti bulunmamasıdır. Yetkililer mağdurlara bu hususları açıklamakta ve ödeme yapılıp yapılmadığı da dahil olmak üzere soruşturmaya yardım talebinde bulunmaktadır.</w:t>
      </w:r>
    </w:p>
    <w:p>
      <w:pPr>
        <w:pStyle w:val="Heading2"/>
      </w:pPr>
      <w:r>
        <w:t xml:space="preserve">3.2. Uzayan Kurtarma ve Devasa Soruşturma Maliyetleri</w:t>
      </w:r>
    </w:p>
    <w:p>
      <w:pPr>
        <w:spacing w:after="120" w:line="276"/>
        <w:jc w:val="both"/>
      </w:pPr>
      <w:r>
        <w:t xml:space="preserve">“Para ödersek hemen eski haline döneriz” düşüncesi tehlikeli bir yanılgıdır. Fidye yazılımı sonrası müdahale, ilk andan tam kurtarmaya kadar çok büyük zaman ve maliyet gerektirir:</w:t>
      </w:r>
    </w:p>
    <w:p>
      <w:pPr>
        <w:pStyle w:val="ListParagraph"/>
        <w:numPr>
          <w:ilvl w:val="0"/>
          <w:numId w:val="3"/>
        </w:numPr>
        <w:spacing w:after="60" w:line="276"/>
      </w:pPr>
      <w:r>
        <w:t xml:space="preserve">Kurtarma hızı: “Birkaç günde eski hale dönme” nadirdir; birçok şirkette süreç bir aydan fazla uzar veya sonu görünmeyen bir “kurtarılıyor” durumu sürer.</w:t>
      </w:r>
    </w:p>
    <w:p>
      <w:pPr>
        <w:pStyle w:val="ListParagraph"/>
        <w:numPr>
          <w:ilvl w:val="0"/>
          <w:numId w:val="3"/>
        </w:numPr>
        <w:spacing w:after="60" w:line="276"/>
      </w:pPr>
      <w:r>
        <w:t xml:space="preserve">“Fidye dışı” maliyetler: Sızma kaynağının araştırılması ve sistemin yeniden kurulması, milyonlarca ölçeğinde devasa sonrası maliyetler doğurur.</w:t>
      </w:r>
    </w:p>
    <w:p>
      <w:pPr>
        <w:spacing w:after="120" w:line="276"/>
        <w:jc w:val="both"/>
      </w:pPr>
      <w:r>
        <w:t xml:space="preserve">Sistem durması uzadıkça zarar tutarı katlanır. Kurtarması iki aydan uzun süren vakalarda istisnasız çok yüksek maliyetler, bunların önemli bir bölümünde ise yıkıcı düzeyde zarar oluşmuştur.</w:t>
      </w:r>
    </w:p>
    <w:p>
      <w:pPr>
        <w:pStyle w:val="Heading2"/>
      </w:pPr>
      <w:r>
        <w:t xml:space="preserve">3.3. Uluslararası Düzeyde “Terör Desteği” Sayılma ve Yaptırım Riski</w:t>
      </w:r>
    </w:p>
    <w:p>
      <w:pPr>
        <w:spacing w:after="120" w:line="276"/>
        <w:jc w:val="both"/>
      </w:pPr>
      <w:r>
        <w:t xml:space="preserve">Daha da korkutucu olan hukuki risktir. ABD Hazine Bakanlığı'nın Yabancı Varlıklar Kontrol Ofisi (OFAC) gibi kurumlar bazı siber suç gruplarını yaptırım listesine almıştır. Ödenen fidye bu örgütlere ulaşırsa, “terör örgütüne kaynak aktarımı” sayılabilir ve şirket büyük para cezaları ile uluslararası ticaretin durdurulması gibi yıkıcı yaptırımlarla karşılaşabilir.</w:t>
      </w:r>
    </w:p>
    <w:p>
      <w:pPr>
        <w:pStyle w:val="Heading2"/>
      </w:pPr>
      <w:r>
        <w:t xml:space="preserve">3.4. Fidyenin Ödenmemesi Gereken Dört Neden</w:t>
      </w:r>
    </w:p>
    <w:p>
      <w:pPr>
        <w:pStyle w:val="ListParagraph"/>
        <w:numPr>
          <w:ilvl w:val="0"/>
          <w:numId w:val="2"/>
        </w:numPr>
        <w:spacing w:after="60" w:line="276"/>
      </w:pPr>
      <w:r>
        <w:t xml:space="preserve">Verinin çözüleceğine dair garanti yoktur: Saldırgan bir suçludur; ödeme yapılsa bile çalışır bir çözücü aracın sağlanacağının güvencesi yoktur. Gelen aracın bozuk olduğu ve verinin kurtulmadığı vakalar mevcuttur.</w:t>
      </w:r>
    </w:p>
    <w:p>
      <w:pPr>
        <w:pStyle w:val="ListParagraph"/>
        <w:numPr>
          <w:ilvl w:val="0"/>
          <w:numId w:val="2"/>
        </w:numPr>
        <w:spacing w:after="60" w:line="276"/>
      </w:pPr>
      <w:r>
        <w:t xml:space="preserve">Ödense bile ifşa edilme tuzağı (ikili şantaj): Veriler şifrelemeden önce çalınır. Para ödense de suçlunun veriyi sileceğine dair garanti yoktur; ek talep veya ifşa örnekleri sürekli yaşanır.</w:t>
      </w:r>
    </w:p>
    <w:p>
      <w:pPr>
        <w:pStyle w:val="ListParagraph"/>
        <w:numPr>
          <w:ilvl w:val="0"/>
          <w:numId w:val="2"/>
        </w:numPr>
        <w:spacing w:after="60" w:line="276"/>
      </w:pPr>
      <w:r>
        <w:t xml:space="preserve">Yeniden saldırının hedefi olma: Bir kez fidye ödeyen şirket, dark web ağında “tehdit edilince ödeyen şirket” listesine girer ve farklı saldırganlarca tekrar tekrar hedef alınma riski katlanır.</w:t>
      </w:r>
    </w:p>
    <w:p>
      <w:pPr>
        <w:pStyle w:val="ListParagraph"/>
        <w:numPr>
          <w:ilvl w:val="0"/>
          <w:numId w:val="2"/>
        </w:numPr>
        <w:spacing w:after="60" w:line="276"/>
      </w:pPr>
      <w:r>
        <w:t xml:space="preserve">Suç örgütlerine ve teröristlere kaynak aktarımı: Ödenen fidye, siber suç örgütlerinin, teröristlerin veya düşman devletlerin faaliyet ve silah geliştirme fonuna akar. Bu, toplumsal tehdidi büyüten antisosyal bir eylem olabilir.</w:t>
      </w:r>
    </w:p>
    <w:p>
      <w:pPr>
        <w:pStyle w:val="Heading2"/>
      </w:pPr>
      <w:r>
        <w:t xml:space="preserve">3.5. Önceden Belirlenmesi Gereken “Kurum İçi Karar Süreci”</w:t>
      </w:r>
    </w:p>
    <w:p>
      <w:pPr>
        <w:spacing w:after="120" w:line="276"/>
        <w:jc w:val="both"/>
      </w:pPr>
      <w:r>
        <w:t xml:space="preserve">Ekran karardığında ve geri sayım başladığında hem saha hem yönetim panikler. Bu uç durumda hata yapılmaması için, barış zamanında karar süreçleri netleştirilmelidir.</w:t>
      </w:r>
    </w:p>
    <w:p>
      <w:pPr>
        <w:pStyle w:val="ListParagraph"/>
        <w:numPr>
          <w:ilvl w:val="0"/>
          <w:numId w:val="3"/>
        </w:numPr>
        <w:spacing w:after="60" w:line="276"/>
      </w:pPr>
      <w:r>
        <w:t xml:space="preserve">“Ödememe” temel ilkesinin paylaşılması ve kural haline getirilmesi: “Hangi gerekçeyle olursa olsun fidye ödenmeyecek” ilkesinin yönetim dahil tüm şirketçe mutabık kılınması; iç yönetmeliklere ve İş Sürekliliği Planı'na (BCP) işlenmesi.</w:t>
      </w:r>
    </w:p>
    <w:p>
      <w:pPr>
        <w:pStyle w:val="ListParagraph"/>
        <w:numPr>
          <w:ilvl w:val="0"/>
          <w:numId w:val="3"/>
        </w:numPr>
        <w:spacing w:after="60" w:line="276"/>
      </w:pPr>
      <w:r>
        <w:t xml:space="preserve">“Acil durum onay akışı” hazırlığı: Olay anında dakikalar önemlidir; her departmanın rolünü tanımlayan yatay koordinasyon ve onay akışı önceden belirlenmelidir.</w:t>
      </w:r>
    </w:p>
    <w:p>
      <w:pPr>
        <w:spacing w:after="120" w:line="276"/>
        <w:jc w:val="both"/>
      </w:pPr>
      <w:r>
        <w:t xml:space="preserve">Acil durum onay akışında roller şöyle ayrışır: CSIRT durum tespiti ve bilgi toplama; Hukuk veri ihlali ve sistem durması kaynaklı hukuki risk değerlendirmesi; Halkla İlişkiler müşteri, iş ortağı ve kamuya uygun açıklama; Yönetim ise tüm bilgilere dayanarak hızlı ve nihai kararı üstlenir.</w:t>
      </w:r>
    </w:p>
    <w:p>
      <w:pPr>
        <w:pStyle w:val="ListParagraph"/>
        <w:numPr>
          <w:ilvl w:val="0"/>
          <w:numId w:val="3"/>
        </w:numPr>
        <w:spacing w:after="60" w:line="276"/>
      </w:pPr>
      <w:r>
        <w:t xml:space="preserve">Siber sigorta kapsamının doğru anlaşılması: Fidye ödemesinin teminat kapsamında olup olmadığı (çoğu durumda kapsam dışıdır veya ağır koşulları vardır), adli bilişim ve sistem kurtarma masraflarının ne ölçüde karşılandığı önceden teyit edilmelidir.</w:t>
      </w:r>
    </w:p>
    <w:p>
      <w:pPr>
        <w:pStyle w:val="Heading2"/>
      </w:pPr>
      <w:r>
        <w:t xml:space="preserve">3.6. Fidye Notu Belirdiğinde İlk Müdahale: 7 Adım</w:t>
      </w:r>
    </w:p>
    <w:p>
      <w:pPr>
        <w:spacing w:after="120" w:line="276"/>
        <w:jc w:val="both"/>
      </w:pPr>
      <w:r>
        <w:t xml:space="preserve">Öncelikle kesinlikle yapılmaması gereken üç davranış vardır; bunlar yapılırsa zarar büyür ve uzmanlar için bile kurtarma imkânsız hale gelebilir:</w:t>
      </w:r>
    </w:p>
    <w:p>
      <w:pPr>
        <w:pStyle w:val="ListParagraph"/>
        <w:numPr>
          <w:ilvl w:val="0"/>
          <w:numId w:val="4"/>
        </w:numPr>
        <w:spacing w:after="60" w:line="276"/>
      </w:pPr>
      <w:r>
        <w:t xml:space="preserve">Yeniden başlatma: Cihazın yeniden başlatılması/kapatılması, bellekteki önemli izlerin (kanıt) kaybına ve şifrelemenin ilerlemesine yol açar.</w:t>
      </w:r>
    </w:p>
    <w:p>
      <w:pPr>
        <w:pStyle w:val="ListParagraph"/>
        <w:numPr>
          <w:ilvl w:val="0"/>
          <w:numId w:val="4"/>
        </w:numPr>
        <w:spacing w:after="60" w:line="276"/>
      </w:pPr>
      <w:r>
        <w:t xml:space="preserve">Kurtarma aracını kendi başına kullanma: İnternetteki şüpheli çözücü araçların denenmesi sistemi tamamen tahrip edebilir.</w:t>
      </w:r>
    </w:p>
    <w:p>
      <w:pPr>
        <w:pStyle w:val="ListParagraph"/>
        <w:numPr>
          <w:ilvl w:val="0"/>
          <w:numId w:val="4"/>
        </w:numPr>
        <w:spacing w:after="60" w:line="276"/>
      </w:pPr>
      <w:r>
        <w:t xml:space="preserve">Ağ bağlantısını sürdürme: Bağlı kalmak, diğer sunucu ve bilgisayarlara anında bulaşmaya neden olur.</w:t>
      </w:r>
    </w:p>
    <w:p>
      <w:pPr>
        <w:spacing w:after="120" w:line="276"/>
        <w:jc w:val="both"/>
      </w:pPr>
      <w:r>
        <w:t xml:space="preserve">İlk müdahale için izlenecek 7 adım şunlardır:</w:t>
      </w:r>
    </w:p>
    <w:p>
      <w:pPr>
        <w:pStyle w:val="ListParagraph"/>
        <w:numPr>
          <w:ilvl w:val="0"/>
          <w:numId w:val="5"/>
        </w:numPr>
        <w:spacing w:after="60" w:line="276"/>
      </w:pPr>
      <w:r>
        <w:t xml:space="preserve">İzolasyon (ağdan derhal kesme): Şüpheli cihaz fiziksel olarak ağdan ayrılır; LAN kablosu çekilir, Wi-Fi kapatılır.</w:t>
      </w:r>
    </w:p>
    <w:p>
      <w:pPr>
        <w:pStyle w:val="ListParagraph"/>
        <w:numPr>
          <w:ilvl w:val="0"/>
          <w:numId w:val="5"/>
        </w:numPr>
        <w:spacing w:after="60" w:line="276"/>
      </w:pPr>
      <w:r>
        <w:t xml:space="preserve">Raporlama / bildirim (eskalasyon): Zarar gizlenmeden CSIRT veya bilgi sistemleri birimine derhal bildirilir, yönetime hızla iletilir.</w:t>
      </w:r>
    </w:p>
    <w:p>
      <w:pPr>
        <w:pStyle w:val="ListParagraph"/>
        <w:numPr>
          <w:ilvl w:val="0"/>
          <w:numId w:val="5"/>
        </w:numPr>
        <w:spacing w:after="60" w:line="276"/>
      </w:pPr>
      <w:r>
        <w:t xml:space="preserve">Etki alanının belirlenmesi: Başka cihazların etkilenip etkilenmediği, dosya sunucusuna erişilip erişilemediği soğukkanlılıkla saptanır.</w:t>
      </w:r>
    </w:p>
    <w:p>
      <w:pPr>
        <w:pStyle w:val="ListParagraph"/>
        <w:numPr>
          <w:ilvl w:val="0"/>
          <w:numId w:val="5"/>
        </w:numPr>
        <w:spacing w:after="60" w:line="276"/>
      </w:pPr>
      <w:r>
        <w:t xml:space="preserve">Uzmana ulaşma (dış destek): Kendi başına çözüm imkânsızdır; sözleşmeli güvenlik sağlayıcısına (SOC/olay müdahale) ve polisin siber suç danışma birimine başvurulur.</w:t>
      </w:r>
    </w:p>
    <w:p>
      <w:pPr>
        <w:pStyle w:val="ListParagraph"/>
        <w:numPr>
          <w:ilvl w:val="0"/>
          <w:numId w:val="5"/>
        </w:numPr>
        <w:spacing w:after="60" w:line="276"/>
      </w:pPr>
      <w:r>
        <w:t xml:space="preserve">Kontrol altına alma (yayılmayı durdurma): Uzman desteğiyle saldırganın sızma yolu belirlenip kesilir, yatay yayılma engellenir.</w:t>
      </w:r>
    </w:p>
    <w:p>
      <w:pPr>
        <w:pStyle w:val="ListParagraph"/>
        <w:numPr>
          <w:ilvl w:val="0"/>
          <w:numId w:val="5"/>
        </w:numPr>
        <w:spacing w:after="60" w:line="276"/>
      </w:pPr>
      <w:r>
        <w:t xml:space="preserve">Kanıt koruma (adli bilişim hazırlığı): Sonraki kök neden analizi ve hukuki süreç için sunucu/güvenlik duvarı kayıtları ve cihaz verileri korunur.</w:t>
      </w:r>
    </w:p>
    <w:p>
      <w:pPr>
        <w:pStyle w:val="ListParagraph"/>
        <w:numPr>
          <w:ilvl w:val="0"/>
          <w:numId w:val="5"/>
        </w:numPr>
        <w:spacing w:after="60" w:line="276"/>
      </w:pPr>
      <w:r>
        <w:t xml:space="preserve">İç/dış duyuru (paydaş yönetimi): Uzman ve hukukla görüşülerek ilgili kurumlara, iş ortaklarına ve müşterilere bildirimin gerekliliği ve zamanlaması doğru kararlaştırılıp dürüst bir iletişim yürütülür.</w:t>
      </w:r>
    </w:p>
    <w:p>
      <w:pPr>
        <w:pStyle w:val="Heading2"/>
      </w:pPr>
      <w:r>
        <w:t xml:space="preserve">3.7. Tekrarı Önleme ve Dayanıklı Yapı Kurma</w:t>
      </w:r>
    </w:p>
    <w:p>
      <w:pPr>
        <w:pStyle w:val="ListParagraph"/>
        <w:numPr>
          <w:ilvl w:val="0"/>
          <w:numId w:val="3"/>
        </w:numPr>
        <w:spacing w:after="60" w:line="276"/>
      </w:pPr>
      <w:r>
        <w:t xml:space="preserve">EDR / XDR ile erken tespit: Klasik antivirüsü aşan tehditlere karşı uç noktaların ve ağın sürekli izlenmesi; şifreleme ciddileşmeden önce belirtinin yakalanıp otomatik izole edilmesi.</w:t>
      </w:r>
    </w:p>
    <w:p>
      <w:pPr>
        <w:pStyle w:val="ListParagraph"/>
        <w:numPr>
          <w:ilvl w:val="0"/>
          <w:numId w:val="3"/>
        </w:numPr>
        <w:spacing w:after="60" w:line="276"/>
      </w:pPr>
      <w:r>
        <w:t xml:space="preserve">Değiştirilemez yedek (3-2-1-1-0): “3-2-1-1-0” kuralına uygun yedek; özellikle çevrimdışı ve yönetici dahi belirli süre değiştiremeyeceği/silemeyeceği “immutable” depolama ile yedek imha saldırılarının etkisizleştirilmesi.</w:t>
      </w:r>
    </w:p>
    <w:p>
      <w:pPr>
        <w:pStyle w:val="ListParagraph"/>
        <w:numPr>
          <w:ilvl w:val="0"/>
          <w:numId w:val="3"/>
        </w:numPr>
        <w:spacing w:after="60" w:line="276"/>
      </w:pPr>
      <w:r>
        <w:t xml:space="preserve">Sıfır güven, MDR ve SOC ile 7/24 izleme: “Şirket içi ağ güvenlidir” varsayımının terk edilmesi; gece ve tatil saatlerini hedefleyen saldırılara karşı uzmanlarca 7/24 izleme ve müdahale hizmetinden yararlanılması.</w:t>
      </w:r>
    </w:p>
    <w:p>
      <w:pPr>
        <w:pStyle w:val="ListParagraph"/>
        <w:numPr>
          <w:ilvl w:val="0"/>
          <w:numId w:val="3"/>
        </w:numPr>
        <w:spacing w:after="60" w:line="276"/>
      </w:pPr>
      <w:r>
        <w:t xml:space="preserve">“Fidye ödemeye gerek kalmayan durum” yaratacak yapı: En önemlisi belirli bir araç kurmak değil, erken tespitle zararı asgariye indirip değiştirilemez yedekle kendi imkânlarıyla kurtulabilecek bir kurumsal yapı oluşturmaktır.</w:t>
      </w:r>
    </w:p>
    <w:p>
      <w:r>
        <w:br w:type="page"/>
      </w:r>
    </w:p>
    <w:p>
      <w:pPr>
        <w:pStyle w:val="Heading1"/>
      </w:pPr>
      <w:r>
        <w:t xml:space="preserve">4. Sonuç ve Genel Değerlendirme</w:t>
      </w:r>
    </w:p>
    <w:p>
      <w:pPr>
        <w:spacing w:after="120" w:line="276"/>
        <w:jc w:val="both"/>
      </w:pPr>
      <w:r>
        <w:t xml:space="preserve">Siber suç grupları virüslerin adını sık sık değiştirir, ancak hedefledikleri giriş noktaları (yamalanmamış VPN, zayıf parolalar) her zaman aynıdır. Bu nedenle kaynaklar “en yeni düşmana” değil, kuruluşun kendi zayıf noktalarını kapatmaya ayrılmalıdır.</w:t>
      </w:r>
    </w:p>
    <w:p>
      <w:pPr>
        <w:spacing w:after="120" w:line="276"/>
        <w:jc w:val="both"/>
      </w:pPr>
      <w:r>
        <w:t xml:space="preserve">Fidye yazılımı saldırısı, sınır ötesi iş bölümüne dayalı “uluslararası bir siber suç işidir” ve sürekli yeni grupların ortaya çıktığı, sonu olmayan bir döngü içindedir. “Failin hangi ülkeden olduğunu” merak etmek zararı önlemez; saldırgan kim olursa olsun hedefledikleri şey, kuruluşun savunmasız giriş noktasıdır.</w:t>
      </w:r>
    </w:p>
    <w:p>
      <w:pPr>
        <w:spacing w:after="120" w:line="276"/>
        <w:jc w:val="both"/>
      </w:pPr>
      <w:r>
        <w:t xml:space="preserve">Fidye talebine karşı “ödersek çözülür” beklentisi geçersizdir; ödeme, şirkete ek risk ve devasa maliyet yükleyen en kötü seçimdir. Yönetim ve saha el ele vererek “kesinlikle ödemeyiz” ilkesini kararlılıkla benimsemeli, olay anına yönelik hızlı bir ilk müdahale el kitabı hazırlamalıdır. En önemlisi ise güçlü yedekleme ve izleme yapısıyla “fidye ödemeden kendi imkânlarıyla kurtulabilen dayanıklı bir ortam” inşa etmektir.</w:t>
      </w:r>
    </w:p>
    <w:p>
      <w:pPr>
        <w:spacing w:after="120" w:line="276"/>
        <w:jc w:val="both"/>
      </w:pPr>
      <w:r>
        <w:t xml:space="preserve">Tek savunma yolu; tespit, kontrol altına alma ve güvenilir kurtarma yeteneklerine sahip bir yapı kurmak ve “sızılacağı varsayımıyla” kuruluşun zayıf noktalarını kapatmaktır. Bu yaklaşım, hem işi hem de güveni korumanın en büyük anahtarıdır.</w:t>
      </w:r>
    </w:p>
    <w:p>
      <w:pPr>
        <w:pStyle w:val="Heading1"/>
      </w:pPr>
      <w:r>
        <w:t xml:space="preserve">Kaynakça</w:t>
      </w:r>
    </w:p>
    <w:p>
      <w:pPr>
        <w:pStyle w:val="ListParagraph"/>
        <w:numPr>
          <w:ilvl w:val="0"/>
          <w:numId w:val="6"/>
        </w:numPr>
        <w:spacing w:after="120"/>
      </w:pPr>
      <w:r>
        <w:t xml:space="preserve">NTT Security Japan, “[2026 Güncel] Fidye Yazılımının Türleri ve Evrimi: 4 Katlı Şantaj Yöntemi ve Önlemler” </w:t>
      </w:r>
      <w:hyperlink w:history="1" r:id="rIdq7pordxld0twtqogsx8zi">
        <w:r>
          <w:rPr>
            <w:rStyle w:val="Hyperlink"/>
          </w:rPr>
          <w:t xml:space="preserve">https://jp.security.ntt/insights_resources/security_magazine/ransomware-types/</w:t>
        </w:r>
      </w:hyperlink>
    </w:p>
    <w:p>
      <w:pPr>
        <w:pStyle w:val="ListParagraph"/>
        <w:numPr>
          <w:ilvl w:val="0"/>
          <w:numId w:val="6"/>
        </w:numPr>
        <w:spacing w:after="120"/>
      </w:pPr>
      <w:r>
        <w:t xml:space="preserve">NTT Security Japan, “Fidye Yazılımının Failleri Hangi Ülkeden?” </w:t>
      </w:r>
      <w:hyperlink w:history="1" r:id="rIddnrrihscpuut0tzrl8m79">
        <w:r>
          <w:rPr>
            <w:rStyle w:val="Hyperlink"/>
          </w:rPr>
          <w:t xml:space="preserve">https://jp.security.ntt/insights_resources/security_magazine/where-ransomware-comes-from/</w:t>
        </w:r>
      </w:hyperlink>
    </w:p>
    <w:p>
      <w:pPr>
        <w:pStyle w:val="ListParagraph"/>
        <w:numPr>
          <w:ilvl w:val="0"/>
          <w:numId w:val="6"/>
        </w:numPr>
        <w:spacing w:after="120"/>
      </w:pPr>
      <w:r>
        <w:t xml:space="preserve">NTT Security Japan, “[Fidye Ödenmeli mi?] Fidye Yazılımının Doğru Müdahale Yöntemi” </w:t>
      </w:r>
      <w:hyperlink w:history="1" r:id="rIddg2o_qs7oz3w6vshrsaja">
        <w:r>
          <w:rPr>
            <w:rStyle w:val="Hyperlink"/>
          </w:rPr>
          <w:t xml:space="preserve">https://jp.security.ntt/insights_resources/security_magazine/should-you-pay-the-ransom/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Hazırlayan: Emircan Altuntaş  |  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Fidye Yazılımı Tehdidi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Adım %1:"/>
      <w:lvlJc w:val="left"/>
      <w:pPr>
        <w:ind w:left="900" w:hanging="54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6wj2_-ct0qjtccodiemo" Type="http://schemas.openxmlformats.org/officeDocument/2006/relationships/hyperlink" Target="https://www.linkedin.com/in/emircanaltuntas/" TargetMode="External"/><Relationship Id="rIdq7pordxld0twtqogsx8zi" Type="http://schemas.openxmlformats.org/officeDocument/2006/relationships/hyperlink" Target="https://jp.security.ntt/insights_resources/security_magazine/ransomware-types/" TargetMode="External"/><Relationship Id="rIddnrrihscpuut0tzrl8m79" Type="http://schemas.openxmlformats.org/officeDocument/2006/relationships/hyperlink" Target="https://jp.security.ntt/insights_resources/security_magazine/where-ransomware-comes-from/" TargetMode="External"/><Relationship Id="rIddg2o_qs7oz3w6vshrsaja" Type="http://schemas.openxmlformats.org/officeDocument/2006/relationships/hyperlink" Target="https://jp.security.ntt/insights_resources/security_magazine/should-you-pay-the-ransom/" TargetMode="External"/><Relationship Id="rId9" Type="http://schemas.openxmlformats.org/officeDocument/2006/relationships/image" Target="media/a6144ab15fae82e6c4f15cccd1ff75dd48129f6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2026-06-02T14:50:49.462Z</dcterms:created>
  <dcterms:modified xsi:type="dcterms:W3CDTF">2026-06-02T14:50:49.475Z</dcterms:modified>
</cp:coreProperties>
</file>

<file path=docProps/custom.xml><?xml version="1.0" encoding="utf-8"?>
<Properties xmlns="http://schemas.openxmlformats.org/officeDocument/2006/custom-properties" xmlns:vt="http://schemas.openxmlformats.org/officeDocument/2006/docPropsVTypes"/>
</file>