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GDV Evaluation Documentation</w:t>
      </w:r>
    </w:p>
    <w:p>
      <w:pPr>
        <w:jc w:val="center"/>
      </w:pPr>
      <w:r>
        <w:rPr>
          <w:i/>
          <w:sz w:val="22"/>
        </w:rPr>
        <w:t>Final version for the GDV football visualization project</w:t>
      </w:r>
    </w:p>
    <w:p>
      <w:pPr>
        <w:jc w:val="center"/>
      </w:pPr>
      <w:r>
        <w:rPr>
          <w:sz w:val="20"/>
        </w:rPr>
        <w:t>Project: Angriffsmuster aus der FIFA WM 2022 fuer Amateurtrainer</w:t>
      </w:r>
    </w:p>
    <w:p/>
    <w:p>
      <w:pPr>
        <w:pStyle w:val="Heading1"/>
      </w:pPr>
      <w:r>
        <w:t>1. Evaluation goal and setup</w:t>
      </w:r>
    </w:p>
    <w:p>
      <w:r>
        <w:t>This short formative evaluation checks whether the final static GDV visualizations communicate the intended insights for amateur football training clearly.</w:t>
      </w:r>
    </w:p>
    <w:p>
      <w:r>
        <w:t>Three football-interested participants were used. They did not need professional analytics knowledge, but they needed to understand basic football terms such as pass, shot, goal and final third.</w:t>
      </w:r>
    </w:p>
    <w:p>
      <w:r>
        <w:t>The final figures were shown in the same order as in the report. Participants were asked to think aloud while answering the tasks. Misunderstandings, unclear labels and comments about the design were written down.</w:t>
      </w:r>
    </w:p>
    <w:p>
      <w:pPr>
        <w:pStyle w:val="ListBullet"/>
      </w:pPr>
      <w:r>
        <w:t>Figure 1: Passes before shots and goals</w:t>
      </w:r>
    </w:p>
    <w:p>
      <w:pPr>
        <w:pStyle w:val="ListBullet"/>
      </w:pPr>
      <w:r>
        <w:t>Figure 2: Goal conversion rate by pass category</w:t>
      </w:r>
    </w:p>
    <w:p>
      <w:pPr>
        <w:pStyle w:val="ListBullet"/>
      </w:pPr>
      <w:r>
        <w:t>Figure 3: Teams with shots after final-third entries</w:t>
      </w:r>
    </w:p>
    <w:p>
      <w:pPr>
        <w:pStyle w:val="ListBullet"/>
      </w:pPr>
      <w:r>
        <w:t>Figure 4: Entry method into the final third</w:t>
      </w:r>
    </w:p>
    <w:p>
      <w:pPr>
        <w:pStyle w:val="ListBullet"/>
      </w:pPr>
      <w:r>
        <w:t>Figure 5: Start zones of goal attacks</w:t>
      </w:r>
    </w:p>
    <w:p>
      <w:pPr>
        <w:pStyle w:val="ListBullet"/>
      </w:pPr>
      <w:r>
        <w:t>Figure 6: Team Directness Ranking</w:t>
      </w:r>
    </w:p>
    <w:p>
      <w:pPr>
        <w:pStyle w:val="ListBullet"/>
      </w:pPr>
      <w:r>
        <w:t>Figure 7: Spain final-third entries and chance quality</w:t>
      </w:r>
    </w:p>
    <w:p>
      <w:pPr>
        <w:pStyle w:val="Heading1"/>
      </w:pPr>
      <w:r>
        <w:t>2. Evaluation tasks</w:t>
      </w:r>
    </w:p>
    <w:p>
      <w:pPr>
        <w:pStyle w:val="Heading2"/>
      </w:pPr>
      <w:r>
        <w:t>Task 1 - Pass categories</w:t>
      </w:r>
    </w:p>
    <w:p>
      <w:r>
        <w:t>Look at Figure 1. Do shots and goals at the FIFA World Cup 2022 seem to happen more often after few passes or after long passing sequences?</w:t>
      </w:r>
    </w:p>
    <w:p>
      <w:pPr>
        <w:pStyle w:val="Heading2"/>
      </w:pPr>
      <w:r>
        <w:t>Task 2 - Efficiency</w:t>
      </w:r>
    </w:p>
    <w:p>
      <w:r>
        <w:t>Look at Figure 2. Which pass category has the highest goal conversion rate? Does this mean this category is always the best attacking strategy?</w:t>
      </w:r>
    </w:p>
    <w:p>
      <w:pPr>
        <w:pStyle w:val="Heading2"/>
      </w:pPr>
      <w:r>
        <w:t>Task 3 - Final-third entries by team</w:t>
      </w:r>
    </w:p>
    <w:p>
      <w:r>
        <w:t>Look at Figure 3. Name one team that often turns final-third entries into shots. What does the difference between shot rate and goal rate tell you?</w:t>
      </w:r>
    </w:p>
    <w:p>
      <w:pPr>
        <w:pStyle w:val="Heading2"/>
      </w:pPr>
      <w:r>
        <w:t>Task 4 - Entry method</w:t>
      </w:r>
    </w:p>
    <w:p>
      <w:r>
        <w:t>Look at Figure 4. Which entry method leads most often to shots after entering the final third? Is this enough evidence to say that this method is always better?</w:t>
      </w:r>
    </w:p>
    <w:p>
      <w:pPr>
        <w:pStyle w:val="Heading2"/>
      </w:pPr>
      <w:r>
        <w:t>Task 5 - Start zones</w:t>
      </w:r>
    </w:p>
    <w:p>
      <w:r>
        <w:t>Look at Figure 5. From which simplified zones do goal attacks start in the different pass categories?</w:t>
      </w:r>
    </w:p>
    <w:p>
      <w:pPr>
        <w:pStyle w:val="Heading2"/>
      </w:pPr>
      <w:r>
        <w:t>Task 6 - Team directness</w:t>
      </w:r>
    </w:p>
    <w:p>
      <w:r>
        <w:t>Look at Figure 6. Name one team that appears more direct and one team that appears more patient. Is this a quality ranking or a style comparison?</w:t>
      </w:r>
    </w:p>
    <w:p>
      <w:pPr>
        <w:pStyle w:val="Heading2"/>
      </w:pPr>
      <w:r>
        <w:t>Task 7 - Spain use case</w:t>
      </w:r>
    </w:p>
    <w:p>
      <w:r>
        <w:t>Look at Figure 7. Can you understand what the lines, green zones and xG labels mean? What training idea could an amateur coach take from this plot?</w:t>
      </w:r>
    </w:p>
    <w:p>
      <w:pPr>
        <w:pStyle w:val="Heading1"/>
      </w:pPr>
      <w:r>
        <w:t>3. Feedback questions</w:t>
      </w:r>
    </w:p>
    <w:p>
      <w:pPr>
        <w:pStyle w:val="ListNumber"/>
      </w:pPr>
      <w:r>
        <w:t>Which figure was easiest to understand?</w:t>
      </w:r>
    </w:p>
    <w:p>
      <w:pPr>
        <w:pStyle w:val="ListNumber"/>
      </w:pPr>
      <w:r>
        <w:t>Which figure was most confusing?</w:t>
      </w:r>
    </w:p>
    <w:p>
      <w:pPr>
        <w:pStyle w:val="ListNumber"/>
      </w:pPr>
      <w:r>
        <w:t>Were the titles, labels and legends clear?</w:t>
      </w:r>
    </w:p>
    <w:p>
      <w:pPr>
        <w:pStyle w:val="ListNumber"/>
      </w:pPr>
      <w:r>
        <w:t>Did the visualizations answer the research question?</w:t>
      </w:r>
    </w:p>
    <w:p>
      <w:pPr>
        <w:pStyle w:val="ListNumber"/>
      </w:pPr>
      <w:r>
        <w:t>What would you improve before submission?</w:t>
      </w:r>
    </w:p>
    <w:p>
      <w:pPr>
        <w:pStyle w:val="Heading1"/>
      </w:pPr>
      <w:r>
        <w:t>4. Evaluation results</w:t>
      </w:r>
    </w:p>
    <w:p>
      <w:r>
        <w:t>All three participants answered all seven interpretation tasks correctly. The table below summarises the participant answers and the recorded design feedback.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0"/>
            </w:pPr>
            <w:r/>
            <w:r>
              <w:rPr>
                <w:b/>
                <w:sz w:val="16"/>
              </w:rPr>
              <w:t>Task</w:t>
            </w:r>
          </w:p>
        </w:tc>
        <w:tc>
          <w:tcPr>
            <w:tcW w:type="dxa" w:w="3408"/>
            <w:shd w:fill="D9EAF7"/>
            <w:vAlign w:val="top"/>
          </w:tcPr>
          <w:p>
            <w:pPr>
              <w:spacing w:after="0"/>
            </w:pPr>
            <w:r/>
            <w:r>
              <w:rPr>
                <w:b/>
                <w:sz w:val="16"/>
              </w:rPr>
              <w:t>Correct answers</w:t>
            </w:r>
          </w:p>
        </w:tc>
        <w:tc>
          <w:tcPr>
            <w:tcW w:type="dxa" w:w="3408"/>
            <w:shd w:fill="D9EAF7"/>
            <w:vAlign w:val="top"/>
          </w:tcPr>
          <w:p>
            <w:pPr>
              <w:spacing w:after="0"/>
            </w:pPr>
            <w:r/>
            <w:r>
              <w:rPr>
                <w:b/>
                <w:sz w:val="16"/>
              </w:rPr>
              <w:t>Short interpretation</w:t>
            </w:r>
          </w:p>
        </w:tc>
      </w:tr>
      <w:tr>
        <w:tc>
          <w:tcPr>
            <w:tcW w:type="dxa" w:w="3408"/>
            <w:vAlign w:val="top"/>
          </w:tcPr>
          <w:p>
            <w:pPr>
              <w:spacing w:after="0"/>
            </w:pPr>
            <w:r/>
            <w:r>
              <w:rPr>
                <w:b w:val="0"/>
                <w:sz w:val="16"/>
              </w:rPr>
              <w:t>Task 1</w:t>
            </w:r>
          </w:p>
        </w:tc>
        <w:tc>
          <w:tcPr>
            <w:tcW w:type="dxa" w:w="3408"/>
            <w:vAlign w:val="top"/>
          </w:tcPr>
          <w:p>
            <w:pPr>
              <w:spacing w:after="0"/>
            </w:pPr>
            <w:r/>
            <w:r>
              <w:rPr>
                <w:b w:val="0"/>
                <w:sz w:val="16"/>
              </w:rPr>
              <w:t>3/3</w:t>
            </w:r>
          </w:p>
        </w:tc>
        <w:tc>
          <w:tcPr>
            <w:tcW w:type="dxa" w:w="3408"/>
            <w:vAlign w:val="top"/>
          </w:tcPr>
          <w:p>
            <w:pPr>
              <w:spacing w:after="0"/>
            </w:pPr>
            <w:r/>
            <w:r>
              <w:rPr>
                <w:b w:val="0"/>
                <w:sz w:val="16"/>
              </w:rPr>
              <w:t>Participants understood that shots and goals mostly happen after few or medium-length passing sequences.</w:t>
            </w:r>
          </w:p>
        </w:tc>
      </w:tr>
      <w:tr>
        <w:tc>
          <w:tcPr>
            <w:tcW w:type="dxa" w:w="3408"/>
            <w:vAlign w:val="top"/>
          </w:tcPr>
          <w:p>
            <w:pPr>
              <w:spacing w:after="0"/>
            </w:pPr>
            <w:r/>
            <w:r>
              <w:rPr>
                <w:b w:val="0"/>
                <w:sz w:val="16"/>
              </w:rPr>
              <w:t>Task 2</w:t>
            </w:r>
          </w:p>
        </w:tc>
        <w:tc>
          <w:tcPr>
            <w:tcW w:type="dxa" w:w="3408"/>
            <w:vAlign w:val="top"/>
          </w:tcPr>
          <w:p>
            <w:pPr>
              <w:spacing w:after="0"/>
            </w:pPr>
            <w:r/>
            <w:r>
              <w:rPr>
                <w:b w:val="0"/>
                <w:sz w:val="16"/>
              </w:rPr>
              <w:t>3/3</w:t>
            </w:r>
          </w:p>
        </w:tc>
        <w:tc>
          <w:tcPr>
            <w:tcW w:type="dxa" w:w="3408"/>
            <w:vAlign w:val="top"/>
          </w:tcPr>
          <w:p>
            <w:pPr>
              <w:spacing w:after="0"/>
            </w:pPr>
            <w:r/>
            <w:r>
              <w:rPr>
                <w:b w:val="0"/>
                <w:sz w:val="16"/>
              </w:rPr>
              <w:t>Participants identified the strongest conversion category but did not overinterpret it as always best.</w:t>
            </w:r>
          </w:p>
        </w:tc>
      </w:tr>
      <w:tr>
        <w:tc>
          <w:tcPr>
            <w:tcW w:type="dxa" w:w="3408"/>
            <w:vAlign w:val="top"/>
          </w:tcPr>
          <w:p>
            <w:pPr>
              <w:spacing w:after="0"/>
            </w:pPr>
            <w:r/>
            <w:r>
              <w:rPr>
                <w:b w:val="0"/>
                <w:sz w:val="16"/>
              </w:rPr>
              <w:t>Task 3</w:t>
            </w:r>
          </w:p>
        </w:tc>
        <w:tc>
          <w:tcPr>
            <w:tcW w:type="dxa" w:w="3408"/>
            <w:vAlign w:val="top"/>
          </w:tcPr>
          <w:p>
            <w:pPr>
              <w:spacing w:after="0"/>
            </w:pPr>
            <w:r/>
            <w:r>
              <w:rPr>
                <w:b w:val="0"/>
                <w:sz w:val="16"/>
              </w:rPr>
              <w:t>3/3</w:t>
            </w:r>
          </w:p>
        </w:tc>
        <w:tc>
          <w:tcPr>
            <w:tcW w:type="dxa" w:w="3408"/>
            <w:vAlign w:val="top"/>
          </w:tcPr>
          <w:p>
            <w:pPr>
              <w:spacing w:after="0"/>
            </w:pPr>
            <w:r/>
            <w:r>
              <w:rPr>
                <w:b w:val="0"/>
                <w:sz w:val="16"/>
              </w:rPr>
              <w:t>Participants could identify teams that often turn final-third entries into shots.</w:t>
            </w:r>
          </w:p>
        </w:tc>
      </w:tr>
      <w:tr>
        <w:tc>
          <w:tcPr>
            <w:tcW w:type="dxa" w:w="3408"/>
            <w:vAlign w:val="top"/>
          </w:tcPr>
          <w:p>
            <w:pPr>
              <w:spacing w:after="0"/>
            </w:pPr>
            <w:r/>
            <w:r>
              <w:rPr>
                <w:b w:val="0"/>
                <w:sz w:val="16"/>
              </w:rPr>
              <w:t>Task 4</w:t>
            </w:r>
          </w:p>
        </w:tc>
        <w:tc>
          <w:tcPr>
            <w:tcW w:type="dxa" w:w="3408"/>
            <w:vAlign w:val="top"/>
          </w:tcPr>
          <w:p>
            <w:pPr>
              <w:spacing w:after="0"/>
            </w:pPr>
            <w:r/>
            <w:r>
              <w:rPr>
                <w:b w:val="0"/>
                <w:sz w:val="16"/>
              </w:rPr>
              <w:t>3/3</w:t>
            </w:r>
          </w:p>
        </w:tc>
        <w:tc>
          <w:tcPr>
            <w:tcW w:type="dxa" w:w="3408"/>
            <w:vAlign w:val="top"/>
          </w:tcPr>
          <w:p>
            <w:pPr>
              <w:spacing w:after="0"/>
            </w:pPr>
            <w:r/>
            <w:r>
              <w:rPr>
                <w:b w:val="0"/>
                <w:sz w:val="16"/>
              </w:rPr>
              <w:t>Participants understood that entry method results are descriptive and not causal proof.</w:t>
            </w:r>
          </w:p>
        </w:tc>
      </w:tr>
      <w:tr>
        <w:tc>
          <w:tcPr>
            <w:tcW w:type="dxa" w:w="3408"/>
            <w:vAlign w:val="top"/>
          </w:tcPr>
          <w:p>
            <w:pPr>
              <w:spacing w:after="0"/>
            </w:pPr>
            <w:r/>
            <w:r>
              <w:rPr>
                <w:b w:val="0"/>
                <w:sz w:val="16"/>
              </w:rPr>
              <w:t>Task 5</w:t>
            </w:r>
          </w:p>
        </w:tc>
        <w:tc>
          <w:tcPr>
            <w:tcW w:type="dxa" w:w="3408"/>
            <w:vAlign w:val="top"/>
          </w:tcPr>
          <w:p>
            <w:pPr>
              <w:spacing w:after="0"/>
            </w:pPr>
            <w:r/>
            <w:r>
              <w:rPr>
                <w:b w:val="0"/>
                <w:sz w:val="16"/>
              </w:rPr>
              <w:t>3/3</w:t>
            </w:r>
          </w:p>
        </w:tc>
        <w:tc>
          <w:tcPr>
            <w:tcW w:type="dxa" w:w="3408"/>
            <w:vAlign w:val="top"/>
          </w:tcPr>
          <w:p>
            <w:pPr>
              <w:spacing w:after="0"/>
            </w:pPr>
            <w:r/>
            <w:r>
              <w:rPr>
                <w:b w:val="0"/>
                <w:sz w:val="16"/>
              </w:rPr>
              <w:t>Participants could interpret simplified start zones.</w:t>
            </w:r>
          </w:p>
        </w:tc>
      </w:tr>
      <w:tr>
        <w:tc>
          <w:tcPr>
            <w:tcW w:type="dxa" w:w="3408"/>
            <w:vAlign w:val="top"/>
          </w:tcPr>
          <w:p>
            <w:pPr>
              <w:spacing w:after="0"/>
            </w:pPr>
            <w:r/>
            <w:r>
              <w:rPr>
                <w:b w:val="0"/>
                <w:sz w:val="16"/>
              </w:rPr>
              <w:t>Task 6</w:t>
            </w:r>
          </w:p>
        </w:tc>
        <w:tc>
          <w:tcPr>
            <w:tcW w:type="dxa" w:w="3408"/>
            <w:vAlign w:val="top"/>
          </w:tcPr>
          <w:p>
            <w:pPr>
              <w:spacing w:after="0"/>
            </w:pPr>
            <w:r/>
            <w:r>
              <w:rPr>
                <w:b w:val="0"/>
                <w:sz w:val="16"/>
              </w:rPr>
              <w:t>3/3</w:t>
            </w:r>
          </w:p>
        </w:tc>
        <w:tc>
          <w:tcPr>
            <w:tcW w:type="dxa" w:w="3408"/>
            <w:vAlign w:val="top"/>
          </w:tcPr>
          <w:p>
            <w:pPr>
              <w:spacing w:after="0"/>
            </w:pPr>
            <w:r/>
            <w:r>
              <w:rPr>
                <w:b w:val="0"/>
                <w:sz w:val="16"/>
              </w:rPr>
              <w:t>Participants understood directness as a style comparison, not a quality ranking.</w:t>
            </w:r>
          </w:p>
        </w:tc>
      </w:tr>
      <w:tr>
        <w:tc>
          <w:tcPr>
            <w:tcW w:type="dxa" w:w="3408"/>
            <w:vAlign w:val="top"/>
          </w:tcPr>
          <w:p>
            <w:pPr>
              <w:spacing w:after="0"/>
            </w:pPr>
            <w:r/>
            <w:r>
              <w:rPr>
                <w:b w:val="0"/>
                <w:sz w:val="16"/>
              </w:rPr>
              <w:t>Task 7</w:t>
            </w:r>
          </w:p>
        </w:tc>
        <w:tc>
          <w:tcPr>
            <w:tcW w:type="dxa" w:w="3408"/>
            <w:vAlign w:val="top"/>
          </w:tcPr>
          <w:p>
            <w:pPr>
              <w:spacing w:after="0"/>
            </w:pPr>
            <w:r/>
            <w:r>
              <w:rPr>
                <w:b w:val="0"/>
                <w:sz w:val="16"/>
              </w:rPr>
              <w:t>3/3</w:t>
            </w:r>
          </w:p>
        </w:tc>
        <w:tc>
          <w:tcPr>
            <w:tcW w:type="dxa" w:w="3408"/>
            <w:vAlign w:val="top"/>
          </w:tcPr>
          <w:p>
            <w:pPr>
              <w:spacing w:after="0"/>
            </w:pPr>
            <w:r/>
            <w:r>
              <w:rPr>
                <w:b w:val="0"/>
                <w:sz w:val="16"/>
              </w:rPr>
              <w:t>Participants understood the Spain use case after the caption explained xG and green zones.</w:t>
            </w:r>
          </w:p>
        </w:tc>
      </w:tr>
    </w:tbl>
    <w:p>
      <w:pPr>
        <w:pStyle w:val="Heading1"/>
      </w:pPr>
      <w:r>
        <w:t>5. Participant feedback and applied improvements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top"/>
          </w:tcPr>
          <w:p>
            <w:pPr>
              <w:spacing w:after="0"/>
            </w:pPr>
            <w:r/>
            <w:r>
              <w:rPr>
                <w:b/>
                <w:sz w:val="16"/>
              </w:rPr>
              <w:t>Participant</w:t>
            </w:r>
          </w:p>
        </w:tc>
        <w:tc>
          <w:tcPr>
            <w:tcW w:type="dxa" w:w="2045"/>
            <w:shd w:fill="D9EAF7"/>
            <w:vAlign w:val="top"/>
          </w:tcPr>
          <w:p>
            <w:pPr>
              <w:spacing w:after="0"/>
            </w:pPr>
            <w:r/>
            <w:r>
              <w:rPr>
                <w:b/>
                <w:sz w:val="16"/>
              </w:rPr>
              <w:t>Easiest figure</w:t>
            </w:r>
          </w:p>
        </w:tc>
        <w:tc>
          <w:tcPr>
            <w:tcW w:type="dxa" w:w="2045"/>
            <w:shd w:fill="D9EAF7"/>
            <w:vAlign w:val="top"/>
          </w:tcPr>
          <w:p>
            <w:pPr>
              <w:spacing w:after="0"/>
            </w:pPr>
            <w:r/>
            <w:r>
              <w:rPr>
                <w:b/>
                <w:sz w:val="16"/>
              </w:rPr>
              <w:t>Most confusing figure</w:t>
            </w:r>
          </w:p>
        </w:tc>
        <w:tc>
          <w:tcPr>
            <w:tcW w:type="dxa" w:w="2045"/>
            <w:shd w:fill="D9EAF7"/>
            <w:vAlign w:val="top"/>
          </w:tcPr>
          <w:p>
            <w:pPr>
              <w:spacing w:after="0"/>
            </w:pPr>
            <w:r/>
            <w:r>
              <w:rPr>
                <w:b/>
                <w:sz w:val="16"/>
              </w:rPr>
              <w:t>Main feedback</w:t>
            </w:r>
          </w:p>
        </w:tc>
        <w:tc>
          <w:tcPr>
            <w:tcW w:type="dxa" w:w="2045"/>
            <w:shd w:fill="D9EAF7"/>
            <w:vAlign w:val="top"/>
          </w:tcPr>
          <w:p>
            <w:pPr>
              <w:spacing w:after="0"/>
            </w:pPr>
            <w:r/>
            <w:r>
              <w:rPr>
                <w:b/>
                <w:sz w:val="16"/>
              </w:rPr>
              <w:t>Improvement applied</w:t>
            </w:r>
          </w:p>
        </w:tc>
      </w:tr>
      <w:tr>
        <w:tc>
          <w:tcPr>
            <w:tcW w:type="dxa" w:w="2045"/>
            <w:vAlign w:val="top"/>
          </w:tcPr>
          <w:p>
            <w:pPr>
              <w:spacing w:after="0"/>
            </w:pPr>
            <w:r/>
            <w:r>
              <w:rPr>
                <w:b w:val="0"/>
                <w:sz w:val="16"/>
              </w:rPr>
              <w:t>P1</w:t>
            </w:r>
          </w:p>
        </w:tc>
        <w:tc>
          <w:tcPr>
            <w:tcW w:type="dxa" w:w="2045"/>
            <w:vAlign w:val="top"/>
          </w:tcPr>
          <w:p>
            <w:pPr>
              <w:spacing w:after="0"/>
            </w:pPr>
            <w:r/>
            <w:r>
              <w:rPr>
                <w:b w:val="0"/>
                <w:sz w:val="16"/>
              </w:rPr>
              <w:t>Pass categories</w:t>
            </w:r>
          </w:p>
        </w:tc>
        <w:tc>
          <w:tcPr>
            <w:tcW w:type="dxa" w:w="2045"/>
            <w:vAlign w:val="top"/>
          </w:tcPr>
          <w:p>
            <w:pPr>
              <w:spacing w:after="0"/>
            </w:pPr>
            <w:r/>
            <w:r>
              <w:rPr>
                <w:b w:val="0"/>
                <w:sz w:val="16"/>
              </w:rPr>
              <w:t>Spain use case</w:t>
            </w:r>
          </w:p>
        </w:tc>
        <w:tc>
          <w:tcPr>
            <w:tcW w:type="dxa" w:w="2045"/>
            <w:vAlign w:val="top"/>
          </w:tcPr>
          <w:p>
            <w:pPr>
              <w:spacing w:after="0"/>
            </w:pPr>
            <w:r/>
            <w:r>
              <w:rPr>
                <w:b w:val="0"/>
                <w:sz w:val="16"/>
              </w:rPr>
              <w:t>The Spain plot is interesting but needs a direct xG explanation.</w:t>
            </w:r>
          </w:p>
        </w:tc>
        <w:tc>
          <w:tcPr>
            <w:tcW w:type="dxa" w:w="2045"/>
            <w:vAlign w:val="top"/>
          </w:tcPr>
          <w:p>
            <w:pPr>
              <w:spacing w:after="0"/>
            </w:pPr>
            <w:r/>
            <w:r>
              <w:rPr>
                <w:b w:val="0"/>
                <w:sz w:val="16"/>
              </w:rPr>
              <w:t>Added xG explanation in the plot caption and report text.</w:t>
            </w:r>
          </w:p>
        </w:tc>
      </w:tr>
      <w:tr>
        <w:tc>
          <w:tcPr>
            <w:tcW w:type="dxa" w:w="2045"/>
            <w:vAlign w:val="top"/>
          </w:tcPr>
          <w:p>
            <w:pPr>
              <w:spacing w:after="0"/>
            </w:pPr>
            <w:r/>
            <w:r>
              <w:rPr>
                <w:b w:val="0"/>
                <w:sz w:val="16"/>
              </w:rPr>
              <w:t>P2</w:t>
            </w:r>
          </w:p>
        </w:tc>
        <w:tc>
          <w:tcPr>
            <w:tcW w:type="dxa" w:w="2045"/>
            <w:vAlign w:val="top"/>
          </w:tcPr>
          <w:p>
            <w:pPr>
              <w:spacing w:after="0"/>
            </w:pPr>
            <w:r/>
            <w:r>
              <w:rPr>
                <w:b w:val="0"/>
                <w:sz w:val="16"/>
              </w:rPr>
              <w:t>Team Directness Ranking</w:t>
            </w:r>
          </w:p>
        </w:tc>
        <w:tc>
          <w:tcPr>
            <w:tcW w:type="dxa" w:w="2045"/>
            <w:vAlign w:val="top"/>
          </w:tcPr>
          <w:p>
            <w:pPr>
              <w:spacing w:after="0"/>
            </w:pPr>
            <w:r/>
            <w:r>
              <w:rPr>
                <w:b w:val="0"/>
                <w:sz w:val="16"/>
              </w:rPr>
              <w:t>Entry method</w:t>
            </w:r>
          </w:p>
        </w:tc>
        <w:tc>
          <w:tcPr>
            <w:tcW w:type="dxa" w:w="2045"/>
            <w:vAlign w:val="top"/>
          </w:tcPr>
          <w:p>
            <w:pPr>
              <w:spacing w:after="0"/>
            </w:pPr>
            <w:r/>
            <w:r>
              <w:rPr>
                <w:b w:val="0"/>
                <w:sz w:val="16"/>
              </w:rPr>
              <w:t>The entry-method chart needs a clear warning against causal interpretation.</w:t>
            </w:r>
          </w:p>
        </w:tc>
        <w:tc>
          <w:tcPr>
            <w:tcW w:type="dxa" w:w="2045"/>
            <w:vAlign w:val="top"/>
          </w:tcPr>
          <w:p>
            <w:pPr>
              <w:spacing w:after="0"/>
            </w:pPr>
            <w:r/>
            <w:r>
              <w:rPr>
                <w:b w:val="0"/>
                <w:sz w:val="16"/>
              </w:rPr>
              <w:t>Added descriptive-not-causal wording in the report.</w:t>
            </w:r>
          </w:p>
        </w:tc>
      </w:tr>
      <w:tr>
        <w:tc>
          <w:tcPr>
            <w:tcW w:type="dxa" w:w="2045"/>
            <w:vAlign w:val="top"/>
          </w:tcPr>
          <w:p>
            <w:pPr>
              <w:spacing w:after="0"/>
            </w:pPr>
            <w:r/>
            <w:r>
              <w:rPr>
                <w:b w:val="0"/>
                <w:sz w:val="16"/>
              </w:rPr>
              <w:t>P3</w:t>
            </w:r>
          </w:p>
        </w:tc>
        <w:tc>
          <w:tcPr>
            <w:tcW w:type="dxa" w:w="2045"/>
            <w:vAlign w:val="top"/>
          </w:tcPr>
          <w:p>
            <w:pPr>
              <w:spacing w:after="0"/>
            </w:pPr>
            <w:r/>
            <w:r>
              <w:rPr>
                <w:b w:val="0"/>
                <w:sz w:val="16"/>
              </w:rPr>
              <w:t>Figure 1</w:t>
            </w:r>
          </w:p>
        </w:tc>
        <w:tc>
          <w:tcPr>
            <w:tcW w:type="dxa" w:w="2045"/>
            <w:vAlign w:val="top"/>
          </w:tcPr>
          <w:p>
            <w:pPr>
              <w:spacing w:after="0"/>
            </w:pPr>
            <w:r/>
            <w:r>
              <w:rPr>
                <w:b w:val="0"/>
                <w:sz w:val="16"/>
              </w:rPr>
              <w:t>Figure 4</w:t>
            </w:r>
          </w:p>
        </w:tc>
        <w:tc>
          <w:tcPr>
            <w:tcW w:type="dxa" w:w="2045"/>
            <w:vAlign w:val="top"/>
          </w:tcPr>
          <w:p>
            <w:pPr>
              <w:spacing w:after="0"/>
            </w:pPr>
            <w:r/>
            <w:r>
              <w:rPr>
                <w:b w:val="0"/>
                <w:sz w:val="16"/>
              </w:rPr>
              <w:t>Simple comparison charts were easiest. Multi-information charts need stronger captions.</w:t>
            </w:r>
          </w:p>
        </w:tc>
        <w:tc>
          <w:tcPr>
            <w:tcW w:type="dxa" w:w="2045"/>
            <w:vAlign w:val="top"/>
          </w:tcPr>
          <w:p>
            <w:pPr>
              <w:spacing w:after="0"/>
            </w:pPr>
            <w:r/>
            <w:r>
              <w:rPr>
                <w:b w:val="0"/>
                <w:sz w:val="16"/>
              </w:rPr>
              <w:t>Captions and explanations were strengthened.</w:t>
            </w:r>
          </w:p>
        </w:tc>
      </w:tr>
    </w:tbl>
    <w:p>
      <w:r>
        <w:br w:type="page"/>
      </w:r>
    </w:p>
    <w:p>
      <w:pPr>
        <w:pStyle w:val="Heading1"/>
      </w:pPr>
      <w:r>
        <w:t>6. Detailed participant answers</w:t>
      </w:r>
    </w:p>
    <w:p>
      <w:pPr>
        <w:pStyle w:val="Heading2"/>
      </w:pPr>
      <w:r>
        <w:t>P1</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0"/>
            </w:pPr>
            <w:r/>
            <w:r>
              <w:rPr>
                <w:b/>
                <w:sz w:val="16"/>
              </w:rPr>
              <w:t>Task</w:t>
            </w:r>
          </w:p>
        </w:tc>
        <w:tc>
          <w:tcPr>
            <w:tcW w:type="dxa" w:w="3408"/>
            <w:shd w:fill="D9EAF7"/>
            <w:vAlign w:val="top"/>
          </w:tcPr>
          <w:p>
            <w:pPr>
              <w:spacing w:after="0"/>
            </w:pPr>
            <w:r/>
            <w:r>
              <w:rPr>
                <w:b/>
                <w:sz w:val="16"/>
              </w:rPr>
              <w:t>Answer</w:t>
            </w:r>
          </w:p>
        </w:tc>
        <w:tc>
          <w:tcPr>
            <w:tcW w:type="dxa" w:w="3408"/>
            <w:shd w:fill="D9EAF7"/>
            <w:vAlign w:val="top"/>
          </w:tcPr>
          <w:p>
            <w:pPr>
              <w:spacing w:after="0"/>
            </w:pPr>
            <w:r/>
            <w:r>
              <w:rPr>
                <w:b/>
                <w:sz w:val="16"/>
              </w:rPr>
              <w:t>Correct</w:t>
            </w:r>
          </w:p>
        </w:tc>
      </w:tr>
      <w:tr>
        <w:tc>
          <w:tcPr>
            <w:tcW w:type="dxa" w:w="3408"/>
            <w:vAlign w:val="top"/>
          </w:tcPr>
          <w:p>
            <w:pPr>
              <w:spacing w:after="0"/>
            </w:pPr>
            <w:r/>
            <w:r>
              <w:rPr>
                <w:b w:val="0"/>
                <w:sz w:val="16"/>
              </w:rPr>
              <w:t>Task 1</w:t>
            </w:r>
          </w:p>
        </w:tc>
        <w:tc>
          <w:tcPr>
            <w:tcW w:type="dxa" w:w="3408"/>
            <w:vAlign w:val="top"/>
          </w:tcPr>
          <w:p>
            <w:pPr>
              <w:spacing w:after="0"/>
            </w:pPr>
            <w:r/>
            <w:r>
              <w:rPr>
                <w:b w:val="0"/>
                <w:sz w:val="16"/>
              </w:rPr>
              <w:t>Shots and goals happen mostly after few passes, especially 0-3 passes.</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2</w:t>
            </w:r>
          </w:p>
        </w:tc>
        <w:tc>
          <w:tcPr>
            <w:tcW w:type="dxa" w:w="3408"/>
            <w:vAlign w:val="top"/>
          </w:tcPr>
          <w:p>
            <w:pPr>
              <w:spacing w:after="0"/>
            </w:pPr>
            <w:r/>
            <w:r>
              <w:rPr>
                <w:b w:val="0"/>
                <w:sz w:val="16"/>
              </w:rPr>
              <w:t>The 4-6 pass category has the highest conversion rate, but this does not prove it is always best.</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3</w:t>
            </w:r>
          </w:p>
        </w:tc>
        <w:tc>
          <w:tcPr>
            <w:tcW w:type="dxa" w:w="3408"/>
            <w:vAlign w:val="top"/>
          </w:tcPr>
          <w:p>
            <w:pPr>
              <w:spacing w:after="0"/>
            </w:pPr>
            <w:r/>
            <w:r>
              <w:rPr>
                <w:b w:val="0"/>
                <w:sz w:val="16"/>
              </w:rPr>
              <w:t>Brazil, France or Argentina often create shots after entries. Shot rate is higher than goal rate because not every shot becomes a goal.</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4</w:t>
            </w:r>
          </w:p>
        </w:tc>
        <w:tc>
          <w:tcPr>
            <w:tcW w:type="dxa" w:w="3408"/>
            <w:vAlign w:val="top"/>
          </w:tcPr>
          <w:p>
            <w:pPr>
              <w:spacing w:after="0"/>
            </w:pPr>
            <w:r/>
            <w:r>
              <w:rPr>
                <w:b w:val="0"/>
                <w:sz w:val="16"/>
              </w:rPr>
              <w:t>Long passes have the highest shot rate, but this does not prove causality.</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5</w:t>
            </w:r>
          </w:p>
        </w:tc>
        <w:tc>
          <w:tcPr>
            <w:tcW w:type="dxa" w:w="3408"/>
            <w:vAlign w:val="top"/>
          </w:tcPr>
          <w:p>
            <w:pPr>
              <w:spacing w:after="0"/>
            </w:pPr>
            <w:r/>
            <w:r>
              <w:rPr>
                <w:b w:val="0"/>
                <w:sz w:val="16"/>
              </w:rPr>
              <w:t>Direct goals often start in midfield; longer categories also include deeper starts.</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6</w:t>
            </w:r>
          </w:p>
        </w:tc>
        <w:tc>
          <w:tcPr>
            <w:tcW w:type="dxa" w:w="3408"/>
            <w:vAlign w:val="top"/>
          </w:tcPr>
          <w:p>
            <w:pPr>
              <w:spacing w:after="0"/>
            </w:pPr>
            <w:r/>
            <w:r>
              <w:rPr>
                <w:b w:val="0"/>
                <w:sz w:val="16"/>
              </w:rPr>
              <w:t>Spain is patient, Mexico or Ecuador are more direct. It is a style comparison, not a quality ranking.</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7</w:t>
            </w:r>
          </w:p>
        </w:tc>
        <w:tc>
          <w:tcPr>
            <w:tcW w:type="dxa" w:w="3408"/>
            <w:vAlign w:val="top"/>
          </w:tcPr>
          <w:p>
            <w:pPr>
              <w:spacing w:after="0"/>
            </w:pPr>
            <w:r/>
            <w:r>
              <w:rPr>
                <w:b w:val="0"/>
                <w:sz w:val="16"/>
              </w:rPr>
              <w:t>Lines show entries to shots, green zones show total xG. The coach could train entries and support runs in dangerous zones.</w:t>
            </w:r>
          </w:p>
        </w:tc>
        <w:tc>
          <w:tcPr>
            <w:tcW w:type="dxa" w:w="3408"/>
            <w:vAlign w:val="top"/>
          </w:tcPr>
          <w:p>
            <w:pPr>
              <w:spacing w:after="0"/>
            </w:pPr>
            <w:r/>
            <w:r>
              <w:rPr>
                <w:b w:val="0"/>
                <w:sz w:val="16"/>
              </w:rPr>
              <w:t>yes</w:t>
            </w:r>
          </w:p>
        </w:tc>
      </w:tr>
    </w:tbl>
    <w:p>
      <w:pPr>
        <w:pStyle w:val="Heading2"/>
      </w:pPr>
      <w:r>
        <w:t>P2</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0"/>
            </w:pPr>
            <w:r/>
            <w:r>
              <w:rPr>
                <w:b/>
                <w:sz w:val="16"/>
              </w:rPr>
              <w:t>Task</w:t>
            </w:r>
          </w:p>
        </w:tc>
        <w:tc>
          <w:tcPr>
            <w:tcW w:type="dxa" w:w="3408"/>
            <w:shd w:fill="D9EAF7"/>
            <w:vAlign w:val="top"/>
          </w:tcPr>
          <w:p>
            <w:pPr>
              <w:spacing w:after="0"/>
            </w:pPr>
            <w:r/>
            <w:r>
              <w:rPr>
                <w:b/>
                <w:sz w:val="16"/>
              </w:rPr>
              <w:t>Answer</w:t>
            </w:r>
          </w:p>
        </w:tc>
        <w:tc>
          <w:tcPr>
            <w:tcW w:type="dxa" w:w="3408"/>
            <w:shd w:fill="D9EAF7"/>
            <w:vAlign w:val="top"/>
          </w:tcPr>
          <w:p>
            <w:pPr>
              <w:spacing w:after="0"/>
            </w:pPr>
            <w:r/>
            <w:r>
              <w:rPr>
                <w:b/>
                <w:sz w:val="16"/>
              </w:rPr>
              <w:t>Correct</w:t>
            </w:r>
          </w:p>
        </w:tc>
      </w:tr>
      <w:tr>
        <w:tc>
          <w:tcPr>
            <w:tcW w:type="dxa" w:w="3408"/>
            <w:vAlign w:val="top"/>
          </w:tcPr>
          <w:p>
            <w:pPr>
              <w:spacing w:after="0"/>
            </w:pPr>
            <w:r/>
            <w:r>
              <w:rPr>
                <w:b w:val="0"/>
                <w:sz w:val="16"/>
              </w:rPr>
              <w:t>Task 1</w:t>
            </w:r>
          </w:p>
        </w:tc>
        <w:tc>
          <w:tcPr>
            <w:tcW w:type="dxa" w:w="3408"/>
            <w:vAlign w:val="top"/>
          </w:tcPr>
          <w:p>
            <w:pPr>
              <w:spacing w:after="0"/>
            </w:pPr>
            <w:r/>
            <w:r>
              <w:rPr>
                <w:b w:val="0"/>
                <w:sz w:val="16"/>
              </w:rPr>
              <w:t>Few and medium pass sequences are more important than very long sequences.</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2</w:t>
            </w:r>
          </w:p>
        </w:tc>
        <w:tc>
          <w:tcPr>
            <w:tcW w:type="dxa" w:w="3408"/>
            <w:vAlign w:val="top"/>
          </w:tcPr>
          <w:p>
            <w:pPr>
              <w:spacing w:after="0"/>
            </w:pPr>
            <w:r/>
            <w:r>
              <w:rPr>
                <w:b w:val="0"/>
                <w:sz w:val="16"/>
              </w:rPr>
              <w:t>4-6 has the highest rate; still other factors matter.</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3</w:t>
            </w:r>
          </w:p>
        </w:tc>
        <w:tc>
          <w:tcPr>
            <w:tcW w:type="dxa" w:w="3408"/>
            <w:vAlign w:val="top"/>
          </w:tcPr>
          <w:p>
            <w:pPr>
              <w:spacing w:after="0"/>
            </w:pPr>
            <w:r/>
            <w:r>
              <w:rPr>
                <w:b w:val="0"/>
                <w:sz w:val="16"/>
              </w:rPr>
              <w:t>Brazil creates many shots after entries. Goal rate is lower because scoring is harder than shooting.</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4</w:t>
            </w:r>
          </w:p>
        </w:tc>
        <w:tc>
          <w:tcPr>
            <w:tcW w:type="dxa" w:w="3408"/>
            <w:vAlign w:val="top"/>
          </w:tcPr>
          <w:p>
            <w:pPr>
              <w:spacing w:after="0"/>
            </w:pPr>
            <w:r/>
            <w:r>
              <w:rPr>
                <w:b w:val="0"/>
                <w:sz w:val="16"/>
              </w:rPr>
              <w:t>Long passes seem effective, but the chart should not be read as long passes are always better.</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5</w:t>
            </w:r>
          </w:p>
        </w:tc>
        <w:tc>
          <w:tcPr>
            <w:tcW w:type="dxa" w:w="3408"/>
            <w:vAlign w:val="top"/>
          </w:tcPr>
          <w:p>
            <w:pPr>
              <w:spacing w:after="0"/>
            </w:pPr>
            <w:r/>
            <w:r>
              <w:rPr>
                <w:b w:val="0"/>
                <w:sz w:val="16"/>
              </w:rPr>
              <w:t>Many direct attacks start in midfield.</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6</w:t>
            </w:r>
          </w:p>
        </w:tc>
        <w:tc>
          <w:tcPr>
            <w:tcW w:type="dxa" w:w="3408"/>
            <w:vAlign w:val="top"/>
          </w:tcPr>
          <w:p>
            <w:pPr>
              <w:spacing w:after="0"/>
            </w:pPr>
            <w:r/>
            <w:r>
              <w:rPr>
                <w:b w:val="0"/>
                <w:sz w:val="16"/>
              </w:rPr>
              <w:t>Spain is the most patient team in the ranking; directness is not the same as quality.</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7</w:t>
            </w:r>
          </w:p>
        </w:tc>
        <w:tc>
          <w:tcPr>
            <w:tcW w:type="dxa" w:w="3408"/>
            <w:vAlign w:val="top"/>
          </w:tcPr>
          <w:p>
            <w:pPr>
              <w:spacing w:after="0"/>
            </w:pPr>
            <w:r/>
            <w:r>
              <w:rPr>
                <w:b w:val="0"/>
                <w:sz w:val="16"/>
              </w:rPr>
              <w:t>The green areas mean chance quality by lane. It became clear after reading the caption.</w:t>
            </w:r>
          </w:p>
        </w:tc>
        <w:tc>
          <w:tcPr>
            <w:tcW w:type="dxa" w:w="3408"/>
            <w:vAlign w:val="top"/>
          </w:tcPr>
          <w:p>
            <w:pPr>
              <w:spacing w:after="0"/>
            </w:pPr>
            <w:r/>
            <w:r>
              <w:rPr>
                <w:b w:val="0"/>
                <w:sz w:val="16"/>
              </w:rPr>
              <w:t>yes</w:t>
            </w:r>
          </w:p>
        </w:tc>
      </w:tr>
    </w:tbl>
    <w:p>
      <w:pPr>
        <w:pStyle w:val="Heading2"/>
      </w:pPr>
      <w:r>
        <w:t>P3</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0"/>
            </w:pPr>
            <w:r/>
            <w:r>
              <w:rPr>
                <w:b/>
                <w:sz w:val="16"/>
              </w:rPr>
              <w:t>Task</w:t>
            </w:r>
          </w:p>
        </w:tc>
        <w:tc>
          <w:tcPr>
            <w:tcW w:type="dxa" w:w="3408"/>
            <w:shd w:fill="D9EAF7"/>
            <w:vAlign w:val="top"/>
          </w:tcPr>
          <w:p>
            <w:pPr>
              <w:spacing w:after="0"/>
            </w:pPr>
            <w:r/>
            <w:r>
              <w:rPr>
                <w:b/>
                <w:sz w:val="16"/>
              </w:rPr>
              <w:t>Answer</w:t>
            </w:r>
          </w:p>
        </w:tc>
        <w:tc>
          <w:tcPr>
            <w:tcW w:type="dxa" w:w="3408"/>
            <w:shd w:fill="D9EAF7"/>
            <w:vAlign w:val="top"/>
          </w:tcPr>
          <w:p>
            <w:pPr>
              <w:spacing w:after="0"/>
            </w:pPr>
            <w:r/>
            <w:r>
              <w:rPr>
                <w:b/>
                <w:sz w:val="16"/>
              </w:rPr>
              <w:t>Correct</w:t>
            </w:r>
          </w:p>
        </w:tc>
      </w:tr>
      <w:tr>
        <w:tc>
          <w:tcPr>
            <w:tcW w:type="dxa" w:w="3408"/>
            <w:vAlign w:val="top"/>
          </w:tcPr>
          <w:p>
            <w:pPr>
              <w:spacing w:after="0"/>
            </w:pPr>
            <w:r/>
            <w:r>
              <w:rPr>
                <w:b w:val="0"/>
                <w:sz w:val="16"/>
              </w:rPr>
              <w:t>Task 1</w:t>
            </w:r>
          </w:p>
        </w:tc>
        <w:tc>
          <w:tcPr>
            <w:tcW w:type="dxa" w:w="3408"/>
            <w:vAlign w:val="top"/>
          </w:tcPr>
          <w:p>
            <w:pPr>
              <w:spacing w:after="0"/>
            </w:pPr>
            <w:r/>
            <w:r>
              <w:rPr>
                <w:b w:val="0"/>
                <w:sz w:val="16"/>
              </w:rPr>
              <w:t>The 0-3 category is largest for shots and goals.</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2</w:t>
            </w:r>
          </w:p>
        </w:tc>
        <w:tc>
          <w:tcPr>
            <w:tcW w:type="dxa" w:w="3408"/>
            <w:vAlign w:val="top"/>
          </w:tcPr>
          <w:p>
            <w:pPr>
              <w:spacing w:after="0"/>
            </w:pPr>
            <w:r/>
            <w:r>
              <w:rPr>
                <w:b w:val="0"/>
                <w:sz w:val="16"/>
              </w:rPr>
              <w:t>4-6 appears most efficient, but sample and context matter.</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3</w:t>
            </w:r>
          </w:p>
        </w:tc>
        <w:tc>
          <w:tcPr>
            <w:tcW w:type="dxa" w:w="3408"/>
            <w:vAlign w:val="top"/>
          </w:tcPr>
          <w:p>
            <w:pPr>
              <w:spacing w:after="0"/>
            </w:pPr>
            <w:r/>
            <w:r>
              <w:rPr>
                <w:b w:val="0"/>
                <w:sz w:val="16"/>
              </w:rPr>
              <w:t>France or Argentina are easy to identify. The red goal dots are smaller because goals are rarer.</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4</w:t>
            </w:r>
          </w:p>
        </w:tc>
        <w:tc>
          <w:tcPr>
            <w:tcW w:type="dxa" w:w="3408"/>
            <w:vAlign w:val="top"/>
          </w:tcPr>
          <w:p>
            <w:pPr>
              <w:spacing w:after="0"/>
            </w:pPr>
            <w:r/>
            <w:r>
              <w:rPr>
                <w:b w:val="0"/>
                <w:sz w:val="16"/>
              </w:rPr>
              <w:t>Long pass has the highest shot rate after entry. It is useful as a training idea, not a universal rule.</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5</w:t>
            </w:r>
          </w:p>
        </w:tc>
        <w:tc>
          <w:tcPr>
            <w:tcW w:type="dxa" w:w="3408"/>
            <w:vAlign w:val="top"/>
          </w:tcPr>
          <w:p>
            <w:pPr>
              <w:spacing w:after="0"/>
            </w:pPr>
            <w:r/>
            <w:r>
              <w:rPr>
                <w:b w:val="0"/>
                <w:sz w:val="16"/>
              </w:rPr>
              <w:t>The simplified zones are easier than a heatmap.</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6</w:t>
            </w:r>
          </w:p>
        </w:tc>
        <w:tc>
          <w:tcPr>
            <w:tcW w:type="dxa" w:w="3408"/>
            <w:vAlign w:val="top"/>
          </w:tcPr>
          <w:p>
            <w:pPr>
              <w:spacing w:after="0"/>
            </w:pPr>
            <w:r/>
            <w:r>
              <w:rPr>
                <w:b w:val="0"/>
                <w:sz w:val="16"/>
              </w:rPr>
              <w:t>Spain is patient; Mexico or Ecuador are direct. The plot shows style differences.</w:t>
            </w:r>
          </w:p>
        </w:tc>
        <w:tc>
          <w:tcPr>
            <w:tcW w:type="dxa" w:w="3408"/>
            <w:vAlign w:val="top"/>
          </w:tcPr>
          <w:p>
            <w:pPr>
              <w:spacing w:after="0"/>
            </w:pPr>
            <w:r/>
            <w:r>
              <w:rPr>
                <w:b w:val="0"/>
                <w:sz w:val="16"/>
              </w:rPr>
              <w:t>yes</w:t>
            </w:r>
          </w:p>
        </w:tc>
      </w:tr>
      <w:tr>
        <w:tc>
          <w:tcPr>
            <w:tcW w:type="dxa" w:w="3408"/>
            <w:vAlign w:val="top"/>
          </w:tcPr>
          <w:p>
            <w:pPr>
              <w:spacing w:after="0"/>
            </w:pPr>
            <w:r/>
            <w:r>
              <w:rPr>
                <w:b w:val="0"/>
                <w:sz w:val="16"/>
              </w:rPr>
              <w:t>Task 7</w:t>
            </w:r>
          </w:p>
        </w:tc>
        <w:tc>
          <w:tcPr>
            <w:tcW w:type="dxa" w:w="3408"/>
            <w:vAlign w:val="top"/>
          </w:tcPr>
          <w:p>
            <w:pPr>
              <w:spacing w:after="0"/>
            </w:pPr>
            <w:r/>
            <w:r>
              <w:rPr>
                <w:b w:val="0"/>
                <w:sz w:val="16"/>
              </w:rPr>
              <w:t>The Spain plot shows where Spain generated xG after final-third entries.</w:t>
            </w:r>
          </w:p>
        </w:tc>
        <w:tc>
          <w:tcPr>
            <w:tcW w:type="dxa" w:w="3408"/>
            <w:vAlign w:val="top"/>
          </w:tcPr>
          <w:p>
            <w:pPr>
              <w:spacing w:after="0"/>
            </w:pPr>
            <w:r/>
            <w:r>
              <w:rPr>
                <w:b w:val="0"/>
                <w:sz w:val="16"/>
              </w:rPr>
              <w:t>yes</w:t>
            </w:r>
          </w:p>
        </w:tc>
      </w:tr>
    </w:tbl>
    <w:p>
      <w:pPr>
        <w:pStyle w:val="Heading1"/>
      </w:pPr>
      <w:r>
        <w:t>7. Evaluation summary</w:t>
      </w:r>
    </w:p>
    <w:p>
      <w:r>
        <w:t>A small formative evaluation was conducted with three football-interested participants. The goal was to check whether the final static GDV visualizations communicate the intended insights for amateur football training clearly.</w:t>
      </w:r>
    </w:p>
    <w:p>
      <w:r>
        <w:t>The participants answered tasks about pass categories, goal conversion rate, final-third entries, entry methods, start zones, team directness and the Spain use case. The evaluation was not designed as a statistical study. Its purpose was to identify misunderstandings and improve the final visual design.</w:t>
      </w:r>
    </w:p>
    <w:p>
      <w:r>
        <w:t>Overall, the first two figures were easiest to understand. Participants quickly understood that many shots and goals happen after few or medium-length passing sequences. The Team Directness Ranking was also understandable because the sorted lollipop design made the ranking clear.</w:t>
      </w:r>
    </w:p>
    <w:p>
      <w:r>
        <w:t>The more complex figures required more explanation. In the entry-method figure, participants needed a reminder that a higher shot rate does not prove that long passes are always better. In the Spain use-case figure, participants understood the idea only after xG and the meaning of the green zones were explained directly.</w:t>
      </w:r>
    </w:p>
    <w:p>
      <w:r>
        <w:t>The main design risk was causal interpretation. Viewers could read higher conversion rates or higher shot rates as proof that one attacking method is always superior. Therefore, the report was revised to state clearly that the analysis is descriptive and does not prove causality.</w:t>
      </w:r>
    </w:p>
    <w:p>
      <w:r>
        <w:t>The following improvements were applied after the evaluation:</w:t>
      </w:r>
    </w:p>
    <w:p>
      <w:r>
        <w:t>1. Category definitions were explained before interpreting the figures.</w:t>
      </w:r>
    </w:p>
    <w:p>
      <w:r>
        <w:t>2. Titles and captions were made more explicit.</w:t>
      </w:r>
    </w:p>
    <w:p>
      <w:r>
        <w:t>3. xG was explained directly in the Spain figure and in the report text.</w:t>
      </w:r>
    </w:p>
    <w:p>
      <w:r>
        <w:t>4. The text now states that Penalty-Shootouts were excluded and that in-game set pieces remain part of the attacking context.</w:t>
      </w:r>
    </w:p>
    <w:p>
      <w:r>
        <w:t>5. The limitations section was strengthened to mention event-data limits, missing off-ball movement and the limited transferability from professional football to amateur training.</w:t>
      </w:r>
    </w:p>
    <w:p>
      <w:pPr>
        <w:jc w:val="center"/>
      </w:pPr>
      <w:r>
        <w:rPr>
          <w:i/>
          <w:sz w:val="16"/>
        </w:rPr>
        <w:t>Source files combined: gdv_evaluation_tasks_final.md, gdv_evaluation_results_final.csv, gdv_evaluation_summary_final.md</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