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10"/>
      </w:pPr>
      <w:r>
        <w:rPr>
          <w:rFonts w:ascii="Aptos" w:hAnsi="Aptos"/>
          <w:b/>
          <w:i w:val="0"/>
          <w:color w:val="265C80"/>
          <w:sz w:val="18"/>
        </w:rPr>
        <w:t>THESENPAPIER</w:t>
      </w:r>
    </w:p>
    <w:p>
      <w:pPr>
        <w:spacing w:after="20"/>
      </w:pPr>
      <w:r>
        <w:rPr>
          <w:rFonts w:ascii="Aptos Display" w:hAnsi="Aptos Display"/>
          <w:b/>
          <w:i w:val="0"/>
          <w:color w:val="1F3042"/>
          <w:sz w:val="41"/>
        </w:rPr>
        <w:t>Nietzsche und die Lebenswissenschaften</w:t>
      </w:r>
    </w:p>
    <w:p>
      <w:pPr>
        <w:spacing w:after="100"/>
      </w:pPr>
      <w:r>
        <w:rPr>
          <w:rFonts w:ascii="Aptos" w:hAnsi="Aptos"/>
          <w:b w:val="0"/>
          <w:i/>
          <w:color w:val="5B656F"/>
          <w:sz w:val="18"/>
        </w:rPr>
        <w:t>Textgrundlage: Dirk Solies, „Nietzsche und die Lebenswissenschaften“, S. 107 bis 118</w:t>
      </w:r>
    </w:p>
    <w:p>
      <w:pPr>
        <w:spacing w:after="100"/>
        <w:ind w:left="198" w:right="113"/>
        <w:shd w:fill="EAF1F5"/>
        <w:pBdr>
          <w:left w:val="single" w:sz="18" w:space="8" w:color="9BB5C7"/>
        </w:pBdr>
      </w:pPr>
      <w:r>
        <w:rPr>
          <w:rFonts w:ascii="Aptos" w:hAnsi="Aptos"/>
          <w:b/>
          <w:i w:val="0"/>
          <w:color w:val="265C80"/>
          <w:sz w:val="19"/>
        </w:rPr>
        <w:t xml:space="preserve">Leitgedanke  </w:t>
      </w:r>
      <w:r>
        <w:rPr>
          <w:rFonts w:ascii="Aptos" w:hAnsi="Aptos"/>
          <w:b/>
          <w:i w:val="0"/>
          <w:color w:val="1F3042"/>
          <w:sz w:val="19"/>
        </w:rPr>
        <w:t>Nietzsche übernimmt naturwissenschaftliche Theorien nicht einfach. Er wählt bestimmte Gedanken aus, kritisiert sie und entwickelt daraus seine eigene Philosophie des Lebens.</w:t>
      </w:r>
    </w:p>
    <w:p>
      <w:pPr>
        <w:pStyle w:val="Heading1"/>
        <w:keepNext/>
        <w:pageBreakBefore w:val="0"/>
        <w:spacing w:before="140" w:after="60"/>
      </w:pPr>
      <w:r>
        <w:rPr>
          <w:rFonts w:ascii="Aptos Display" w:hAnsi="Aptos Display"/>
          <w:b/>
          <w:i w:val="0"/>
          <w:color w:val="265C80"/>
          <w:sz w:val="25"/>
        </w:rPr>
        <w:t>Zentrale Thesen</w:t>
      </w:r>
    </w:p>
    <w:p>
      <w:pPr>
        <w:pStyle w:val="Thesis"/>
        <w:keepNext/>
      </w:pPr>
      <w:r>
        <w:rPr>
          <w:rFonts w:ascii="Aptos" w:hAnsi="Aptos"/>
          <w:b/>
          <w:i w:val="0"/>
          <w:color w:val="265C80"/>
          <w:sz w:val="20"/>
        </w:rPr>
        <w:t xml:space="preserve">These 1: </w:t>
      </w:r>
      <w:r>
        <w:rPr>
          <w:rFonts w:ascii="Aptos" w:hAnsi="Aptos"/>
          <w:b/>
          <w:i w:val="0"/>
          <w:color w:val="1F3042"/>
          <w:sz w:val="20"/>
        </w:rPr>
        <w:t>Die Lebenswissenschaften dienen Nietzsche als Gegenmittel zum Idealismus.</w:t>
      </w:r>
    </w:p>
    <w:p>
      <w:pPr>
        <w:pStyle w:val="Explanation"/>
        <w:keepNext/>
        <w:keepLines/>
      </w:pPr>
      <w:r>
        <w:rPr>
          <w:rFonts w:ascii="Aptos" w:hAnsi="Aptos"/>
          <w:b w:val="0"/>
          <w:i w:val="0"/>
          <w:color w:val="1F3042"/>
          <w:sz w:val="19"/>
        </w:rPr>
        <w:t>Die Beschäftigung mit Körper, Physiologie und Natur soll den Blick von Gott, Seele und metaphysischen Hinterwelten auf die erfahrbare Wirklichkeit zurückführen.</w:t>
      </w:r>
    </w:p>
    <w:p>
      <w:pPr>
        <w:pStyle w:val="CitationQuote"/>
        <w:keepLines/>
      </w:pPr>
      <w:r>
        <w:rPr>
          <w:rFonts w:ascii="Aptos" w:hAnsi="Aptos"/>
          <w:b/>
          <w:i w:val="0"/>
          <w:color w:val="265C80"/>
          <w:sz w:val="18"/>
        </w:rPr>
        <w:t xml:space="preserve">Zitat: </w:t>
      </w:r>
      <w:r>
        <w:rPr>
          <w:rFonts w:ascii="Aptos" w:hAnsi="Aptos"/>
          <w:b w:val="0"/>
          <w:i/>
          <w:color w:val="1F3042"/>
          <w:sz w:val="18"/>
        </w:rPr>
        <w:t xml:space="preserve">„primär als philosophisches Antidot gegen die kulturellen und moralischen Implikationen eines falschen, durch das Christentum inaugurierten Idealismus“ </w:t>
      </w:r>
      <w:r>
        <w:rPr>
          <w:rFonts w:ascii="Aptos" w:hAnsi="Aptos"/>
          <w:b w:val="0"/>
          <w:i w:val="0"/>
          <w:color w:val="5B656F"/>
          <w:sz w:val="17"/>
        </w:rPr>
        <w:t>(Solies, S. 107)</w:t>
      </w:r>
    </w:p>
    <w:p>
      <w:pPr>
        <w:pStyle w:val="Thesis"/>
        <w:keepNext/>
      </w:pPr>
      <w:r>
        <w:rPr>
          <w:rFonts w:ascii="Aptos" w:hAnsi="Aptos"/>
          <w:b/>
          <w:i w:val="0"/>
          <w:color w:val="265C80"/>
          <w:sz w:val="20"/>
        </w:rPr>
        <w:t xml:space="preserve">These 2: </w:t>
      </w:r>
      <w:r>
        <w:rPr>
          <w:rFonts w:ascii="Aptos" w:hAnsi="Aptos"/>
          <w:b/>
          <w:i w:val="0"/>
          <w:color w:val="1F3042"/>
          <w:sz w:val="20"/>
        </w:rPr>
        <w:t>Nietzsches naturwissenschaftliche Lektüre ist selektiv, aber nicht bloß dilettantisch.</w:t>
      </w:r>
    </w:p>
    <w:p>
      <w:pPr>
        <w:pStyle w:val="Explanation"/>
        <w:keepNext/>
        <w:keepLines/>
      </w:pPr>
      <w:r>
        <w:rPr>
          <w:rFonts w:ascii="Aptos" w:hAnsi="Aptos"/>
          <w:b w:val="0"/>
          <w:i w:val="0"/>
          <w:color w:val="1F3042"/>
          <w:sz w:val="19"/>
        </w:rPr>
        <w:t>Er nutzt neben Fachliteratur auch populäre Darstellungen. Das war im neunzehnten Jahrhundert üblich und sagt allein noch nichts gegen die Qualität seiner Auseinandersetzung aus.</w:t>
      </w:r>
    </w:p>
    <w:p>
      <w:pPr>
        <w:pStyle w:val="CitationQuote"/>
        <w:keepLines/>
      </w:pPr>
      <w:r>
        <w:rPr>
          <w:rFonts w:ascii="Aptos" w:hAnsi="Aptos"/>
          <w:b/>
          <w:i w:val="0"/>
          <w:color w:val="265C80"/>
          <w:sz w:val="18"/>
        </w:rPr>
        <w:t xml:space="preserve">Zitat: </w:t>
      </w:r>
      <w:r>
        <w:rPr>
          <w:rFonts w:ascii="Aptos" w:hAnsi="Aptos"/>
          <w:b w:val="0"/>
          <w:i/>
          <w:color w:val="1F3042"/>
          <w:sz w:val="18"/>
        </w:rPr>
        <w:t xml:space="preserve">„unzweifelhaft stark selektiv, jedoch weitaus weniger dilettantisch“ </w:t>
      </w:r>
      <w:r>
        <w:rPr>
          <w:rFonts w:ascii="Aptos" w:hAnsi="Aptos"/>
          <w:b w:val="0"/>
          <w:i w:val="0"/>
          <w:color w:val="5B656F"/>
          <w:sz w:val="17"/>
        </w:rPr>
        <w:t>(Solies, S. 108)</w:t>
      </w:r>
    </w:p>
    <w:p>
      <w:pPr>
        <w:pStyle w:val="Thesis"/>
        <w:keepNext/>
      </w:pPr>
      <w:r>
        <w:rPr>
          <w:rFonts w:ascii="Aptos" w:hAnsi="Aptos"/>
          <w:b/>
          <w:i w:val="0"/>
          <w:color w:val="265C80"/>
          <w:sz w:val="20"/>
        </w:rPr>
        <w:t xml:space="preserve">These 3: </w:t>
      </w:r>
      <w:r>
        <w:rPr>
          <w:rFonts w:ascii="Aptos" w:hAnsi="Aptos"/>
          <w:b/>
          <w:i w:val="0"/>
          <w:color w:val="1F3042"/>
          <w:sz w:val="20"/>
        </w:rPr>
        <w:t>Der frühe Nietzsche betrachtet Zweckmäßigkeit als Leistung unseres Verstandes.</w:t>
      </w:r>
    </w:p>
    <w:p>
      <w:pPr>
        <w:pStyle w:val="Explanation"/>
        <w:keepNext/>
        <w:keepLines/>
      </w:pPr>
      <w:r>
        <w:rPr>
          <w:rFonts w:ascii="Aptos" w:hAnsi="Aptos"/>
          <w:b w:val="0"/>
          <w:i w:val="0"/>
          <w:color w:val="1F3042"/>
          <w:sz w:val="19"/>
        </w:rPr>
        <w:t>Organismen wirken zweckvoll geordnet. Daraus folgt für Nietzsche aber weder ein objektiver Naturplan noch eine göttliche Absicht. Der Zweckbegriff bleibt trotzdem als Erklärungshilfe brauchbar.</w:t>
      </w:r>
    </w:p>
    <w:p>
      <w:pPr>
        <w:pStyle w:val="CitationQuote"/>
        <w:keepLines/>
      </w:pPr>
      <w:r>
        <w:rPr>
          <w:rFonts w:ascii="Aptos" w:hAnsi="Aptos"/>
          <w:b/>
          <w:i w:val="0"/>
          <w:color w:val="265C80"/>
          <w:sz w:val="18"/>
        </w:rPr>
        <w:t xml:space="preserve">Zitat: </w:t>
      </w:r>
      <w:r>
        <w:rPr>
          <w:rFonts w:ascii="Aptos" w:hAnsi="Aptos"/>
          <w:b w:val="0"/>
          <w:i/>
          <w:color w:val="1F3042"/>
          <w:sz w:val="18"/>
        </w:rPr>
        <w:t xml:space="preserve">„Die Zweckmäßigkeit des Organischen, die Gesetzmäßigkeit des Unorganischen ist von unserm Verstande in die Natur hineingebracht“ </w:t>
      </w:r>
      <w:r>
        <w:rPr>
          <w:rFonts w:ascii="Aptos" w:hAnsi="Aptos"/>
          <w:b w:val="0"/>
          <w:i w:val="0"/>
          <w:color w:val="5B656F"/>
          <w:sz w:val="17"/>
        </w:rPr>
        <w:t>(Nietzsche, zitiert bei Solies, S. 110)</w:t>
      </w:r>
    </w:p>
    <w:p>
      <w:pPr>
        <w:pStyle w:val="Thesis"/>
        <w:keepNext/>
      </w:pPr>
      <w:r>
        <w:rPr>
          <w:rFonts w:ascii="Aptos" w:hAnsi="Aptos"/>
          <w:b/>
          <w:i w:val="0"/>
          <w:color w:val="265C80"/>
          <w:sz w:val="20"/>
        </w:rPr>
        <w:t xml:space="preserve">These 4: </w:t>
      </w:r>
      <w:r>
        <w:rPr>
          <w:rFonts w:ascii="Aptos" w:hAnsi="Aptos"/>
          <w:b/>
          <w:i w:val="0"/>
          <w:color w:val="1F3042"/>
          <w:sz w:val="20"/>
        </w:rPr>
        <w:t>Ein Organismus ist keine einfache Einheit, sondern eine organisierte Vielheit.</w:t>
      </w:r>
    </w:p>
    <w:p>
      <w:pPr>
        <w:pStyle w:val="Explanation"/>
        <w:keepNext/>
        <w:keepLines/>
      </w:pPr>
      <w:r>
        <w:rPr>
          <w:rFonts w:ascii="Aptos" w:hAnsi="Aptos"/>
          <w:b w:val="0"/>
          <w:i w:val="0"/>
          <w:color w:val="1F3042"/>
          <w:sz w:val="19"/>
        </w:rPr>
        <w:t>Unter dem Einfluss Goethes denkt Nietzsche das Lebewesen als Zusammenspiel relativ selbstständiger Teile. Dadurch wird auch der Begriff des einheitlichen Individuums fragwürdig.</w:t>
      </w:r>
    </w:p>
    <w:p>
      <w:pPr>
        <w:pStyle w:val="CitationQuote"/>
        <w:keepLines/>
      </w:pPr>
      <w:r>
        <w:rPr>
          <w:rFonts w:ascii="Aptos" w:hAnsi="Aptos"/>
          <w:b/>
          <w:i w:val="0"/>
          <w:color w:val="265C80"/>
          <w:sz w:val="18"/>
        </w:rPr>
        <w:t xml:space="preserve">Zitat: </w:t>
      </w:r>
      <w:r>
        <w:rPr>
          <w:rFonts w:ascii="Aptos" w:hAnsi="Aptos"/>
          <w:b w:val="0"/>
          <w:i/>
          <w:color w:val="1F3042"/>
          <w:sz w:val="18"/>
        </w:rPr>
        <w:t xml:space="preserve">„Jedes Lebendige, sagt, Goethe, ist kein Einzelnes, sondern eine Mehrheit“ </w:t>
      </w:r>
      <w:r>
        <w:rPr>
          <w:rFonts w:ascii="Aptos" w:hAnsi="Aptos"/>
          <w:b w:val="0"/>
          <w:i w:val="0"/>
          <w:color w:val="5B656F"/>
          <w:sz w:val="17"/>
        </w:rPr>
        <w:t>(Nietzsche nach Goethe, zitiert bei Solies, S. 111)</w:t>
      </w:r>
    </w:p>
    <w:p>
      <w:pPr>
        <w:pStyle w:val="Thesis"/>
        <w:keepNext/>
      </w:pPr>
      <w:r>
        <w:rPr>
          <w:rFonts w:ascii="Aptos" w:hAnsi="Aptos"/>
          <w:b/>
          <w:i w:val="0"/>
          <w:color w:val="265C80"/>
          <w:sz w:val="20"/>
        </w:rPr>
        <w:t xml:space="preserve">These 5: </w:t>
      </w:r>
      <w:r>
        <w:rPr>
          <w:rFonts w:ascii="Aptos" w:hAnsi="Aptos"/>
          <w:b/>
          <w:i w:val="0"/>
          <w:color w:val="1F3042"/>
          <w:sz w:val="20"/>
        </w:rPr>
        <w:t>Leben ist für uns nur in seinen konkreten Formen erkennbar.</w:t>
      </w:r>
    </w:p>
    <w:p>
      <w:pPr>
        <w:pStyle w:val="Explanation"/>
        <w:keepNext/>
        <w:keepLines/>
      </w:pPr>
      <w:r>
        <w:rPr>
          <w:rFonts w:ascii="Aptos" w:hAnsi="Aptos"/>
          <w:b w:val="0"/>
          <w:i w:val="0"/>
          <w:color w:val="1F3042"/>
          <w:sz w:val="19"/>
        </w:rPr>
        <w:t>Wir sehen Pflanzen, Tiere und Menschen, aber nie das Leben selbst. Jede feste Form macht Leben sichtbar und verdeckt zugleich seinen beweglichen Charakter.</w:t>
      </w:r>
    </w:p>
    <w:p>
      <w:pPr>
        <w:pStyle w:val="CitationQuote"/>
        <w:keepLines/>
      </w:pPr>
      <w:r>
        <w:rPr>
          <w:rFonts w:ascii="Aptos" w:hAnsi="Aptos"/>
          <w:b/>
          <w:i w:val="0"/>
          <w:color w:val="265C80"/>
          <w:sz w:val="18"/>
        </w:rPr>
        <w:t xml:space="preserve">Zitat: </w:t>
      </w:r>
      <w:r>
        <w:rPr>
          <w:rFonts w:ascii="Aptos" w:hAnsi="Aptos"/>
          <w:b w:val="0"/>
          <w:i/>
          <w:color w:val="1F3042"/>
          <w:sz w:val="18"/>
        </w:rPr>
        <w:t xml:space="preserve">„Was wir vom Leben sehn ist Form; wie wir sie sehn, Individuum. Was dahinter liegt ist unerkennbar“ </w:t>
      </w:r>
      <w:r>
        <w:rPr>
          <w:rFonts w:ascii="Aptos" w:hAnsi="Aptos"/>
          <w:b w:val="0"/>
          <w:i w:val="0"/>
          <w:color w:val="5B656F"/>
          <w:sz w:val="17"/>
        </w:rPr>
        <w:t>(Nietzsche, zitiert bei Solies, S. 112)</w:t>
      </w:r>
    </w:p>
    <w:p>
      <w:pPr>
        <w:pStyle w:val="Heading1"/>
        <w:keepNext/>
        <w:pageBreakBefore/>
        <w:spacing w:before="140" w:after="60"/>
      </w:pPr>
      <w:r>
        <w:rPr>
          <w:rFonts w:ascii="Aptos Display" w:hAnsi="Aptos Display"/>
          <w:b/>
          <w:i w:val="0"/>
          <w:color w:val="265C80"/>
          <w:sz w:val="25"/>
        </w:rPr>
        <w:t>Zentrale Thesen Fortsetzung</w:t>
      </w:r>
    </w:p>
    <w:p>
      <w:pPr>
        <w:pStyle w:val="Thesis"/>
        <w:keepNext/>
      </w:pPr>
      <w:r>
        <w:rPr>
          <w:rFonts w:ascii="Aptos" w:hAnsi="Aptos"/>
          <w:b/>
          <w:i w:val="0"/>
          <w:color w:val="265C80"/>
          <w:sz w:val="20"/>
        </w:rPr>
        <w:t xml:space="preserve">These 6: </w:t>
      </w:r>
      <w:r>
        <w:rPr>
          <w:rFonts w:ascii="Aptos" w:hAnsi="Aptos"/>
          <w:b/>
          <w:i w:val="0"/>
          <w:color w:val="1F3042"/>
          <w:sz w:val="20"/>
        </w:rPr>
        <w:t>Nietzsche ist von Darwin beeinflusst, obwohl seine Polemik diesen Einfluss verdeckt.</w:t>
      </w:r>
    </w:p>
    <w:p>
      <w:pPr>
        <w:pStyle w:val="Explanation"/>
        <w:keepNext/>
        <w:keepLines/>
      </w:pPr>
      <w:r>
        <w:rPr>
          <w:rFonts w:ascii="Aptos" w:hAnsi="Aptos"/>
          <w:b w:val="0"/>
          <w:i w:val="0"/>
          <w:color w:val="1F3042"/>
          <w:sz w:val="19"/>
        </w:rPr>
        <w:t>Er erkennt die Bedeutung von Entwicklung und Werden an. Gleichzeitig ordnet er Darwin in eine längere Bewegung von Hegel und Lamarck bis zu seiner eigenen Philosophie ein und relativiert so dessen Originalität.</w:t>
      </w:r>
    </w:p>
    <w:p>
      <w:pPr>
        <w:pStyle w:val="CitationQuote"/>
        <w:keepLines/>
      </w:pPr>
      <w:r>
        <w:rPr>
          <w:rFonts w:ascii="Aptos" w:hAnsi="Aptos"/>
          <w:b/>
          <w:i w:val="0"/>
          <w:color w:val="265C80"/>
          <w:sz w:val="18"/>
        </w:rPr>
        <w:t xml:space="preserve">Zitat: </w:t>
      </w:r>
      <w:r>
        <w:rPr>
          <w:rFonts w:ascii="Aptos" w:hAnsi="Aptos"/>
          <w:b w:val="0"/>
          <w:i/>
          <w:color w:val="1F3042"/>
          <w:sz w:val="18"/>
        </w:rPr>
        <w:t xml:space="preserve">„denn ohne Hegel kein Darwin“ </w:t>
      </w:r>
      <w:r>
        <w:rPr>
          <w:rFonts w:ascii="Aptos" w:hAnsi="Aptos"/>
          <w:b w:val="0"/>
          <w:i w:val="0"/>
          <w:color w:val="5B656F"/>
          <w:sz w:val="17"/>
        </w:rPr>
        <w:t>(Nietzsche, zitiert bei Solies, S. 113)</w:t>
      </w:r>
    </w:p>
    <w:p>
      <w:pPr>
        <w:pStyle w:val="Thesis"/>
        <w:keepNext/>
      </w:pPr>
      <w:r>
        <w:rPr>
          <w:rFonts w:ascii="Aptos" w:hAnsi="Aptos"/>
          <w:b/>
          <w:i w:val="0"/>
          <w:color w:val="265C80"/>
          <w:sz w:val="20"/>
        </w:rPr>
        <w:t xml:space="preserve">These 7: </w:t>
      </w:r>
      <w:r>
        <w:rPr>
          <w:rFonts w:ascii="Aptos" w:hAnsi="Aptos"/>
          <w:b/>
          <w:i w:val="0"/>
          <w:color w:val="1F3042"/>
          <w:sz w:val="20"/>
        </w:rPr>
        <w:t>William Rolphs Darwinismuskritik inspiriert Nietzsches Begriff des Willens zur Macht.</w:t>
      </w:r>
    </w:p>
    <w:p>
      <w:pPr>
        <w:pStyle w:val="Explanation"/>
        <w:keepNext/>
        <w:keepLines/>
      </w:pPr>
      <w:r>
        <w:rPr>
          <w:rFonts w:ascii="Aptos" w:hAnsi="Aptos"/>
          <w:b w:val="0"/>
          <w:i w:val="0"/>
          <w:color w:val="1F3042"/>
          <w:sz w:val="19"/>
        </w:rPr>
        <w:t>Rolph versteht den Lebenskampf nicht als bloßen Kampf um Erhaltung, sondern als Streben nach einer besseren Stellung und nach Vermehrung. Nietzsche unterstreicht die Formulierung und verbindet sie in seinen Randnotizen ausdrücklich mit Macht und gesteigertem Leben.</w:t>
      </w:r>
    </w:p>
    <w:p>
      <w:pPr>
        <w:pStyle w:val="CitationQuote"/>
        <w:keepLines/>
      </w:pPr>
      <w:r>
        <w:rPr>
          <w:rFonts w:ascii="Aptos" w:hAnsi="Aptos"/>
          <w:b/>
          <w:i w:val="0"/>
          <w:color w:val="265C80"/>
          <w:sz w:val="18"/>
        </w:rPr>
        <w:t xml:space="preserve">Zitat: </w:t>
      </w:r>
      <w:r>
        <w:rPr>
          <w:rFonts w:ascii="Aptos" w:hAnsi="Aptos"/>
          <w:b w:val="0"/>
          <w:i/>
          <w:color w:val="1F3042"/>
          <w:sz w:val="18"/>
        </w:rPr>
        <w:t xml:space="preserve">Rolph schreibt vom „Kampf um die bevorzugte Stellung“. Nietzsche notiert dazu „Macht“ und später „Mehr Leben“. </w:t>
      </w:r>
      <w:r>
        <w:rPr>
          <w:rFonts w:ascii="Aptos" w:hAnsi="Aptos"/>
          <w:b w:val="0"/>
          <w:i w:val="0"/>
          <w:color w:val="5B656F"/>
          <w:sz w:val="17"/>
        </w:rPr>
        <w:t>(Rolph bei Solies, S. 114; Randnotizen Nietzsches bei Solies, S. 115)</w:t>
      </w:r>
    </w:p>
    <w:p>
      <w:pPr>
        <w:pStyle w:val="Thesis"/>
        <w:keepNext/>
      </w:pPr>
      <w:r>
        <w:rPr>
          <w:rFonts w:ascii="Aptos" w:hAnsi="Aptos"/>
          <w:b/>
          <w:i w:val="0"/>
          <w:color w:val="265C80"/>
          <w:sz w:val="20"/>
        </w:rPr>
        <w:t xml:space="preserve">These 8: </w:t>
      </w:r>
      <w:r>
        <w:rPr>
          <w:rFonts w:ascii="Aptos" w:hAnsi="Aptos"/>
          <w:b/>
          <w:i w:val="0"/>
          <w:color w:val="1F3042"/>
          <w:sz w:val="20"/>
        </w:rPr>
        <w:t>Nietzsche ersetzt bloße Anpassung durch aktive Selbstgestaltung.</w:t>
      </w:r>
    </w:p>
    <w:p>
      <w:pPr>
        <w:pStyle w:val="Explanation"/>
        <w:keepNext/>
        <w:keepLines/>
      </w:pPr>
      <w:r>
        <w:rPr>
          <w:rFonts w:ascii="Aptos" w:hAnsi="Aptos"/>
          <w:b w:val="0"/>
          <w:i w:val="0"/>
          <w:color w:val="1F3042"/>
          <w:sz w:val="19"/>
        </w:rPr>
        <w:t>Äußere Bedingungen bestimmen das Lebendige für ihn nicht vollständig. Entscheidend ist eine innere Kraft, die Umwelt aufnimmt, benutzt und in eine eigene Form überführt. Hier verbindet sich Biologie mit dem Willen zur Macht.</w:t>
      </w:r>
    </w:p>
    <w:p>
      <w:pPr>
        <w:pStyle w:val="CitationQuote"/>
        <w:keepLines/>
      </w:pPr>
      <w:r>
        <w:rPr>
          <w:rFonts w:ascii="Aptos" w:hAnsi="Aptos"/>
          <w:b/>
          <w:i w:val="0"/>
          <w:color w:val="265C80"/>
          <w:sz w:val="18"/>
        </w:rPr>
        <w:t xml:space="preserve">Zitat: </w:t>
      </w:r>
      <w:r>
        <w:rPr>
          <w:rFonts w:ascii="Aptos" w:hAnsi="Aptos"/>
          <w:b w:val="0"/>
          <w:i/>
          <w:color w:val="1F3042"/>
          <w:sz w:val="18"/>
        </w:rPr>
        <w:t xml:space="preserve">„das Wesentliche am Lebensprozeß ist gerade die ungeheure gestaltende, von Innen her formschaffende Gewalt“ </w:t>
      </w:r>
      <w:r>
        <w:rPr>
          <w:rFonts w:ascii="Aptos" w:hAnsi="Aptos"/>
          <w:b w:val="0"/>
          <w:i w:val="0"/>
          <w:color w:val="5B656F"/>
          <w:sz w:val="17"/>
        </w:rPr>
        <w:t>(Nietzsche, zitiert bei Solies, S. 116)</w:t>
      </w:r>
    </w:p>
    <w:p>
      <w:pPr>
        <w:pStyle w:val="Thesis"/>
        <w:keepNext/>
      </w:pPr>
      <w:r>
        <w:rPr>
          <w:rFonts w:ascii="Aptos" w:hAnsi="Aptos"/>
          <w:b/>
          <w:i w:val="0"/>
          <w:color w:val="265C80"/>
          <w:sz w:val="20"/>
        </w:rPr>
        <w:t xml:space="preserve">These 9: </w:t>
      </w:r>
      <w:r>
        <w:rPr>
          <w:rFonts w:ascii="Aptos" w:hAnsi="Aptos"/>
          <w:b/>
          <w:i w:val="0"/>
          <w:color w:val="1F3042"/>
          <w:sz w:val="20"/>
        </w:rPr>
        <w:t>Nietzsches Philosophie ist keine einfache Biologisierung des Menschen.</w:t>
      </w:r>
    </w:p>
    <w:p>
      <w:pPr>
        <w:pStyle w:val="Explanation"/>
        <w:keepNext/>
        <w:keepLines/>
      </w:pPr>
      <w:r>
        <w:rPr>
          <w:rFonts w:ascii="Aptos" w:hAnsi="Aptos"/>
          <w:b w:val="0"/>
          <w:i w:val="0"/>
          <w:color w:val="1F3042"/>
          <w:sz w:val="19"/>
        </w:rPr>
        <w:t>Die Wissenschaft liefert Nietzsche Ausgangspunkte, aber keine fertige Weltanschauung. Er formt biologische Motive zu einer Philosophie lebendiger Selbstgestaltung um.</w:t>
      </w:r>
    </w:p>
    <w:p>
      <w:pPr>
        <w:pStyle w:val="CitationQuote"/>
        <w:keepLines/>
      </w:pPr>
      <w:r>
        <w:rPr>
          <w:rFonts w:ascii="Aptos" w:hAnsi="Aptos"/>
          <w:b/>
          <w:i w:val="0"/>
          <w:color w:val="265C80"/>
          <w:sz w:val="18"/>
        </w:rPr>
        <w:t xml:space="preserve">Zitat: </w:t>
      </w:r>
      <w:r>
        <w:rPr>
          <w:rFonts w:ascii="Aptos" w:hAnsi="Aptos"/>
          <w:b w:val="0"/>
          <w:i/>
          <w:color w:val="1F3042"/>
          <w:sz w:val="18"/>
        </w:rPr>
        <w:t xml:space="preserve">„nirgends um die Etablierung einer biologistischen Philosophie auf Basis naturwissenschaftlicher Erkenntnisse“ </w:t>
      </w:r>
      <w:r>
        <w:rPr>
          <w:rFonts w:ascii="Aptos" w:hAnsi="Aptos"/>
          <w:b w:val="0"/>
          <w:i w:val="0"/>
          <w:color w:val="5B656F"/>
          <w:sz w:val="17"/>
        </w:rPr>
        <w:t>(Solies, S. 117)</w:t>
      </w:r>
    </w:p>
    <w:p>
      <w:pPr>
        <w:pStyle w:val="Heading1"/>
        <w:keepNext/>
        <w:pageBreakBefore w:val="0"/>
        <w:spacing w:before="140" w:after="60"/>
      </w:pPr>
      <w:r>
        <w:rPr>
          <w:rFonts w:ascii="Aptos Display" w:hAnsi="Aptos Display"/>
          <w:b/>
          <w:i w:val="0"/>
          <w:color w:val="265C80"/>
          <w:sz w:val="25"/>
        </w:rPr>
        <w:t>Fazit</w:t>
      </w:r>
    </w:p>
    <w:p>
      <w:pPr>
        <w:keepLines/>
        <w:spacing w:after="0"/>
      </w:pPr>
      <w:r>
        <w:rPr>
          <w:rFonts w:ascii="Aptos" w:hAnsi="Aptos"/>
          <w:b/>
          <w:i w:val="0"/>
          <w:color w:val="265C80"/>
          <w:sz w:val="19"/>
        </w:rPr>
        <w:t xml:space="preserve">Solies zeigt eine klare Entwicklung: </w:t>
      </w:r>
      <w:r>
        <w:rPr>
          <w:rFonts w:ascii="Aptos" w:hAnsi="Aptos"/>
          <w:b w:val="0"/>
          <w:i w:val="0"/>
          <w:color w:val="1F3042"/>
          <w:sz w:val="19"/>
        </w:rPr>
        <w:t>Nietzsche beginnt mit der Frage nach Zweckmäßigkeit und organischer Einheit. Danach versteht er Leben als schwer fassbares Zusammenspiel vieler Kräfte. In der Auseinandersetzung mit Darwin und besonders mit Rolph wird daraus die Idee eines Lebens, das nicht nur überleben, sondern sich gestalten und steigern will. Die Lebenswissenschaften sind somit eine wichtige Grundlage seiner Philosophie, ohne dass diese auf Biologie reduziert werden kann.</w:t>
      </w:r>
    </w:p>
    <w:sectPr w:rsidR="00FC693F" w:rsidRPr="0006063C" w:rsidSect="00034616">
      <w:headerReference w:type="default" r:id="rId9"/>
      <w:footerReference w:type="default" r:id="rId10"/>
      <w:pgSz w:w="11906" w:h="16838"/>
      <w:pgMar w:top="822" w:right="964" w:bottom="794"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56F"/>
        <w:sz w:val="16"/>
      </w:rPr>
      <w:t xml:space="preserve">Emirhan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i w:val="0"/>
        <w:color w:val="5B656F"/>
        <w:sz w:val="16"/>
      </w:rPr>
      <w:t>BLOCKSEMINAR  ·  THESENPAPIER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ptos" w:hAnsi="Aptos"/>
      <w:color w:val="1F30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
    <w:name w:val="Thesis"/>
    <w:basedOn w:val="Normal"/>
    <w:pPr>
      <w:spacing w:before="70" w:after="10" w:line="240" w:lineRule="auto"/>
    </w:pPr>
  </w:style>
  <w:style w:type="paragraph" w:customStyle="1" w:styleId="Explanation">
    <w:name w:val="Explanation"/>
    <w:basedOn w:val="Normal"/>
    <w:pPr>
      <w:spacing w:after="16" w:line="245" w:lineRule="auto"/>
      <w:ind w:left="238"/>
    </w:pPr>
  </w:style>
  <w:style w:type="paragraph" w:customStyle="1" w:styleId="CitationQuote">
    <w:name w:val="Citation Quote"/>
    <w:basedOn w:val="Normal"/>
    <w:pPr>
      <w:spacing w:after="52" w:line="240" w:lineRule="auto"/>
      <w:ind w:left="238" w:right="85"/>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Thesenpapier Nietzsche und die Lebenswissenschaften</dc:title>
  <dc:subject>Blockseminar</dc:subject>
  <dc:creator>Emirhan</dc:creator>
  <cp:keywords>Nietzsche, Lebenswissenschaften, Darwinismus, Rolph, Wille zur Macht</cp:keywords>
  <dc:description>generated by python-docx</dc:description>
  <cp:lastModifiedBy/>
  <cp:revision>1</cp:revision>
  <dcterms:created xsi:type="dcterms:W3CDTF">2013-12-23T23:15:00Z</dcterms:created>
  <dcterms:modified xsi:type="dcterms:W3CDTF">2013-12-23T23:15:00Z</dcterms:modified>
  <cp:category/>
</cp:coreProperties>
</file>