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99FA" w14:textId="7E1C5A16" w:rsidR="008843C8" w:rsidRDefault="008843C8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: </w:t>
      </w:r>
      <w:r w:rsidRPr="00A0351E">
        <w:rPr>
          <w:rFonts w:ascii="Times New Roman" w:hAnsi="Times New Roman" w:cs="Times New Roman"/>
          <w:sz w:val="24"/>
          <w:szCs w:val="24"/>
        </w:rPr>
        <w:t xml:space="preserve">Alvaro Austin, </w:t>
      </w:r>
      <w:r w:rsidR="00A0351E" w:rsidRPr="00A0351E">
        <w:rPr>
          <w:rFonts w:ascii="Times New Roman" w:hAnsi="Times New Roman" w:cs="Times New Roman"/>
          <w:sz w:val="24"/>
          <w:szCs w:val="24"/>
        </w:rPr>
        <w:t>Topik</w:t>
      </w:r>
      <w:r w:rsidRPr="00A0351E">
        <w:rPr>
          <w:rFonts w:ascii="Times New Roman" w:hAnsi="Times New Roman" w:cs="Times New Roman"/>
          <w:sz w:val="24"/>
          <w:szCs w:val="24"/>
        </w:rPr>
        <w:t xml:space="preserve">: </w:t>
      </w:r>
      <w:r w:rsidR="00FB323A" w:rsidRPr="00A0351E">
        <w:rPr>
          <w:rFonts w:ascii="Times New Roman" w:hAnsi="Times New Roman" w:cs="Times New Roman"/>
          <w:sz w:val="24"/>
          <w:szCs w:val="24"/>
        </w:rPr>
        <w:t xml:space="preserve">Oven </w:t>
      </w:r>
      <w:r w:rsidRPr="00A0351E">
        <w:rPr>
          <w:rFonts w:ascii="Times New Roman" w:hAnsi="Times New Roman" w:cs="Times New Roman"/>
          <w:sz w:val="24"/>
          <w:szCs w:val="24"/>
        </w:rPr>
        <w:t>Microwave</w:t>
      </w:r>
    </w:p>
    <w:p w14:paraId="75F67F26" w14:textId="77777777" w:rsidR="00655994" w:rsidRPr="00A0351E" w:rsidRDefault="00655994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15CC6" w14:textId="4020DF30" w:rsidR="00BC704C" w:rsidRPr="00A0351E" w:rsidRDefault="00FB323A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Oven Microwave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memanaskan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r w:rsidR="00C970C6" w:rsidRPr="00A0351E">
        <w:rPr>
          <w:rFonts w:ascii="Times New Roman" w:hAnsi="Times New Roman" w:cs="Times New Roman"/>
          <w:sz w:val="24"/>
          <w:szCs w:val="24"/>
        </w:rPr>
        <w:t xml:space="preserve">Oven Microwave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memanaskan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>.</w:t>
      </w:r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oven microwave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Percy Spencer. </w:t>
      </w:r>
    </w:p>
    <w:p w14:paraId="6FEDCE7B" w14:textId="248FA10F" w:rsidR="00FB323A" w:rsidRPr="00A0351E" w:rsidRDefault="00BC704C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Percy Spencer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fisikawan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oven microwave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1950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oleh Percy Spencer</w:t>
      </w:r>
      <w:r w:rsidRPr="00A0351E">
        <w:rPr>
          <w:rFonts w:ascii="Times New Roman" w:hAnsi="Times New Roman" w:cs="Times New Roman"/>
          <w:sz w:val="24"/>
          <w:szCs w:val="24"/>
        </w:rPr>
        <w:t xml:space="preserve"> di Raytheon Technology</w:t>
      </w:r>
      <w:r w:rsidR="00661694"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makanannya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melebur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D4C7A" w14:textId="35227E63" w:rsidR="00E20721" w:rsidRPr="00A0351E" w:rsidRDefault="00E20721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Spencer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popcorn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r w:rsidR="00BC704C" w:rsidRPr="00A0351E">
        <w:rPr>
          <w:rFonts w:ascii="Times New Roman" w:hAnsi="Times New Roman" w:cs="Times New Roman"/>
          <w:sz w:val="24"/>
          <w:szCs w:val="24"/>
        </w:rPr>
        <w:t>o</w:t>
      </w:r>
      <w:r w:rsidR="003876AD" w:rsidRPr="00A0351E">
        <w:rPr>
          <w:rFonts w:ascii="Times New Roman" w:hAnsi="Times New Roman" w:cs="Times New Roman"/>
          <w:sz w:val="24"/>
          <w:szCs w:val="24"/>
        </w:rPr>
        <w:t xml:space="preserve">ven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mi</w:t>
      </w:r>
      <w:r w:rsidR="003876AD" w:rsidRPr="00A0351E">
        <w:rPr>
          <w:rFonts w:ascii="Times New Roman" w:hAnsi="Times New Roman" w:cs="Times New Roman"/>
          <w:sz w:val="24"/>
          <w:szCs w:val="24"/>
        </w:rPr>
        <w:t>crowavenya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>.</w:t>
      </w:r>
    </w:p>
    <w:p w14:paraId="569A895B" w14:textId="202433B5" w:rsidR="00E6589E" w:rsidRPr="00A0351E" w:rsidRDefault="00E6589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oven-oven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>.</w:t>
      </w:r>
    </w:p>
    <w:p w14:paraId="422780F1" w14:textId="40D8667D" w:rsidR="00E6589E" w:rsidRPr="00A0351E" w:rsidRDefault="00E6589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oven.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panaskan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disantap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7652F" w14:textId="718512E7" w:rsidR="002E7168" w:rsidRPr="00A0351E" w:rsidRDefault="002E7168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sepantasnya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oven.</w:t>
      </w:r>
    </w:p>
    <w:p w14:paraId="5B323F05" w14:textId="77777777" w:rsidR="003876AD" w:rsidRPr="00A0351E" w:rsidRDefault="003876AD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51F74" w14:textId="00FAC7FC" w:rsidR="00842FA9" w:rsidRPr="00A0351E" w:rsidRDefault="00842FA9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Daftar </w:t>
      </w:r>
      <w:r w:rsidR="00B9721D" w:rsidRPr="00A0351E">
        <w:rPr>
          <w:rFonts w:ascii="Times New Roman" w:hAnsi="Times New Roman" w:cs="Times New Roman"/>
          <w:sz w:val="24"/>
          <w:szCs w:val="24"/>
        </w:rPr>
        <w:t>Pustaka</w:t>
      </w:r>
      <w:r w:rsidRPr="00A0351E">
        <w:rPr>
          <w:rFonts w:ascii="Times New Roman" w:hAnsi="Times New Roman" w:cs="Times New Roman"/>
          <w:sz w:val="24"/>
          <w:szCs w:val="24"/>
        </w:rPr>
        <w:t>:</w:t>
      </w:r>
    </w:p>
    <w:p w14:paraId="6BE5E740" w14:textId="11591E7E" w:rsidR="00E503FE" w:rsidRPr="00A0351E" w:rsidRDefault="00D775C2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>Microwave Oven. (</w:t>
      </w:r>
      <w:r w:rsidR="00BF26F0" w:rsidRPr="00A0351E">
        <w:rPr>
          <w:rFonts w:ascii="Times New Roman" w:hAnsi="Times New Roman" w:cs="Times New Roman"/>
          <w:sz w:val="24"/>
          <w:szCs w:val="24"/>
        </w:rPr>
        <w:t>2022, Juni 18</w:t>
      </w:r>
      <w:r w:rsidRPr="00A0351E">
        <w:rPr>
          <w:rFonts w:ascii="Times New Roman" w:hAnsi="Times New Roman" w:cs="Times New Roman"/>
          <w:sz w:val="24"/>
          <w:szCs w:val="24"/>
        </w:rPr>
        <w:t>)</w:t>
      </w:r>
      <w:r w:rsidR="00BF26F0" w:rsidRPr="00A0351E">
        <w:rPr>
          <w:rFonts w:ascii="Times New Roman" w:hAnsi="Times New Roman" w:cs="Times New Roman"/>
          <w:sz w:val="24"/>
          <w:szCs w:val="24"/>
        </w:rPr>
        <w:t xml:space="preserve">. </w:t>
      </w:r>
      <w:r w:rsidR="00E503FE" w:rsidRPr="00A0351E">
        <w:rPr>
          <w:rFonts w:ascii="Times New Roman" w:hAnsi="Times New Roman" w:cs="Times New Roman"/>
          <w:sz w:val="24"/>
          <w:szCs w:val="24"/>
        </w:rPr>
        <w:t xml:space="preserve">In Wikipedia. </w:t>
      </w:r>
      <w:hyperlink r:id="rId6" w:history="1">
        <w:r w:rsidR="00E503FE" w:rsidRPr="00A0351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Microwave oven: Revision history - </w:t>
        </w:r>
        <w:r w:rsidR="00E503FE" w:rsidRPr="00A0351E">
          <w:rPr>
            <w:rStyle w:val="Hyperlink"/>
            <w:rFonts w:ascii="Times New Roman" w:hAnsi="Times New Roman" w:cs="Times New Roman"/>
            <w:sz w:val="24"/>
            <w:szCs w:val="24"/>
          </w:rPr>
          <w:t>Wikipedia</w:t>
        </w:r>
      </w:hyperlink>
    </w:p>
    <w:p w14:paraId="3B3E1C99" w14:textId="77777777" w:rsidR="00A0351E" w:rsidRPr="00A0351E" w:rsidRDefault="00A0351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818DA" w14:textId="48519275" w:rsidR="008843C8" w:rsidRPr="00A0351E" w:rsidRDefault="00842FA9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>:</w:t>
      </w:r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r w:rsidR="00A0351E" w:rsidRPr="00A0351E">
        <w:rPr>
          <w:rFonts w:ascii="Times New Roman" w:hAnsi="Times New Roman" w:cs="Times New Roman"/>
          <w:sz w:val="24"/>
          <w:szCs w:val="24"/>
        </w:rPr>
        <w:t xml:space="preserve">Dave Matthew Peter </w:t>
      </w:r>
      <w:proofErr w:type="spellStart"/>
      <w:r w:rsidR="00A0351E" w:rsidRPr="00A0351E">
        <w:rPr>
          <w:rFonts w:ascii="Times New Roman" w:hAnsi="Times New Roman" w:cs="Times New Roman"/>
          <w:sz w:val="24"/>
          <w:szCs w:val="24"/>
        </w:rPr>
        <w:t>Lumban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51E" w:rsidRPr="00A0351E">
        <w:rPr>
          <w:rFonts w:ascii="Times New Roman" w:hAnsi="Times New Roman" w:cs="Times New Roman"/>
          <w:sz w:val="24"/>
          <w:szCs w:val="24"/>
        </w:rPr>
        <w:t>Tobing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, Topik: </w:t>
      </w:r>
      <w:r w:rsidR="00A0351E" w:rsidRPr="00A0351E">
        <w:rPr>
          <w:rFonts w:ascii="Times New Roman" w:hAnsi="Times New Roman" w:cs="Times New Roman"/>
          <w:sz w:val="24"/>
          <w:szCs w:val="24"/>
        </w:rPr>
        <w:t>Monitor</w:t>
      </w:r>
    </w:p>
    <w:p w14:paraId="5B01D4A6" w14:textId="77777777" w:rsidR="00A0351E" w:rsidRP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20E3D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Monitor adalah perangkat keras komputer yang digunakan untuk menampilkan secara visual hasil proses komputer dalam bentuk teks, gambar, atau video.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al ini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monitor bertindak sebagai perangkat 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penyusun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komputer dan komputer tidak dapat digunakan jika monitor tidak ada. Inilah sebabnya mengapa monitor dianggap sangat penting dalam komputer.</w:t>
      </w:r>
    </w:p>
    <w:p w14:paraId="1FB8EB9D" w14:textId="77777777" w:rsidR="00A0351E" w:rsidRPr="00A0351E" w:rsidRDefault="00A0351E" w:rsidP="00A035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1433BB62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1855,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Heinrich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Geibler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frame rate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84DCF" w14:textId="77777777" w:rsidR="00A0351E" w:rsidRPr="00A0351E" w:rsidRDefault="00A0351E" w:rsidP="00A035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BDC250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33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Austria Friedrich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Reinitzer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Karl Ferdinand Braun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1897. Perangkat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Joseph John Thomson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mendorong</w:t>
      </w:r>
      <w:proofErr w:type="spellEnd"/>
    </w:p>
    <w:p w14:paraId="08D42ED0" w14:textId="77777777" w:rsidR="00A0351E" w:rsidRPr="00A0351E" w:rsidRDefault="00A0351E" w:rsidP="00A035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49A6F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Monitor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tentunya memiliki cara kerja tersendiri tergantung dari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yang ada di dalamnya.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yang terletak di bagian belakang tabung akan dikirim ke bagian dalam yang telah dilapisi partikel yang mampu memancarkan cahaya.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kemudian melewati serangkaian komponen magnetik yang dapat membelokkan cahaya ke dalam tabung.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Ketiga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etika berkas elektron mencapai bagian depan layar, untuk sementara menyinari lapisan fluoresen. 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keempat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Masing-masing posisi ini akan mewakili titik piksel dengan mengontrol tegangan berkas elektron sehingga gambar atau tampilan yang dihasilkan muncul di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layer monitor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647568FE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49BBDB" w14:textId="77777777" w:rsidR="00A0351E" w:rsidRPr="00A0351E" w:rsidRDefault="00A0351E" w:rsidP="00A0351E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salah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alat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signal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elektronik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Gambar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pemrosesan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ataupun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variasi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seperti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layaknya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televisi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Tiap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merek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tingkat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resolusi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proofErr w:type="gram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berbeda.Resolusi</w:t>
      </w:r>
      <w:proofErr w:type="spellEnd"/>
      <w:proofErr w:type="gram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menentukan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ketajaman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ditampilkanpada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monitor. Jenis-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sangat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beragam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cembung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tipis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manusia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mengerti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monitor.</w:t>
      </w:r>
    </w:p>
    <w:p w14:paraId="18775D81" w14:textId="77777777" w:rsidR="00A0351E" w:rsidRPr="00A0351E" w:rsidRDefault="00A0351E" w:rsidP="00A0351E">
      <w:pPr>
        <w:spacing w:after="0" w:line="360" w:lineRule="auto"/>
        <w:ind w:left="2880" w:firstLine="720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012D46" w14:textId="77777777" w:rsidR="00A0351E" w:rsidRPr="00A0351E" w:rsidRDefault="00A0351E" w:rsidP="00A0351E">
      <w:pPr>
        <w:spacing w:after="0" w:line="360" w:lineRule="auto"/>
        <w:jc w:val="center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Daftar Pustaka</w:t>
      </w:r>
    </w:p>
    <w:p w14:paraId="0D3280FE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58B4A57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Noniya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Dewinta,2022,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Pengertian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Cara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(</w:t>
      </w:r>
      <w:hyperlink r:id="rId7" w:history="1">
        <w:r w:rsidRPr="00A0351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https://lambeturah.id/pengertian-monitor/</w:t>
        </w:r>
      </w:hyperlink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31/8/2022 16:26</w:t>
      </w:r>
    </w:p>
    <w:p w14:paraId="2BAFE30B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A5E501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Anonim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2017, Sejarah dan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(</w:t>
      </w:r>
      <w:hyperlink r:id="rId8" w:history="1">
        <w:r w:rsidRPr="00A0351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http://blog.unnes.ac.id/sutrisno/2017/03/10/sejarah-dan-perkembangan-monitor-dari-masa-ke-masa/</w:t>
        </w:r>
      </w:hyperlink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31/9/2022 16:58</w:t>
      </w:r>
    </w:p>
    <w:p w14:paraId="0B6A8236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A9196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730FC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181BE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6A2A1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7259C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A2365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47875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C8E27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3A5C1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1C4A8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3CFAF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35CA4" w14:textId="77777777" w:rsidR="00655994" w:rsidRDefault="00A0351E" w:rsidP="00655994">
      <w:pPr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655994">
        <w:rPr>
          <w:rFonts w:ascii="Times New Roman" w:hAnsi="Times New Roman" w:cs="Times New Roman"/>
          <w:sz w:val="24"/>
          <w:szCs w:val="24"/>
        </w:rPr>
        <w:t xml:space="preserve">: </w:t>
      </w:r>
      <w:r w:rsidRPr="00655994">
        <w:rPr>
          <w:rFonts w:ascii="Times New Roman" w:hAnsi="Times New Roman" w:cs="Times New Roman"/>
          <w:sz w:val="24"/>
          <w:szCs w:val="24"/>
        </w:rPr>
        <w:t xml:space="preserve">Joshua Mihai Daniel </w:t>
      </w:r>
      <w:proofErr w:type="spellStart"/>
      <w:r w:rsidRPr="00655994">
        <w:rPr>
          <w:rFonts w:ascii="Times New Roman" w:hAnsi="Times New Roman" w:cs="Times New Roman"/>
          <w:sz w:val="24"/>
          <w:szCs w:val="24"/>
        </w:rPr>
        <w:t>Nadeak</w:t>
      </w:r>
      <w:proofErr w:type="spellEnd"/>
      <w:r w:rsidRPr="00655994">
        <w:rPr>
          <w:rFonts w:ascii="Times New Roman" w:hAnsi="Times New Roman" w:cs="Times New Roman"/>
          <w:sz w:val="24"/>
          <w:szCs w:val="24"/>
        </w:rPr>
        <w:t xml:space="preserve">, </w:t>
      </w:r>
      <w:r w:rsidR="00655994" w:rsidRPr="00655994">
        <w:rPr>
          <w:rFonts w:ascii="Times New Roman" w:hAnsi="Times New Roman" w:cs="Times New Roman"/>
          <w:sz w:val="24"/>
          <w:szCs w:val="24"/>
        </w:rPr>
        <w:t xml:space="preserve">Topik: </w:t>
      </w:r>
      <w:r w:rsidR="00655994" w:rsidRPr="00655994">
        <w:rPr>
          <w:rFonts w:ascii="Times New Roman" w:hAnsi="Times New Roman" w:cs="Times New Roman"/>
          <w:sz w:val="24"/>
          <w:szCs w:val="24"/>
        </w:rPr>
        <w:t xml:space="preserve">Sejarah Perang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55994" w:rsidRPr="0065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55994" w:rsidRPr="0065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3DDB0048" w14:textId="77777777" w:rsidR="00655994" w:rsidRPr="00655994" w:rsidRDefault="00655994" w:rsidP="00655994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AE8B5" w14:textId="77777777" w:rsidR="00655994" w:rsidRPr="00655994" w:rsidRDefault="00655994" w:rsidP="00655994">
      <w:pPr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Pemicu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6E381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56A2651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When: Kapan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44CBD2E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Where: Di mana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F0259B1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83795D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77B6DCF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Bagaimanakah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53073D8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8F08D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topik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7A2B9B" w14:textId="5A1A20DB" w:rsid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diciptakan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Tuhan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makhluk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konon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organisme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muka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dibuktikan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kepemilikan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Lantas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kekerasan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lumrah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zamannya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mengutamakan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kelompoknya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Hal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dibawa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kesempatan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D05BDB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3D870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 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Tengah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1618-1648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korban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juta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Perang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ketegangan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diakibatkan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Reformasi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Dr.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Martin Luther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31 Oktober 1517.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bukanlah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benar-benar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diakibatkan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ketidaksetujuan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agama,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berlangsung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Wangsa Habsburg.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</w:p>
    <w:p w14:paraId="10433834" w14:textId="77777777" w:rsid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naiknya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takhta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kekuasaan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Kaisar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takhta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Kerajaan Bohemia,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1618.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agamanya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senang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keberadaan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Kerajaan Bohemia,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merugikan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Bohemia,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kepengurusan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menguntungkan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minoritas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Bohemia.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</w:p>
    <w:p w14:paraId="251BC36F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FCB93" w14:textId="77777777" w:rsid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intoleran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Bohemia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melancarkan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kudeta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melemparkan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istana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kaca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jendelanya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peristiwa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kenal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Defenestrasi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Praha. Lalu,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rakyat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mengangkat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Frederick V,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Elektor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 Pfalz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Raja Bohemia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mana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penolakan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1623,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terbentuk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faksi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"/>
      </w:r>
    </w:p>
    <w:p w14:paraId="70AA09D2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B872" w14:textId="77777777" w:rsid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” dan “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juga negara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faksi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agama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Lalu,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Swedia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1630,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kepemimpinan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Raja Gustavus Adolphus.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pendanaan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mengerahkan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pasukannya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melawan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1635.</w:t>
      </w:r>
    </w:p>
    <w:p w14:paraId="4626E003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CDB29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penandatanganan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Westphalia,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antarumat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otonomi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tidak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diperbolehkannya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memaksakan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agama,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kemerdekaan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Belanda dan Swiss.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didominasi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Wangsa Habsburg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antarumat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kedamaian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memikirkan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perbuat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selayaknya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91A3F2" w14:textId="3D75D958" w:rsidR="00A0351E" w:rsidRPr="00655994" w:rsidRDefault="00A0351E" w:rsidP="00655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E0532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Daftar Pustaka:</w:t>
      </w:r>
    </w:p>
    <w:p w14:paraId="5AE21C56" w14:textId="77777777" w:rsidR="00655994" w:rsidRPr="00655994" w:rsidRDefault="00655994" w:rsidP="00655994">
      <w:pPr>
        <w:pStyle w:val="FootnoteText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Feist, J., Feist, G.J., &amp; Roberts, T.A. (2017). </w:t>
      </w:r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Teori </w:t>
      </w:r>
      <w:proofErr w:type="spellStart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Kepribadian</w:t>
      </w:r>
      <w:proofErr w:type="spellEnd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Buku</w:t>
      </w:r>
      <w:proofErr w:type="spellEnd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1)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Jakarta: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Salemba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Humanika</w:t>
      </w:r>
      <w:proofErr w:type="spellEnd"/>
    </w:p>
    <w:p w14:paraId="2F65F90B" w14:textId="77777777" w:rsidR="00655994" w:rsidRPr="00655994" w:rsidRDefault="00655994" w:rsidP="00655994">
      <w:pPr>
        <w:pStyle w:val="FootnoteText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Cramer, Kevin (2007). 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The Thirty Years' War &amp; German Memory in the Nineteenth Century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Nebraska: University of Nebraska Publishing.</w:t>
      </w:r>
    </w:p>
    <w:p w14:paraId="760FE0C0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Bassett, Richard (2015). 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 God and Kaiser; the Imperial Austrian Army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 Connecticut: Yale University Press.</w:t>
      </w:r>
    </w:p>
    <w:p w14:paraId="5A2E2A12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 Mimir Book. (2018, Mei 15). 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Perang </w:t>
      </w:r>
      <w:proofErr w:type="spellStart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 https://mimirbook.com/id/a22378176ea</w:t>
      </w:r>
    </w:p>
    <w:p w14:paraId="3EC0F0BD" w14:textId="6DDB18E1" w:rsidR="00655994" w:rsidRPr="00A0351E" w:rsidRDefault="00655994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5994" w:rsidRPr="00A0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4F21" w14:textId="77777777" w:rsidR="00655994" w:rsidRDefault="00655994" w:rsidP="00655994">
      <w:pPr>
        <w:spacing w:after="0" w:line="240" w:lineRule="auto"/>
      </w:pPr>
      <w:r>
        <w:separator/>
      </w:r>
    </w:p>
  </w:endnote>
  <w:endnote w:type="continuationSeparator" w:id="0">
    <w:p w14:paraId="2604EFA9" w14:textId="77777777" w:rsidR="00655994" w:rsidRDefault="00655994" w:rsidP="0065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39AF" w14:textId="77777777" w:rsidR="00655994" w:rsidRDefault="00655994" w:rsidP="00655994">
      <w:pPr>
        <w:spacing w:after="0" w:line="240" w:lineRule="auto"/>
      </w:pPr>
      <w:r>
        <w:separator/>
      </w:r>
    </w:p>
  </w:footnote>
  <w:footnote w:type="continuationSeparator" w:id="0">
    <w:p w14:paraId="09746423" w14:textId="77777777" w:rsidR="00655994" w:rsidRDefault="00655994" w:rsidP="00655994">
      <w:pPr>
        <w:spacing w:after="0" w:line="240" w:lineRule="auto"/>
      </w:pPr>
      <w:r>
        <w:continuationSeparator/>
      </w:r>
    </w:p>
  </w:footnote>
  <w:footnote w:id="1">
    <w:p w14:paraId="67487DFA" w14:textId="77777777" w:rsidR="00655994" w:rsidRPr="00F669C2" w:rsidRDefault="00655994" w:rsidP="00655994">
      <w:pPr>
        <w:pStyle w:val="FootnoteText"/>
        <w:rPr>
          <w:rFonts w:cstheme="minorHAnsi"/>
          <w:color w:val="000000" w:themeColor="text1"/>
          <w:sz w:val="18"/>
          <w:szCs w:val="18"/>
        </w:rPr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Feist, J., Feist, G.J., &amp; Roberts, T.A. (2017). </w:t>
      </w:r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Teori </w:t>
      </w:r>
      <w:proofErr w:type="spellStart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>Kepribadian</w:t>
      </w:r>
      <w:proofErr w:type="spellEnd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(</w:t>
      </w:r>
      <w:proofErr w:type="spellStart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>Buku</w:t>
      </w:r>
      <w:proofErr w:type="spellEnd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1)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. Jakarta: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Salemba</w:t>
      </w:r>
      <w:proofErr w:type="spellEnd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Humanika</w:t>
      </w:r>
      <w:proofErr w:type="spellEnd"/>
    </w:p>
  </w:footnote>
  <w:footnote w:id="2">
    <w:p w14:paraId="6315D216" w14:textId="77777777" w:rsidR="00655994" w:rsidRDefault="00655994" w:rsidP="00655994">
      <w:pPr>
        <w:pStyle w:val="FootnoteText"/>
      </w:pPr>
      <w:r w:rsidRPr="00F669C2">
        <w:rPr>
          <w:rStyle w:val="FootnoteReference"/>
          <w:color w:val="000000" w:themeColor="text1"/>
          <w:sz w:val="18"/>
          <w:szCs w:val="18"/>
        </w:rPr>
        <w:footnoteRef/>
      </w:r>
      <w:r w:rsidRPr="00F669C2">
        <w:rPr>
          <w:color w:val="000000" w:themeColor="text1"/>
          <w:sz w:val="18"/>
          <w:szCs w:val="18"/>
        </w:rPr>
        <w:t xml:space="preserve"> 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Cramer, Kevin (2007). </w:t>
      </w:r>
      <w:r w:rsidRPr="00F669C2">
        <w:rPr>
          <w:rFonts w:cstheme="minorHAnsi"/>
          <w:i/>
          <w:iCs/>
          <w:color w:val="000000" w:themeColor="text1"/>
          <w:sz w:val="18"/>
          <w:szCs w:val="18"/>
          <w:shd w:val="clear" w:color="auto" w:fill="FFFFFF"/>
        </w:rPr>
        <w:t>The Thirty Years' War &amp; German Memory in the Nineteenth Century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. Nebraska: University of Nebraska Publishing.</w:t>
      </w:r>
    </w:p>
  </w:footnote>
  <w:footnote w:id="3">
    <w:p w14:paraId="57296FE8" w14:textId="77777777" w:rsidR="00655994" w:rsidRPr="00F669C2" w:rsidRDefault="00655994" w:rsidP="00655994">
      <w:pPr>
        <w:pStyle w:val="FootnoteText"/>
        <w:rPr>
          <w:rFonts w:cstheme="minorHAnsi"/>
          <w:color w:val="000000" w:themeColor="text1"/>
          <w:sz w:val="18"/>
          <w:szCs w:val="18"/>
        </w:rPr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Bassett, Richard (2015). </w:t>
      </w:r>
      <w:r w:rsidRPr="00F669C2">
        <w:rPr>
          <w:rFonts w:cstheme="minorHAnsi"/>
          <w:i/>
          <w:iCs/>
          <w:color w:val="000000" w:themeColor="text1"/>
          <w:sz w:val="18"/>
          <w:szCs w:val="18"/>
        </w:rPr>
        <w:t>For God and Kaiser; the Imperial Austrian Army</w:t>
      </w:r>
      <w:r w:rsidRPr="00F669C2">
        <w:rPr>
          <w:rFonts w:cstheme="minorHAnsi"/>
          <w:color w:val="000000" w:themeColor="text1"/>
          <w:sz w:val="18"/>
          <w:szCs w:val="18"/>
        </w:rPr>
        <w:t>. Connecticut: Yale University Press.</w:t>
      </w:r>
    </w:p>
  </w:footnote>
  <w:footnote w:id="4">
    <w:p w14:paraId="6BB6EFEB" w14:textId="77777777" w:rsidR="00655994" w:rsidRDefault="00655994" w:rsidP="00655994">
      <w:pPr>
        <w:pStyle w:val="FootnoteText"/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Tim Mimir Book. (2018, Mei 15). </w:t>
      </w:r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Perang </w:t>
      </w:r>
      <w:proofErr w:type="spellStart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>Tiga</w:t>
      </w:r>
      <w:proofErr w:type="spellEnd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>Puluh</w:t>
      </w:r>
      <w:proofErr w:type="spellEnd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Tahun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Diakses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dari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>: https://mimirbook.com/id/a22378176ea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B"/>
    <w:rsid w:val="000230BC"/>
    <w:rsid w:val="000625FD"/>
    <w:rsid w:val="00070845"/>
    <w:rsid w:val="001F3B46"/>
    <w:rsid w:val="002E7168"/>
    <w:rsid w:val="003876AD"/>
    <w:rsid w:val="003B567B"/>
    <w:rsid w:val="005206BF"/>
    <w:rsid w:val="00655994"/>
    <w:rsid w:val="00661694"/>
    <w:rsid w:val="00842FA9"/>
    <w:rsid w:val="008843C8"/>
    <w:rsid w:val="00A0351E"/>
    <w:rsid w:val="00B9721D"/>
    <w:rsid w:val="00BC704C"/>
    <w:rsid w:val="00BF26F0"/>
    <w:rsid w:val="00C724C3"/>
    <w:rsid w:val="00C970C6"/>
    <w:rsid w:val="00D775C2"/>
    <w:rsid w:val="00E20721"/>
    <w:rsid w:val="00E503FE"/>
    <w:rsid w:val="00E6589E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CF66"/>
  <w15:chartTrackingRefBased/>
  <w15:docId w15:val="{768766EE-9DFA-4DEB-B7B9-3D0CB66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3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3FE"/>
    <w:rPr>
      <w:color w:val="954F72" w:themeColor="followedHyperlink"/>
      <w:u w:val="single"/>
    </w:rPr>
  </w:style>
  <w:style w:type="character" w:customStyle="1" w:styleId="a">
    <w:name w:val="a"/>
    <w:basedOn w:val="DefaultParagraphFont"/>
    <w:rsid w:val="00A0351E"/>
  </w:style>
  <w:style w:type="paragraph" w:styleId="FootnoteText">
    <w:name w:val="footnote text"/>
    <w:basedOn w:val="Normal"/>
    <w:link w:val="FootnoteTextChar"/>
    <w:uiPriority w:val="99"/>
    <w:unhideWhenUsed/>
    <w:rsid w:val="00655994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599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599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55994"/>
    <w:rPr>
      <w:i/>
      <w:iCs/>
    </w:rPr>
  </w:style>
  <w:style w:type="character" w:customStyle="1" w:styleId="jsgrdq">
    <w:name w:val="jsgrdq"/>
    <w:basedOn w:val="DefaultParagraphFont"/>
    <w:rsid w:val="0065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unnes.ac.id/sutrisno/2017/03/10/sejarah-dan-perkembangan-monitor-dari-masa-ke-ma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beturah.id/pengertian-moni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Microwave_oven&amp;dir=prev&amp;action=histor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Austin</dc:creator>
  <cp:keywords/>
  <dc:description/>
  <cp:lastModifiedBy>Alvaro Austin</cp:lastModifiedBy>
  <cp:revision>2</cp:revision>
  <dcterms:created xsi:type="dcterms:W3CDTF">2022-08-31T15:44:00Z</dcterms:created>
  <dcterms:modified xsi:type="dcterms:W3CDTF">2022-08-31T15:44:00Z</dcterms:modified>
</cp:coreProperties>
</file>