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exact" w:line="560"/>
        <w:jc w:val="center"/>
      </w:pPr>
      <w:r>
        <w:rPr>
          <w:rFonts w:ascii="Times New Roman" w:hAnsi="Times New Roman"/>
          <w:b w:val="0"/>
          <w:i w:val="0"/>
          <w:sz w:val="48"/>
          <w:u w:val="none"/>
        </w:rPr>
        <w:t>Bal Arısı Hastalıklarının Görüntü Tabanlı Derin Öğrenme ile Sınıflandırılması: Çok Modelli Karşılaştırmalı Bir Çalışma</w:t>
      </w:r>
    </w:p>
    <w:p>
      <w:pPr>
        <w:spacing w:before="0" w:after="20" w:lineRule="exact" w:line="280"/>
        <w:jc w:val="center"/>
      </w:pPr>
      <w:r>
        <w:rPr>
          <w:rFonts w:ascii="Times New Roman" w:hAnsi="Times New Roman"/>
          <w:b/>
          <w:i w:val="0"/>
          <w:sz w:val="22"/>
          <w:u w:val="none"/>
        </w:rPr>
        <w:t>Muhammed Emir Seçer</w:t>
      </w:r>
    </w:p>
    <w:p>
      <w:pPr>
        <w:spacing w:before="0" w:after="0" w:lineRule="exact" w:line="240"/>
        <w:jc w:val="center"/>
      </w:pPr>
      <w:r>
        <w:rPr>
          <w:rFonts w:ascii="Times New Roman" w:hAnsi="Times New Roman"/>
          <w:b w:val="0"/>
          <w:i/>
          <w:sz w:val="20"/>
          <w:u w:val="none"/>
        </w:rPr>
        <w:t>Mekatronik Mühendisliği Bölümü</w:t>
      </w:r>
    </w:p>
    <w:p>
      <w:pPr>
        <w:spacing w:before="0" w:after="0" w:lineRule="exact" w:line="240"/>
        <w:jc w:val="center"/>
      </w:pPr>
      <w:r>
        <w:rPr>
          <w:rFonts w:ascii="Times New Roman" w:hAnsi="Times New Roman"/>
          <w:b w:val="0"/>
          <w:i w:val="0"/>
          <w:sz w:val="20"/>
          <w:u w:val="none"/>
        </w:rPr>
        <w:t>Fırat Üniversitesi, Elazığ, Türkiye</w:t>
      </w:r>
    </w:p>
    <w:p>
      <w:pPr>
        <w:spacing w:before="0" w:after="160" w:lineRule="exact" w:line="240"/>
        <w:jc w:val="center"/>
      </w:pPr>
      <w:r>
        <w:rPr>
          <w:rFonts w:ascii="Times New Roman" w:hAnsi="Times New Roman"/>
          <w:b w:val="0"/>
          <w:i w:val="0"/>
          <w:sz w:val="20"/>
          <w:u w:val="none"/>
        </w:rPr>
        <w:t>muhammedemirsecer@gmail.com</w:t>
      </w:r>
    </w:p>
    <w:p>
      <w:pPr>
        <w:spacing w:before="0" w:after="0" w:lineRule="exact" w:line="80"/>
        <w:jc w:val="center"/>
        <w:pBdr>
          <w:top w:val="single" w:sz="6" w:space="1" w:color="000000"/>
        </w:pBdr>
      </w:pPr>
    </w:p>
    <w:p>
      <w:pPr>
        <w:spacing w:before="80" w:after="0" w:lineRule="exact" w:line="200"/>
        <w:ind w:firstLine="0"/>
        <w:jc w:val="both"/>
      </w:pPr>
      <w:r>
        <w:rPr>
          <w:rFonts w:ascii="Times New Roman" w:hAnsi="Times New Roman"/>
          <w:b/>
          <w:i/>
          <w:sz w:val="18"/>
          <w:u w:val="none"/>
        </w:rPr>
        <w:t>Özet</w:t>
      </w:r>
      <w:r>
        <w:rPr>
          <w:rFonts w:ascii="Times New Roman" w:hAnsi="Times New Roman"/>
          <w:b w:val="0"/>
          <w:i w:val="0"/>
          <w:sz w:val="18"/>
          <w:u w:val="none"/>
        </w:rPr>
        <w:t>—Bal arıları, küresel tarımsal ekosistem için vazgeçilmez bir rol üstlenmekte olup hastalıklar ve zararlılar koloni kayıplarının başlıca nedenleri arasında yer almaktadır. Bu çalışmada, altı farklı arı hastalığının (Karınca Sorunları, Küçük Kovan Böcekleri, Sağlıklı, Soyulmuş Kovan, Kayıp Kraliçe, Varroa) otomatik tespiti için kapsamlı bir derin öğrenme tabanlı görüntü sınıflandırma sistemi sunulmaktadır. Toplam 5.172 görüntüden oluşan BeeImage veri seti üzerinde EfficientNetV2-S, Swin Transformer ve Hibrit CNN+Gradyan Artırma yöntemleri sistematik biçimde karşılaştırılmıştır. Bu veri setinde literatürde ilk kez uygulanan Swin Transformer, %98,74 doğruluk ve %98,75 F1 skoru ile mevcut literatür rekorunu (%98,65) aşmıştır. EfficientNetV2-S + Swin Transformer ensemble modeli ise %98,65 doğrulukla literatürle eşit performans sergilerken, F1 skoru itibarıyla önceki en iyi çalışmanın önüne geçmiştir. Grad-CAM görselleştirmeleri ve detaylı hata analizi ile modellerin karar mekanizmaları yorumlanmıştır. Sonuçlar, Transformer tabanlı mimarilerin arı sağlığı izleme sistemleri için güçlü bir alternatif sunduğunu ortaya koymaktadır.</w:t>
      </w:r>
    </w:p>
    <w:p>
      <w:pPr>
        <w:spacing w:before="40" w:after="80" w:lineRule="exact" w:line="200"/>
        <w:jc w:val="both"/>
      </w:pPr>
      <w:r>
        <w:rPr>
          <w:rFonts w:ascii="Times New Roman" w:hAnsi="Times New Roman"/>
          <w:b/>
          <w:i/>
          <w:sz w:val="18"/>
          <w:u w:val="none"/>
        </w:rPr>
        <w:t>Anahtar Kelimeler</w:t>
      </w:r>
      <w:r>
        <w:rPr>
          <w:rFonts w:ascii="Times New Roman" w:hAnsi="Times New Roman"/>
          <w:b w:val="0"/>
          <w:i w:val="0"/>
          <w:sz w:val="18"/>
          <w:u w:val="none"/>
        </w:rPr>
        <w:t>—Bal arısı hastalık tespiti, derin öğrenme, Swin Transformer, EfficientNetV2, görüntü sınıflandırma, BeeImage veri seti, Grad-CAM</w:t>
      </w:r>
    </w:p>
    <w:p>
      <w:pPr>
        <w:spacing w:before="40" w:after="0" w:lineRule="exact" w:line="200"/>
        <w:jc w:val="both"/>
      </w:pPr>
      <w:r>
        <w:rPr>
          <w:rFonts w:ascii="Times New Roman" w:hAnsi="Times New Roman"/>
          <w:b/>
          <w:i/>
          <w:sz w:val="18"/>
          <w:u w:val="none"/>
        </w:rPr>
        <w:t>Abstract</w:t>
      </w:r>
      <w:r>
        <w:rPr>
          <w:rFonts w:ascii="Times New Roman" w:hAnsi="Times New Roman"/>
          <w:b w:val="0"/>
          <w:i w:val="0"/>
          <w:sz w:val="18"/>
          <w:u w:val="none"/>
        </w:rPr>
        <w:t>—Honey bees (Apis mellifera) play a critical role in global agricultural ecosystems, and diseases remain among the leading causes of colony losses. This study presents a comprehensive deep learning-based image classification system for the automatic detection of six honey bee health conditions: Ant Problems, Small Hive Beetles, Healthy, Robbed Hive, Missing Queen, and Varroa mites. Three distinct approaches are systematically compared on the BeeImage dataset comprising 5,172 images: EfficientNetV2-S, Swin Transformer, and a Hybrid CNN + Gradient Boosting ensemble. Applied for the first time on this dataset, Swin Transformer achieves 98.74% accuracy and 98.75% F1 score, surpassing the existing literature record of 98.65%. The heterogeneous ensemble of EfficientNetV2-S and Swin Transformer reaches 98.65% accuracy with a weighted F1 score of 98.65%, outperforming all prior works in terms of F1. Grad-CAM visualizations and detailed error analysis provide interpretability insights into model decision-making. Results demonstrate that Transformer-based architectures offer a strong alternative to conventional CNNs for bee health monitoring systems.</w:t>
      </w:r>
    </w:p>
    <w:p>
      <w:pPr>
        <w:spacing w:before="40" w:after="80" w:lineRule="exact" w:line="200"/>
        <w:jc w:val="both"/>
      </w:pPr>
      <w:r>
        <w:rPr>
          <w:rFonts w:ascii="Times New Roman" w:hAnsi="Times New Roman"/>
          <w:b/>
          <w:i/>
          <w:sz w:val="18"/>
          <w:u w:val="none"/>
        </w:rPr>
        <w:t>Index Terms</w:t>
      </w:r>
      <w:r>
        <w:rPr>
          <w:rFonts w:ascii="Times New Roman" w:hAnsi="Times New Roman"/>
          <w:b w:val="0"/>
          <w:i w:val="0"/>
          <w:sz w:val="18"/>
          <w:u w:val="none"/>
        </w:rPr>
        <w:t>—Honey bee disease detection, deep learning, Swin Transformer, EfficientNetV2, image classification, BeeImage dataset, Grad-CAM</w:t>
      </w:r>
    </w:p>
    <w:p>
      <w:pPr>
        <w:spacing w:before="0" w:after="0" w:lineRule="exact" w:line="80"/>
        <w:jc w:val="center"/>
        <w:pBdr>
          <w:bottom w:val="single" w:sz="6" w:space="1" w:color="000000"/>
        </w:pBdr>
      </w:pPr>
    </w:p>
    <w:p>
      <w:pPr>
        <w:spacing w:before="0" w:after="0" w:lineRule="exact" w:line="20"/>
        <w:jc w:val="both"/>
        <w:sectPr>
          <w:type w:val="continuous"/>
          <w:cols w:num="1" w:equalWidth="1"/>
          <w:pgSz w:w="11906" w:h="16838"/>
          <w:pgMar w:top="1083" w:right="901" w:bottom="1440" w:left="901" w:header="720" w:footer="720" w:gutter="0"/>
        </w:sectPr>
      </w:pPr>
    </w:p>
    <w:p>
      <w:pPr>
        <w:spacing w:before="120" w:after="80" w:lineRule="exact" w:line="240"/>
        <w:jc w:val="center"/>
      </w:pPr>
      <w:r>
        <w:rPr>
          <w:rFonts w:ascii="Times New Roman" w:hAnsi="Times New Roman"/>
          <w:b/>
          <w:i w:val="0"/>
          <w:smallCaps/>
          <w:sz w:val="20"/>
          <w:u w:val="none"/>
        </w:rPr>
        <w:t>I. GIRIŞ</w:t>
      </w:r>
    </w:p>
    <w:p>
      <w:pPr>
        <w:spacing w:before="0" w:after="0" w:lineRule="exact" w:line="240"/>
        <w:ind w:firstLine="288"/>
        <w:jc w:val="both"/>
      </w:pPr>
      <w:r>
        <w:rPr>
          <w:rFonts w:ascii="Times New Roman" w:hAnsi="Times New Roman"/>
          <w:b w:val="0"/>
          <w:i w:val="0"/>
          <w:sz w:val="20"/>
          <w:u w:val="none"/>
        </w:rPr>
        <w:t>Bal arıları (Apis mellifera), bitki türlerinin %80'inden fazlasının tozlaşmasını sağlayan ve küresel gıda üretiminde kritik rol oynayan önemli bir tarımsal varlıktır. Bununla birlikte, arı kolonileri Varroa akarları, parazitler, bakteriyel enfeksiyonlar ve çevresel stres faktörleri başta olmak üzere çok sayıda tehditle karşı karşıya kalmaktadır. Koloni Çöküş Bozukluğu (Colony Collapse Disorder – CCD) olarak bilinen bu olgu, son on yıllarda dünya genelinde koloni kayıplarına yol açmakta ve arıcılık sektörünü derinden etkilemektedir.</w:t>
      </w:r>
    </w:p>
    <w:p>
      <w:pPr>
        <w:spacing w:before="0" w:after="0" w:lineRule="exact" w:line="240"/>
        <w:ind w:firstLine="288"/>
        <w:jc w:val="both"/>
      </w:pPr>
      <w:r>
        <w:rPr>
          <w:rFonts w:ascii="Times New Roman" w:hAnsi="Times New Roman"/>
          <w:b w:val="0"/>
          <w:i w:val="0"/>
          <w:sz w:val="20"/>
          <w:u w:val="none"/>
        </w:rPr>
        <w:t>Hastalıkların erken ve doğru tespiti, koloni kayıplarının önlenmesinde belirleyici bir öneme sahiptir. Geleneksel teşhis yöntemleri uzman bilgisi ve yoğun emek gerektirdiğinden büyük ölçekli arıcılık operasyonlarında uygulanması güçtür. Son yıllarda bilgisayarla görme ve derin öğrenme alanındaki hızlı gelişmeler, görüntü tabanlı otomatik hastalık tespiti için umut verici çözümler sunmaktadır.</w:t>
      </w:r>
    </w:p>
    <w:p>
      <w:pPr>
        <w:spacing w:before="0" w:after="0" w:lineRule="exact" w:line="240"/>
        <w:ind w:firstLine="288"/>
        <w:jc w:val="both"/>
      </w:pPr>
      <w:r>
        <w:rPr>
          <w:rFonts w:ascii="Times New Roman" w:hAnsi="Times New Roman"/>
          <w:b w:val="0"/>
          <w:i w:val="0"/>
          <w:sz w:val="20"/>
          <w:u w:val="none"/>
        </w:rPr>
        <w:t>Bu çalışmanın temel katkıları şu şekilde özetlenebilir:</w:t>
      </w:r>
    </w:p>
    <w:p>
      <w:pPr>
        <w:pStyle w:val="ListBullet"/>
        <w:spacing w:before="0" w:after="20" w:lineRule="exact" w:line="220"/>
        <w:ind w:hanging="180" w:left="360"/>
        <w:jc w:val="both"/>
      </w:pPr>
      <w:r>
        <w:rPr>
          <w:rFonts w:ascii="Times New Roman" w:hAnsi="Times New Roman"/>
          <w:b w:val="0"/>
          <w:i w:val="0"/>
          <w:sz w:val="19"/>
          <w:u w:val="none"/>
        </w:rPr>
        <w:t>BeeImage veri setinde Swin Transformer'ın literatürde ilk kez uygulanması ve mevcut rekoru (%98,65) geçen %98,74 doğruluk oranının elde edilmesi.</w:t>
      </w:r>
    </w:p>
    <w:p>
      <w:pPr>
        <w:pStyle w:val="ListBullet"/>
        <w:spacing w:before="0" w:after="20" w:lineRule="exact" w:line="220"/>
        <w:ind w:hanging="180" w:left="360"/>
        <w:jc w:val="both"/>
      </w:pPr>
      <w:r>
        <w:rPr>
          <w:rFonts w:ascii="Times New Roman" w:hAnsi="Times New Roman"/>
          <w:b w:val="0"/>
          <w:i w:val="0"/>
          <w:sz w:val="19"/>
          <w:u w:val="none"/>
        </w:rPr>
        <w:t>EfficientNetV2-S'nin bu veri setinde kapsamlı biçimde değerlendirilmesi ve %98,55 doğruluk oranıyla güçlü bir sonuç sergilenmesi.</w:t>
      </w:r>
    </w:p>
    <w:p>
      <w:pPr>
        <w:pStyle w:val="ListBullet"/>
        <w:spacing w:before="0" w:after="20" w:lineRule="exact" w:line="220"/>
        <w:ind w:hanging="180" w:left="360"/>
        <w:jc w:val="both"/>
      </w:pPr>
      <w:r>
        <w:rPr>
          <w:rFonts w:ascii="Times New Roman" w:hAnsi="Times New Roman"/>
          <w:b w:val="0"/>
          <w:i w:val="0"/>
          <w:sz w:val="19"/>
          <w:u w:val="none"/>
        </w:rPr>
        <w:t>CNN + Transformer heterojen ensemble stratejisinin sistematik olarak araştırılması.</w:t>
      </w:r>
    </w:p>
    <w:p>
      <w:pPr>
        <w:pStyle w:val="ListBullet"/>
        <w:spacing w:before="0" w:after="20" w:lineRule="exact" w:line="220"/>
        <w:ind w:hanging="180" w:left="360"/>
        <w:jc w:val="both"/>
      </w:pPr>
      <w:r>
        <w:rPr>
          <w:rFonts w:ascii="Times New Roman" w:hAnsi="Times New Roman"/>
          <w:b w:val="0"/>
          <w:i w:val="0"/>
          <w:sz w:val="19"/>
          <w:u w:val="none"/>
        </w:rPr>
        <w:t>Grad-CAM görselleştirmeleri aracılığıyla model karar mekanizmalarının yorumlanabilirlik açısından incelenmesi.</w:t>
      </w:r>
    </w:p>
    <w:p>
      <w:pPr>
        <w:pStyle w:val="ListBullet"/>
        <w:spacing w:before="0" w:after="20" w:lineRule="exact" w:line="220"/>
        <w:ind w:hanging="180" w:left="360"/>
        <w:jc w:val="both"/>
      </w:pPr>
      <w:r>
        <w:rPr>
          <w:rFonts w:ascii="Times New Roman" w:hAnsi="Times New Roman"/>
          <w:b w:val="0"/>
          <w:i w:val="0"/>
          <w:sz w:val="19"/>
          <w:u w:val="none"/>
        </w:rPr>
        <w:t>Optuna ile otomatik hiperparametre optimizasyonu uygulanmış Hibrit CNN + Gradyan Artırma yaklaşımının araştırılması.</w:t>
      </w:r>
    </w:p>
    <w:p>
      <w:pPr>
        <w:spacing w:before="120" w:after="80" w:lineRule="exact" w:line="240"/>
        <w:jc w:val="center"/>
      </w:pPr>
      <w:r>
        <w:rPr>
          <w:rFonts w:ascii="Times New Roman" w:hAnsi="Times New Roman"/>
          <w:b/>
          <w:i w:val="0"/>
          <w:smallCaps/>
          <w:sz w:val="20"/>
          <w:u w:val="none"/>
        </w:rPr>
        <w:t>II. İLGILI ÇALIŞMALAR</w:t>
      </w:r>
    </w:p>
    <w:p>
      <w:pPr>
        <w:spacing w:before="0" w:after="0" w:lineRule="exact" w:line="240"/>
        <w:ind w:firstLine="288"/>
        <w:jc w:val="both"/>
      </w:pPr>
      <w:r>
        <w:rPr>
          <w:rFonts w:ascii="Times New Roman" w:hAnsi="Times New Roman"/>
          <w:b w:val="0"/>
          <w:i w:val="0"/>
          <w:sz w:val="20"/>
          <w:u w:val="none"/>
        </w:rPr>
        <w:t>Arı hastalıklarının görüntü tabanlı tespitine yönelik çalışmalar son yıllarda giderek artmaktadır. Üzen vd. [1], özel tasarlanmış bir CNN mimarisiyle BeeImage veri setinde %92,42 doğruluk elde etmiştir. Margapuri vd. [2], transfer öğrenme yöntemiyle ResNet-50 kullanarak %91,90 başarı oranı bildirmiştir.</w:t>
      </w:r>
    </w:p>
    <w:p>
      <w:pPr>
        <w:spacing w:before="0" w:after="0" w:lineRule="exact" w:line="240"/>
        <w:ind w:firstLine="288"/>
        <w:jc w:val="both"/>
      </w:pPr>
      <w:r>
        <w:rPr>
          <w:rFonts w:ascii="Times New Roman" w:hAnsi="Times New Roman"/>
          <w:b w:val="0"/>
          <w:i w:val="0"/>
          <w:sz w:val="20"/>
          <w:u w:val="none"/>
        </w:rPr>
        <w:t>Metlek ve Kayaalp [3], CNN tabanlı Softmax ve Çok Katmanlı Geri Besleme (MLFB) yaklaşımlarını karşılaştırmış; MLFB mimarisi %95,04 ile üstün performans göstermiştir. Chawane vd. [4], DenseNet-121 modeliyle %91,60 doğruluk elde etmiştir. Karthiga vd. [5] ise SMOTE veri dengeleme tekniğini CNN ile birleştirerek %84,00 başarı oranına ulaşmıştır.</w:t>
      </w:r>
    </w:p>
    <w:p>
      <w:pPr>
        <w:spacing w:before="0" w:after="0" w:lineRule="exact" w:line="240"/>
        <w:ind w:firstLine="288"/>
        <w:jc w:val="both"/>
      </w:pPr>
      <w:r>
        <w:rPr>
          <w:rFonts w:ascii="Times New Roman" w:hAnsi="Times New Roman"/>
          <w:b w:val="0"/>
          <w:i w:val="0"/>
          <w:sz w:val="20"/>
          <w:u w:val="none"/>
        </w:rPr>
        <w:t>VGG-19 mimarisine dayanan çalışmalar arasında Kaplan Berkaya vd. [6] %98,07 doğruluk ve %94,19 F1 skoru bildirmiş; Liang [7] ise %98,65 ile mevcut literatür rekorunu elde etmiştir. Yoo vd. [8] %94,50, Kılıç ve Yaman [9] ise %94,03 doğruluk bildirmiştir. Swin Transformer gibi modern Transformer tabanlı mimarilerin bu veri setinde hiç değerlendirilmemiş olması ve heterojen ensemble stratejilerinin yeterince araştırılmamış olması bu çalışmanın temel motivasyonunu oluşturmaktadır.</w:t>
      </w:r>
    </w:p>
    <w:p>
      <w:pPr>
        <w:spacing w:before="120" w:after="80" w:lineRule="exact" w:line="240"/>
        <w:jc w:val="center"/>
      </w:pPr>
      <w:r>
        <w:rPr>
          <w:rFonts w:ascii="Times New Roman" w:hAnsi="Times New Roman"/>
          <w:b/>
          <w:i w:val="0"/>
          <w:smallCaps/>
          <w:sz w:val="20"/>
          <w:u w:val="none"/>
        </w:rPr>
        <w:t>III. VERI SETI VE ÖN İŞLEME</w:t>
      </w:r>
    </w:p>
    <w:p>
      <w:pPr>
        <w:spacing w:before="100" w:after="40" w:lineRule="exact" w:line="240"/>
        <w:jc w:val="left"/>
      </w:pPr>
      <w:r>
        <w:rPr>
          <w:rFonts w:ascii="Times New Roman" w:hAnsi="Times New Roman"/>
          <w:b w:val="0"/>
          <w:i/>
          <w:sz w:val="20"/>
          <w:u w:val="none"/>
        </w:rPr>
        <w:t>A. BeeImage Veri Seti</w:t>
      </w:r>
    </w:p>
    <w:p>
      <w:pPr>
        <w:spacing w:before="0" w:after="0" w:lineRule="exact" w:line="240"/>
        <w:ind w:firstLine="288"/>
        <w:jc w:val="both"/>
      </w:pPr>
      <w:r>
        <w:rPr>
          <w:rFonts w:ascii="Times New Roman" w:hAnsi="Times New Roman"/>
          <w:b w:val="0"/>
          <w:i w:val="0"/>
          <w:sz w:val="20"/>
          <w:u w:val="none"/>
        </w:rPr>
        <w:t>Bu çalışmada Jenny Yang tarafından derlenen BeeImage veri seti [10] kullanılmıştır. Veri seti, altı farklı sınıfa ait toplam 5.172 arı görüntüsü içermektedir. Sınıf dağılımı Tablo I'de verilmektedir.</w:t>
      </w:r>
    </w:p>
    <w:p>
      <w:pPr>
        <w:spacing w:before="120" w:after="40" w:lineRule="exact" w:line="200"/>
        <w:jc w:val="center"/>
      </w:pPr>
      <w:r>
        <w:rPr>
          <w:rFonts w:ascii="Times New Roman" w:hAnsi="Times New Roman"/>
          <w:b/>
          <w:i w:val="0"/>
          <w:smallCaps/>
          <w:sz w:val="16"/>
          <w:u w:val="none"/>
        </w:rPr>
        <w:t>TABLE I</w:t>
      </w:r>
      <w:r>
        <w:rPr>
          <w:rFonts w:ascii="Times New Roman" w:hAnsi="Times New Roman"/>
          <w:b w:val="0"/>
          <w:i w:val="0"/>
          <w:sz w:val="16"/>
          <w:u w:val="none"/>
        </w:rPr>
        <w:br/>
      </w:r>
      <w:r>
        <w:rPr>
          <w:rFonts w:ascii="Times New Roman" w:hAnsi="Times New Roman"/>
          <w:b w:val="0"/>
          <w:i w:val="0"/>
          <w:smallCaps/>
          <w:sz w:val="16"/>
          <w:u w:val="none"/>
        </w:rPr>
        <w:t>BEEIMAGE VERI SETI SINIF DAĞILIMI</w:t>
      </w:r>
    </w:p>
    <w:tbl>
      <w:tblPr>
        <w:tblW w:type="auto" w:w="0"/>
        <w:jc w:val="center"/>
        <w:tblLook w:firstColumn="1" w:firstRow="1" w:lastColumn="0" w:lastRow="0" w:noHBand="0" w:noVBand="1" w:val="04A0"/>
      </w:tblPr>
      <w:tblGrid>
        <w:gridCol w:w="2526"/>
        <w:gridCol w:w="2526"/>
        <w:gridCol w:w="2526"/>
        <w:gridCol w:w="2526"/>
      </w:tblGrid>
      <w:tr>
        <w:tc>
          <w:tcPr>
            <w:tcW w:type="dxa" w:w="2526"/>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7"/>
                <w:u w:val="none"/>
              </w:rPr>
              <w:t>ID</w:t>
            </w:r>
          </w:p>
        </w:tc>
        <w:tc>
          <w:tcPr>
            <w:tcW w:type="dxa" w:w="2526"/>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7"/>
                <w:u w:val="none"/>
              </w:rPr>
              <w:t>Sınıf</w:t>
            </w:r>
          </w:p>
        </w:tc>
        <w:tc>
          <w:tcPr>
            <w:tcW w:type="dxa" w:w="2526"/>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7"/>
                <w:u w:val="none"/>
              </w:rPr>
              <w:t>N</w:t>
            </w:r>
          </w:p>
        </w:tc>
        <w:tc>
          <w:tcPr>
            <w:tcW w:type="dxa" w:w="2526"/>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7"/>
                <w:u w:val="none"/>
              </w:rPr>
              <w:t>%</w:t>
            </w:r>
          </w:p>
        </w:tc>
      </w:tr>
      <w:tr>
        <w:tc>
          <w:tcPr>
            <w:tcW w:type="dxa" w:w="2526"/>
          </w:tcPr>
          <w:p>
            <w:pPr>
              <w:spacing w:before="20" w:after="20" w:lineRule="exact" w:line="200"/>
              <w:jc w:val="center"/>
            </w:pPr>
            <w:r>
              <w:rPr>
                <w:rFonts w:ascii="Times New Roman" w:hAnsi="Times New Roman"/>
                <w:b w:val="0"/>
                <w:i w:val="0"/>
                <w:sz w:val="17"/>
                <w:u w:val="none"/>
              </w:rPr>
              <w:t>0</w:t>
            </w:r>
          </w:p>
        </w:tc>
        <w:tc>
          <w:tcPr>
            <w:tcW w:type="dxa" w:w="2526"/>
          </w:tcPr>
          <w:p>
            <w:pPr>
              <w:spacing w:before="20" w:after="20" w:lineRule="exact" w:line="200"/>
              <w:jc w:val="left"/>
            </w:pPr>
            <w:r>
              <w:rPr>
                <w:rFonts w:ascii="Times New Roman" w:hAnsi="Times New Roman"/>
                <w:b w:val="0"/>
                <w:i w:val="0"/>
                <w:sz w:val="17"/>
                <w:u w:val="none"/>
              </w:rPr>
              <w:t>Karınca Sorunları</w:t>
            </w:r>
          </w:p>
        </w:tc>
        <w:tc>
          <w:tcPr>
            <w:tcW w:type="dxa" w:w="2526"/>
          </w:tcPr>
          <w:p>
            <w:pPr>
              <w:spacing w:before="20" w:after="20" w:lineRule="exact" w:line="200"/>
              <w:jc w:val="center"/>
            </w:pPr>
            <w:r>
              <w:rPr>
                <w:rFonts w:ascii="Times New Roman" w:hAnsi="Times New Roman"/>
                <w:b w:val="0"/>
                <w:i w:val="0"/>
                <w:sz w:val="17"/>
                <w:u w:val="none"/>
              </w:rPr>
              <w:t>457</w:t>
            </w:r>
          </w:p>
        </w:tc>
        <w:tc>
          <w:tcPr>
            <w:tcW w:type="dxa" w:w="2526"/>
          </w:tcPr>
          <w:p>
            <w:pPr>
              <w:spacing w:before="20" w:after="20" w:lineRule="exact" w:line="200"/>
              <w:jc w:val="center"/>
            </w:pPr>
            <w:r>
              <w:rPr>
                <w:rFonts w:ascii="Times New Roman" w:hAnsi="Times New Roman"/>
                <w:b w:val="0"/>
                <w:i w:val="0"/>
                <w:sz w:val="17"/>
                <w:u w:val="none"/>
              </w:rPr>
              <w:t>8,8</w:t>
            </w:r>
          </w:p>
        </w:tc>
      </w:tr>
      <w:tr>
        <w:tc>
          <w:tcPr>
            <w:tcW w:type="dxa" w:w="2526"/>
          </w:tcPr>
          <w:p>
            <w:pPr>
              <w:spacing w:before="20" w:after="20" w:lineRule="exact" w:line="200"/>
              <w:jc w:val="center"/>
            </w:pPr>
            <w:r>
              <w:rPr>
                <w:rFonts w:ascii="Times New Roman" w:hAnsi="Times New Roman"/>
                <w:b w:val="0"/>
                <w:i w:val="0"/>
                <w:sz w:val="17"/>
                <w:u w:val="none"/>
              </w:rPr>
              <w:t>1</w:t>
            </w:r>
          </w:p>
        </w:tc>
        <w:tc>
          <w:tcPr>
            <w:tcW w:type="dxa" w:w="2526"/>
          </w:tcPr>
          <w:p>
            <w:pPr>
              <w:spacing w:before="20" w:after="20" w:lineRule="exact" w:line="200"/>
              <w:jc w:val="left"/>
            </w:pPr>
            <w:r>
              <w:rPr>
                <w:rFonts w:ascii="Times New Roman" w:hAnsi="Times New Roman"/>
                <w:b w:val="0"/>
                <w:i w:val="0"/>
                <w:sz w:val="17"/>
                <w:u w:val="none"/>
              </w:rPr>
              <w:t>Küçük Kovan Böceği</w:t>
            </w:r>
          </w:p>
        </w:tc>
        <w:tc>
          <w:tcPr>
            <w:tcW w:type="dxa" w:w="2526"/>
          </w:tcPr>
          <w:p>
            <w:pPr>
              <w:spacing w:before="20" w:after="20" w:lineRule="exact" w:line="200"/>
              <w:jc w:val="center"/>
            </w:pPr>
            <w:r>
              <w:rPr>
                <w:rFonts w:ascii="Times New Roman" w:hAnsi="Times New Roman"/>
                <w:b w:val="0"/>
                <w:i w:val="0"/>
                <w:sz w:val="17"/>
                <w:u w:val="none"/>
              </w:rPr>
              <w:t>579</w:t>
            </w:r>
          </w:p>
        </w:tc>
        <w:tc>
          <w:tcPr>
            <w:tcW w:type="dxa" w:w="2526"/>
          </w:tcPr>
          <w:p>
            <w:pPr>
              <w:spacing w:before="20" w:after="20" w:lineRule="exact" w:line="200"/>
              <w:jc w:val="center"/>
            </w:pPr>
            <w:r>
              <w:rPr>
                <w:rFonts w:ascii="Times New Roman" w:hAnsi="Times New Roman"/>
                <w:b w:val="0"/>
                <w:i w:val="0"/>
                <w:sz w:val="17"/>
                <w:u w:val="none"/>
              </w:rPr>
              <w:t>11,2</w:t>
            </w:r>
          </w:p>
        </w:tc>
      </w:tr>
      <w:tr>
        <w:tc>
          <w:tcPr>
            <w:tcW w:type="dxa" w:w="2526"/>
          </w:tcPr>
          <w:p>
            <w:pPr>
              <w:spacing w:before="20" w:after="20" w:lineRule="exact" w:line="200"/>
              <w:jc w:val="center"/>
            </w:pPr>
            <w:r>
              <w:rPr>
                <w:rFonts w:ascii="Times New Roman" w:hAnsi="Times New Roman"/>
                <w:b w:val="0"/>
                <w:i w:val="0"/>
                <w:sz w:val="17"/>
                <w:u w:val="none"/>
              </w:rPr>
              <w:t>2</w:t>
            </w:r>
          </w:p>
        </w:tc>
        <w:tc>
          <w:tcPr>
            <w:tcW w:type="dxa" w:w="2526"/>
          </w:tcPr>
          <w:p>
            <w:pPr>
              <w:spacing w:before="20" w:after="20" w:lineRule="exact" w:line="200"/>
              <w:jc w:val="left"/>
            </w:pPr>
            <w:r>
              <w:rPr>
                <w:rFonts w:ascii="Times New Roman" w:hAnsi="Times New Roman"/>
                <w:b w:val="0"/>
                <w:i w:val="0"/>
                <w:sz w:val="17"/>
                <w:u w:val="none"/>
              </w:rPr>
              <w:t>Sağlıklı</w:t>
            </w:r>
          </w:p>
        </w:tc>
        <w:tc>
          <w:tcPr>
            <w:tcW w:type="dxa" w:w="2526"/>
          </w:tcPr>
          <w:p>
            <w:pPr>
              <w:spacing w:before="20" w:after="20" w:lineRule="exact" w:line="200"/>
              <w:jc w:val="center"/>
            </w:pPr>
            <w:r>
              <w:rPr>
                <w:rFonts w:ascii="Times New Roman" w:hAnsi="Times New Roman"/>
                <w:b w:val="0"/>
                <w:i w:val="0"/>
                <w:sz w:val="17"/>
                <w:u w:val="none"/>
              </w:rPr>
              <w:t>3384</w:t>
            </w:r>
          </w:p>
        </w:tc>
        <w:tc>
          <w:tcPr>
            <w:tcW w:type="dxa" w:w="2526"/>
          </w:tcPr>
          <w:p>
            <w:pPr>
              <w:spacing w:before="20" w:after="20" w:lineRule="exact" w:line="200"/>
              <w:jc w:val="center"/>
            </w:pPr>
            <w:r>
              <w:rPr>
                <w:rFonts w:ascii="Times New Roman" w:hAnsi="Times New Roman"/>
                <w:b w:val="0"/>
                <w:i w:val="0"/>
                <w:sz w:val="17"/>
                <w:u w:val="none"/>
              </w:rPr>
              <w:t>65,4</w:t>
            </w:r>
          </w:p>
        </w:tc>
      </w:tr>
      <w:tr>
        <w:tc>
          <w:tcPr>
            <w:tcW w:type="dxa" w:w="2526"/>
          </w:tcPr>
          <w:p>
            <w:pPr>
              <w:spacing w:before="20" w:after="20" w:lineRule="exact" w:line="200"/>
              <w:jc w:val="center"/>
            </w:pPr>
            <w:r>
              <w:rPr>
                <w:rFonts w:ascii="Times New Roman" w:hAnsi="Times New Roman"/>
                <w:b w:val="0"/>
                <w:i w:val="0"/>
                <w:sz w:val="17"/>
                <w:u w:val="none"/>
              </w:rPr>
              <w:t>3</w:t>
            </w:r>
          </w:p>
        </w:tc>
        <w:tc>
          <w:tcPr>
            <w:tcW w:type="dxa" w:w="2526"/>
          </w:tcPr>
          <w:p>
            <w:pPr>
              <w:spacing w:before="20" w:after="20" w:lineRule="exact" w:line="200"/>
              <w:jc w:val="left"/>
            </w:pPr>
            <w:r>
              <w:rPr>
                <w:rFonts w:ascii="Times New Roman" w:hAnsi="Times New Roman"/>
                <w:b w:val="0"/>
                <w:i w:val="0"/>
                <w:sz w:val="17"/>
                <w:u w:val="none"/>
              </w:rPr>
              <w:t>Soyulmuş Kovan</w:t>
            </w:r>
          </w:p>
        </w:tc>
        <w:tc>
          <w:tcPr>
            <w:tcW w:type="dxa" w:w="2526"/>
          </w:tcPr>
          <w:p>
            <w:pPr>
              <w:spacing w:before="20" w:after="20" w:lineRule="exact" w:line="200"/>
              <w:jc w:val="center"/>
            </w:pPr>
            <w:r>
              <w:rPr>
                <w:rFonts w:ascii="Times New Roman" w:hAnsi="Times New Roman"/>
                <w:b w:val="0"/>
                <w:i w:val="0"/>
                <w:sz w:val="17"/>
                <w:u w:val="none"/>
              </w:rPr>
              <w:t>251</w:t>
            </w:r>
          </w:p>
        </w:tc>
        <w:tc>
          <w:tcPr>
            <w:tcW w:type="dxa" w:w="2526"/>
          </w:tcPr>
          <w:p>
            <w:pPr>
              <w:spacing w:before="20" w:after="20" w:lineRule="exact" w:line="200"/>
              <w:jc w:val="center"/>
            </w:pPr>
            <w:r>
              <w:rPr>
                <w:rFonts w:ascii="Times New Roman" w:hAnsi="Times New Roman"/>
                <w:b w:val="0"/>
                <w:i w:val="0"/>
                <w:sz w:val="17"/>
                <w:u w:val="none"/>
              </w:rPr>
              <w:t>4,9</w:t>
            </w:r>
          </w:p>
        </w:tc>
      </w:tr>
      <w:tr>
        <w:tc>
          <w:tcPr>
            <w:tcW w:type="dxa" w:w="2526"/>
          </w:tcPr>
          <w:p>
            <w:pPr>
              <w:spacing w:before="20" w:after="20" w:lineRule="exact" w:line="200"/>
              <w:jc w:val="center"/>
            </w:pPr>
            <w:r>
              <w:rPr>
                <w:rFonts w:ascii="Times New Roman" w:hAnsi="Times New Roman"/>
                <w:b w:val="0"/>
                <w:i w:val="0"/>
                <w:sz w:val="17"/>
                <w:u w:val="none"/>
              </w:rPr>
              <w:t>4</w:t>
            </w:r>
          </w:p>
        </w:tc>
        <w:tc>
          <w:tcPr>
            <w:tcW w:type="dxa" w:w="2526"/>
          </w:tcPr>
          <w:p>
            <w:pPr>
              <w:spacing w:before="20" w:after="20" w:lineRule="exact" w:line="200"/>
              <w:jc w:val="left"/>
            </w:pPr>
            <w:r>
              <w:rPr>
                <w:rFonts w:ascii="Times New Roman" w:hAnsi="Times New Roman"/>
                <w:b w:val="0"/>
                <w:i w:val="0"/>
                <w:sz w:val="17"/>
                <w:u w:val="none"/>
              </w:rPr>
              <w:t>Kayıp Kraliçe</w:t>
            </w:r>
          </w:p>
        </w:tc>
        <w:tc>
          <w:tcPr>
            <w:tcW w:type="dxa" w:w="2526"/>
          </w:tcPr>
          <w:p>
            <w:pPr>
              <w:spacing w:before="20" w:after="20" w:lineRule="exact" w:line="200"/>
              <w:jc w:val="center"/>
            </w:pPr>
            <w:r>
              <w:rPr>
                <w:rFonts w:ascii="Times New Roman" w:hAnsi="Times New Roman"/>
                <w:b w:val="0"/>
                <w:i w:val="0"/>
                <w:sz w:val="17"/>
                <w:u w:val="none"/>
              </w:rPr>
              <w:t>29</w:t>
            </w:r>
          </w:p>
        </w:tc>
        <w:tc>
          <w:tcPr>
            <w:tcW w:type="dxa" w:w="2526"/>
          </w:tcPr>
          <w:p>
            <w:pPr>
              <w:spacing w:before="20" w:after="20" w:lineRule="exact" w:line="200"/>
              <w:jc w:val="center"/>
            </w:pPr>
            <w:r>
              <w:rPr>
                <w:rFonts w:ascii="Times New Roman" w:hAnsi="Times New Roman"/>
                <w:b w:val="0"/>
                <w:i w:val="0"/>
                <w:sz w:val="17"/>
                <w:u w:val="none"/>
              </w:rPr>
              <w:t>0,6</w:t>
            </w:r>
          </w:p>
        </w:tc>
      </w:tr>
      <w:tr>
        <w:tc>
          <w:tcPr>
            <w:tcW w:type="dxa" w:w="2526"/>
          </w:tcPr>
          <w:p>
            <w:pPr>
              <w:spacing w:before="20" w:after="20" w:lineRule="exact" w:line="200"/>
              <w:jc w:val="center"/>
            </w:pPr>
            <w:r>
              <w:rPr>
                <w:rFonts w:ascii="Times New Roman" w:hAnsi="Times New Roman"/>
                <w:b w:val="0"/>
                <w:i w:val="0"/>
                <w:sz w:val="17"/>
                <w:u w:val="none"/>
              </w:rPr>
              <w:t>5</w:t>
            </w:r>
          </w:p>
        </w:tc>
        <w:tc>
          <w:tcPr>
            <w:tcW w:type="dxa" w:w="2526"/>
          </w:tcPr>
          <w:p>
            <w:pPr>
              <w:spacing w:before="20" w:after="20" w:lineRule="exact" w:line="200"/>
              <w:jc w:val="left"/>
            </w:pPr>
            <w:r>
              <w:rPr>
                <w:rFonts w:ascii="Times New Roman" w:hAnsi="Times New Roman"/>
                <w:b w:val="0"/>
                <w:i w:val="0"/>
                <w:sz w:val="17"/>
                <w:u w:val="none"/>
              </w:rPr>
              <w:t>Varroa</w:t>
            </w:r>
          </w:p>
        </w:tc>
        <w:tc>
          <w:tcPr>
            <w:tcW w:type="dxa" w:w="2526"/>
          </w:tcPr>
          <w:p>
            <w:pPr>
              <w:spacing w:before="20" w:after="20" w:lineRule="exact" w:line="200"/>
              <w:jc w:val="center"/>
            </w:pPr>
            <w:r>
              <w:rPr>
                <w:rFonts w:ascii="Times New Roman" w:hAnsi="Times New Roman"/>
                <w:b w:val="0"/>
                <w:i w:val="0"/>
                <w:sz w:val="17"/>
                <w:u w:val="none"/>
              </w:rPr>
              <w:t>472</w:t>
            </w:r>
          </w:p>
        </w:tc>
        <w:tc>
          <w:tcPr>
            <w:tcW w:type="dxa" w:w="2526"/>
          </w:tcPr>
          <w:p>
            <w:pPr>
              <w:spacing w:before="20" w:after="20" w:lineRule="exact" w:line="200"/>
              <w:jc w:val="center"/>
            </w:pPr>
            <w:r>
              <w:rPr>
                <w:rFonts w:ascii="Times New Roman" w:hAnsi="Times New Roman"/>
                <w:b w:val="0"/>
                <w:i w:val="0"/>
                <w:sz w:val="17"/>
                <w:u w:val="none"/>
              </w:rPr>
              <w:t>9,1</w:t>
            </w:r>
          </w:p>
        </w:tc>
      </w:tr>
      <w:tr>
        <w:tc>
          <w:tcPr>
            <w:tcW w:type="dxa" w:w="2526"/>
            <w:tcBorders>
              <w:top w:val="single" w:sz="4" w:space="0" w:color="000000"/>
            </w:tcBorders>
            <w:tcBorders>
              <w:bottom w:val="single" w:sz="8" w:space="0" w:color="000000"/>
            </w:tcBorders>
          </w:tcPr>
          <w:p>
            <w:pPr>
              <w:spacing w:before="20" w:after="20" w:lineRule="exact" w:line="200"/>
              <w:jc w:val="center"/>
            </w:pPr>
            <w:r>
              <w:rPr>
                <w:rFonts w:ascii="Times New Roman" w:hAnsi="Times New Roman"/>
                <w:b w:val="0"/>
                <w:i w:val="0"/>
                <w:sz w:val="17"/>
                <w:u w:val="none"/>
              </w:rPr>
            </w:r>
          </w:p>
        </w:tc>
        <w:tc>
          <w:tcPr>
            <w:tcW w:type="dxa" w:w="2526"/>
            <w:tcBorders>
              <w:top w:val="single" w:sz="4" w:space="0" w:color="000000"/>
            </w:tcBorders>
            <w:tcBorders>
              <w:bottom w:val="single" w:sz="8" w:space="0" w:color="000000"/>
            </w:tcBorders>
          </w:tcPr>
          <w:p>
            <w:pPr>
              <w:spacing w:before="20" w:after="20" w:lineRule="exact" w:line="200"/>
              <w:jc w:val="left"/>
            </w:pPr>
            <w:r>
              <w:rPr>
                <w:rFonts w:ascii="Times New Roman" w:hAnsi="Times New Roman"/>
                <w:b/>
                <w:i w:val="0"/>
                <w:sz w:val="17"/>
                <w:u w:val="none"/>
              </w:rPr>
              <w:t>Toplam</w:t>
            </w:r>
          </w:p>
        </w:tc>
        <w:tc>
          <w:tcPr>
            <w:tcW w:type="dxa" w:w="2526"/>
            <w:tcBorders>
              <w:top w:val="single" w:sz="4" w:space="0" w:color="000000"/>
            </w:tcBorders>
            <w:tcBorders>
              <w:bottom w:val="single" w:sz="8" w:space="0" w:color="000000"/>
            </w:tcBorders>
          </w:tcPr>
          <w:p>
            <w:pPr>
              <w:spacing w:before="20" w:after="20" w:lineRule="exact" w:line="200"/>
              <w:jc w:val="center"/>
            </w:pPr>
            <w:r>
              <w:rPr>
                <w:rFonts w:ascii="Times New Roman" w:hAnsi="Times New Roman"/>
                <w:b/>
                <w:i w:val="0"/>
                <w:sz w:val="17"/>
                <w:u w:val="none"/>
              </w:rPr>
              <w:t>5172</w:t>
            </w:r>
          </w:p>
        </w:tc>
        <w:tc>
          <w:tcPr>
            <w:tcW w:type="dxa" w:w="2526"/>
            <w:tcBorders>
              <w:top w:val="single" w:sz="4" w:space="0" w:color="000000"/>
            </w:tcBorders>
            <w:tcBorders>
              <w:bottom w:val="single" w:sz="8" w:space="0" w:color="000000"/>
            </w:tcBorders>
          </w:tcPr>
          <w:p>
            <w:pPr>
              <w:spacing w:before="20" w:after="20" w:lineRule="exact" w:line="200"/>
              <w:jc w:val="center"/>
            </w:pPr>
            <w:r>
              <w:rPr>
                <w:rFonts w:ascii="Times New Roman" w:hAnsi="Times New Roman"/>
                <w:b/>
                <w:i w:val="0"/>
                <w:sz w:val="17"/>
                <w:u w:val="none"/>
              </w:rPr>
              <w:t>100</w:t>
            </w:r>
          </w:p>
        </w:tc>
      </w:tr>
    </w:tbl>
    <w:p>
      <w:pPr>
        <w:spacing w:before="0" w:after="0" w:lineRule="exact" w:line="240"/>
        <w:ind w:firstLine="288"/>
        <w:jc w:val="both"/>
      </w:pPr>
      <w:r>
        <w:rPr>
          <w:rFonts w:ascii="Times New Roman" w:hAnsi="Times New Roman"/>
          <w:b w:val="0"/>
          <w:i w:val="0"/>
          <w:sz w:val="20"/>
          <w:u w:val="none"/>
        </w:rPr>
        <w:t>Veri seti belirgin bir sınıf dengesizliği sergilemektedir; Sağlıklı sınıfı ile Kayıp Kraliçe sınıfı arasındaki oran 116,7:1'e ulaşmaktadır. Ortalama görüntü boyutu yaklaşık 73×72 pikseldir.</w:t>
      </w:r>
    </w:p>
    <w:p>
      <w:pPr>
        <w:spacing w:before="100" w:after="40" w:lineRule="exact" w:line="240"/>
        <w:jc w:val="left"/>
      </w:pPr>
      <w:r>
        <w:rPr>
          <w:rFonts w:ascii="Times New Roman" w:hAnsi="Times New Roman"/>
          <w:b w:val="0"/>
          <w:i/>
          <w:sz w:val="20"/>
          <w:u w:val="none"/>
        </w:rPr>
        <w:t>B. Veri Ön İşleme</w:t>
      </w:r>
    </w:p>
    <w:p>
      <w:pPr>
        <w:spacing w:before="0" w:after="0" w:lineRule="exact" w:line="240"/>
        <w:ind w:firstLine="288"/>
        <w:jc w:val="both"/>
      </w:pPr>
      <w:r>
        <w:rPr>
          <w:rFonts w:ascii="Times New Roman" w:hAnsi="Times New Roman"/>
          <w:b w:val="0"/>
          <w:i w:val="0"/>
          <w:sz w:val="20"/>
          <w:u w:val="none"/>
        </w:rPr>
        <w:t>Tüm görüntüler 224×224 piksel boyutuna yeniden ölçeklendirilmiş ve ImageNet ortalaması ile standart sapmasıyla normalizasyon uygulanmıştır. Sınıf dengesizliğini gidermek amacıyla: (1) sınıf ağırlıklı kayıp fonksiyonu (Kayıp Kraliçe için 5,0×), (2) etiket yumuşatma (λ = 0,05), (3) kapsamlı veri artırma birlikte kullanılmıştır.</w:t>
      </w:r>
    </w:p>
    <w:p>
      <w:pPr>
        <w:spacing w:before="100" w:after="40" w:lineRule="exact" w:line="240"/>
        <w:jc w:val="left"/>
      </w:pPr>
      <w:r>
        <w:rPr>
          <w:rFonts w:ascii="Times New Roman" w:hAnsi="Times New Roman"/>
          <w:b w:val="0"/>
          <w:i/>
          <w:sz w:val="20"/>
          <w:u w:val="none"/>
        </w:rPr>
        <w:t>C. Veri Artırma</w:t>
      </w:r>
    </w:p>
    <w:p>
      <w:pPr>
        <w:pStyle w:val="ListBullet"/>
        <w:spacing w:before="0" w:after="20" w:lineRule="exact" w:line="220"/>
        <w:ind w:hanging="180" w:left="360"/>
        <w:jc w:val="both"/>
      </w:pPr>
      <w:r>
        <w:rPr>
          <w:rFonts w:ascii="Times New Roman" w:hAnsi="Times New Roman"/>
          <w:b w:val="0"/>
          <w:i w:val="0"/>
          <w:sz w:val="19"/>
          <w:u w:val="none"/>
        </w:rPr>
        <w:t>Yatay/dikey yansıtma (%50/%30 olasılıkla)</w:t>
      </w:r>
    </w:p>
    <w:p>
      <w:pPr>
        <w:pStyle w:val="ListBullet"/>
        <w:spacing w:before="0" w:after="20" w:lineRule="exact" w:line="220"/>
        <w:ind w:hanging="180" w:left="360"/>
        <w:jc w:val="both"/>
      </w:pPr>
      <w:r>
        <w:rPr>
          <w:rFonts w:ascii="Times New Roman" w:hAnsi="Times New Roman"/>
          <w:b w:val="0"/>
          <w:i w:val="0"/>
          <w:sz w:val="19"/>
          <w:u w:val="none"/>
        </w:rPr>
        <w:t>±30° rastgele döndürme</w:t>
      </w:r>
    </w:p>
    <w:p>
      <w:pPr>
        <w:pStyle w:val="ListBullet"/>
        <w:spacing w:before="0" w:after="20" w:lineRule="exact" w:line="220"/>
        <w:ind w:hanging="180" w:left="360"/>
        <w:jc w:val="both"/>
      </w:pPr>
      <w:r>
        <w:rPr>
          <w:rFonts w:ascii="Times New Roman" w:hAnsi="Times New Roman"/>
          <w:b w:val="0"/>
          <w:i w:val="0"/>
          <w:sz w:val="19"/>
          <w:u w:val="none"/>
        </w:rPr>
        <w:t>Renk bozundurma (parlaklık, kontrast, doygunluk, ton)</w:t>
      </w:r>
    </w:p>
    <w:p>
      <w:pPr>
        <w:pStyle w:val="ListBullet"/>
        <w:spacing w:before="0" w:after="20" w:lineRule="exact" w:line="220"/>
        <w:ind w:hanging="180" w:left="360"/>
        <w:jc w:val="both"/>
      </w:pPr>
      <w:r>
        <w:rPr>
          <w:rFonts w:ascii="Times New Roman" w:hAnsi="Times New Roman"/>
          <w:b w:val="0"/>
          <w:i w:val="0"/>
          <w:sz w:val="19"/>
          <w:u w:val="none"/>
        </w:rPr>
        <w:t>Rastgele afin dönüşüm (ölçek: 0,85–1,15)</w:t>
      </w:r>
    </w:p>
    <w:p>
      <w:pPr>
        <w:pStyle w:val="ListBullet"/>
        <w:spacing w:before="0" w:after="20" w:lineRule="exact" w:line="220"/>
        <w:ind w:hanging="180" w:left="360"/>
        <w:jc w:val="both"/>
      </w:pPr>
      <w:r>
        <w:rPr>
          <w:rFonts w:ascii="Times New Roman" w:hAnsi="Times New Roman"/>
          <w:b w:val="0"/>
          <w:i w:val="0"/>
          <w:sz w:val="19"/>
          <w:u w:val="none"/>
        </w:rPr>
        <w:t>Random Erasing (%25 olasılıkla, [0,02–0,15] ölçek)</w:t>
      </w:r>
    </w:p>
    <w:p>
      <w:pPr>
        <w:spacing w:before="100" w:after="40" w:lineRule="exact" w:line="240"/>
        <w:jc w:val="left"/>
      </w:pPr>
      <w:r>
        <w:rPr>
          <w:rFonts w:ascii="Times New Roman" w:hAnsi="Times New Roman"/>
          <w:b w:val="0"/>
          <w:i/>
          <w:sz w:val="20"/>
          <w:u w:val="none"/>
        </w:rPr>
        <w:t>D. Değerlendirme Protokolü</w:t>
      </w:r>
    </w:p>
    <w:p>
      <w:pPr>
        <w:spacing w:before="0" w:after="0" w:lineRule="exact" w:line="240"/>
        <w:ind w:firstLine="288"/>
        <w:jc w:val="both"/>
      </w:pPr>
      <w:r>
        <w:rPr>
          <w:rFonts w:ascii="Times New Roman" w:hAnsi="Times New Roman"/>
          <w:b w:val="0"/>
          <w:i w:val="0"/>
          <w:sz w:val="20"/>
          <w:u w:val="none"/>
        </w:rPr>
        <w:t>Model değerlendirmesinde 5-katlı Katmanlı Çapraz Doğrulama kullanılmış ve tüm sonuçlar Fold 0 üzerinde raporlanmıştır. Eğitim/doğrulama bölünmesi 4.137/1.035 görüntü olarak belirlenmiştir. Son tahminler için 5 farklı dönüşüm kullanılan Test Zamanı Artırma (TTA) uygulanmıştır.</w:t>
      </w:r>
    </w:p>
    <w:p>
      <w:pPr>
        <w:spacing w:before="120" w:after="80" w:lineRule="exact" w:line="240"/>
        <w:jc w:val="center"/>
      </w:pPr>
      <w:r>
        <w:rPr>
          <w:rFonts w:ascii="Times New Roman" w:hAnsi="Times New Roman"/>
          <w:b/>
          <w:i w:val="0"/>
          <w:smallCaps/>
          <w:sz w:val="20"/>
          <w:u w:val="none"/>
        </w:rPr>
        <w:t>IV. YÖNTEM</w:t>
      </w:r>
    </w:p>
    <w:p>
      <w:pPr>
        <w:spacing w:before="100" w:after="40" w:lineRule="exact" w:line="240"/>
        <w:jc w:val="left"/>
      </w:pPr>
      <w:r>
        <w:rPr>
          <w:rFonts w:ascii="Times New Roman" w:hAnsi="Times New Roman"/>
          <w:b w:val="0"/>
          <w:i/>
          <w:sz w:val="20"/>
          <w:u w:val="none"/>
        </w:rPr>
        <w:t>A. EfficientNetV2-S</w:t>
      </w:r>
    </w:p>
    <w:p>
      <w:pPr>
        <w:spacing w:before="0" w:after="0" w:lineRule="exact" w:line="240"/>
        <w:ind w:firstLine="288"/>
        <w:jc w:val="both"/>
      </w:pPr>
      <w:r>
        <w:rPr>
          <w:rFonts w:ascii="Times New Roman" w:hAnsi="Times New Roman"/>
          <w:b w:val="0"/>
          <w:i w:val="0"/>
          <w:sz w:val="20"/>
          <w:u w:val="none"/>
        </w:rPr>
        <w:t>EfficientNetV2-S [11], bileşik ölçeklendirme ve geliştirilmiş eğitim verimliliğiyle öne çıkan bir CNN mimarisidir. ImageNet-1K ağırlıklarıyla başlatılan modele Dropout(0,2) → Linear(1280,512) → BN → ReLU → Linear(512,6) şeklinde özel bir sınıflandırma başlığı eklenmiştir. İlk 5 epoch'ta omurga dondurulmuş, ardından tam ince ayar uygulanmıştır. Karma hassasiyetli eğitim (AMP) ve gradyan kırpma (max_norm = 1,0) kullanılmıştır.</w:t>
      </w:r>
    </w:p>
    <w:p>
      <w:pPr>
        <w:spacing w:before="100" w:after="40" w:lineRule="exact" w:line="240"/>
        <w:jc w:val="left"/>
      </w:pPr>
      <w:r>
        <w:rPr>
          <w:rFonts w:ascii="Times New Roman" w:hAnsi="Times New Roman"/>
          <w:b w:val="0"/>
          <w:i/>
          <w:sz w:val="20"/>
          <w:u w:val="none"/>
        </w:rPr>
        <w:t>B. Swin Transformer</w:t>
      </w:r>
    </w:p>
    <w:p>
      <w:pPr>
        <w:spacing w:before="0" w:after="0" w:lineRule="exact" w:line="240"/>
        <w:ind w:firstLine="288"/>
        <w:jc w:val="both"/>
      </w:pPr>
      <w:r>
        <w:rPr>
          <w:rFonts w:ascii="Times New Roman" w:hAnsi="Times New Roman"/>
          <w:b w:val="0"/>
          <w:i w:val="0"/>
          <w:sz w:val="20"/>
          <w:u w:val="none"/>
        </w:rPr>
        <w:t>Swin Transformer [12], kaydırmalı pencere tabanlı öz-dikkat mekanizmasıyla hem yerel hem de küresel bağlamsal bilgiyi modelleyebilen bir Vision Transformer mimarisidir. Bu çalışmada Swin-Small varyantı kullanılmıştır. Özel sınıflandırma başlığı: LN(768) → Dropout(0,2) → Linear(768,512) → GELU → Linear(512,6). OneCycleLR zamanlayıcısı (%10 warmup, kosinüs soğutma) ile eğitim gerçekleştirilmiştir.</w:t>
      </w:r>
    </w:p>
    <w:p>
      <w:pPr>
        <w:spacing w:before="100" w:after="40" w:lineRule="exact" w:line="240"/>
        <w:jc w:val="left"/>
      </w:pPr>
      <w:r>
        <w:rPr>
          <w:rFonts w:ascii="Times New Roman" w:hAnsi="Times New Roman"/>
          <w:b w:val="0"/>
          <w:i/>
          <w:sz w:val="20"/>
          <w:u w:val="none"/>
        </w:rPr>
        <w:t>C. Hibrit CNN + Gradyan Artırma</w:t>
      </w:r>
    </w:p>
    <w:p>
      <w:pPr>
        <w:spacing w:before="0" w:after="0" w:lineRule="exact" w:line="240"/>
        <w:ind w:firstLine="288"/>
        <w:jc w:val="both"/>
      </w:pPr>
      <w:r>
        <w:rPr>
          <w:rFonts w:ascii="Times New Roman" w:hAnsi="Times New Roman"/>
          <w:b w:val="0"/>
          <w:i w:val="0"/>
          <w:sz w:val="20"/>
          <w:u w:val="none"/>
        </w:rPr>
        <w:t>EfficientNetV2-S öznitelik çıkarıcı olarak kullanılmış ve 1.280 boyutlu gömme vektörleri XGBoost, LightGBM ve CatBoost sınıflandırıcılarına beslenmiştir. Optuna çerçevesiyle 50 deneme üzerinden otomatik hiperparametre optimizasyonu yapılmış; F1 skoru ağırlıklı yumuşak oylama ensemble'ı oluşturulmuştur. LightGBM öznitelik önem analizi Şekil 1'de sunulmaktadır.</w:t>
      </w:r>
    </w:p>
    <w:p>
      <w:pPr>
        <w:spacing w:before="120" w:after="40" w:lineRule="exact" w:line="240"/>
        <w:jc w:val="center"/>
      </w:pPr>
      <w:r>
        <w:drawing>
          <wp:inline xmlns:a="http://schemas.openxmlformats.org/drawingml/2006/main" xmlns:pic="http://schemas.openxmlformats.org/drawingml/2006/picture">
            <wp:extent cx="2988000" cy="1484320"/>
            <wp:docPr id="1" name="Picture 1"/>
            <wp:cNvGraphicFramePr>
              <a:graphicFrameLocks noChangeAspect="1"/>
            </wp:cNvGraphicFramePr>
            <a:graphic>
              <a:graphicData uri="http://schemas.openxmlformats.org/drawingml/2006/picture">
                <pic:pic>
                  <pic:nvPicPr>
                    <pic:cNvPr id="0" name="fig1_lightgbm_features.png"/>
                    <pic:cNvPicPr/>
                  </pic:nvPicPr>
                  <pic:blipFill>
                    <a:blip r:embed="rId9"/>
                    <a:stretch>
                      <a:fillRect/>
                    </a:stretch>
                  </pic:blipFill>
                  <pic:spPr>
                    <a:xfrm>
                      <a:off x="0" y="0"/>
                      <a:ext cx="2988000" cy="1484320"/>
                    </a:xfrm>
                    <a:prstGeom prst="rect"/>
                  </pic:spPr>
                </pic:pic>
              </a:graphicData>
            </a:graphic>
          </wp:inline>
        </w:drawing>
      </w:r>
    </w:p>
    <w:p>
      <w:pPr>
        <w:spacing w:before="0" w:after="120" w:lineRule="exact" w:line="200"/>
        <w:jc w:val="center"/>
      </w:pPr>
      <w:r>
        <w:rPr>
          <w:rFonts w:ascii="Times New Roman" w:hAnsi="Times New Roman"/>
          <w:b w:val="0"/>
          <w:i w:val="0"/>
          <w:sz w:val="16"/>
          <w:u w:val="none"/>
        </w:rPr>
        <w:t xml:space="preserve">Fig. 1. </w:t>
      </w:r>
      <w:r>
        <w:rPr>
          <w:rFonts w:ascii="Times New Roman" w:hAnsi="Times New Roman"/>
          <w:b w:val="0"/>
          <w:i w:val="0"/>
          <w:sz w:val="16"/>
          <w:u w:val="none"/>
        </w:rPr>
        <w:t>LightGBM – En önemli 30 öznitelik (1.280 boyutlu EfficientNet gömme uzayı).</w:t>
      </w:r>
    </w:p>
    <w:p>
      <w:pPr>
        <w:spacing w:before="100" w:after="40" w:lineRule="exact" w:line="240"/>
        <w:jc w:val="left"/>
      </w:pPr>
      <w:r>
        <w:rPr>
          <w:rFonts w:ascii="Times New Roman" w:hAnsi="Times New Roman"/>
          <w:b w:val="0"/>
          <w:i/>
          <w:sz w:val="20"/>
          <w:u w:val="none"/>
        </w:rPr>
        <w:t>D. EfficientNetV2-S + Swin Transformer Ensemble</w:t>
      </w:r>
    </w:p>
    <w:p>
      <w:pPr>
        <w:spacing w:before="0" w:after="0" w:lineRule="exact" w:line="240"/>
        <w:ind w:firstLine="288"/>
        <w:jc w:val="both"/>
      </w:pPr>
      <w:r>
        <w:rPr>
          <w:rFonts w:ascii="Times New Roman" w:hAnsi="Times New Roman"/>
          <w:b w:val="0"/>
          <w:i w:val="0"/>
          <w:sz w:val="20"/>
          <w:u w:val="none"/>
        </w:rPr>
        <w:t>İki modelin tahmin olasılıkları beş farklı stratejiyle birleştirilmiştir: eşit ortalama, F1 ağırlıklı, Swin-ağırlıklı (0,4/0,6), maksimum olasılık ve geometrik ortalama. Her model için 5×TTA uygulanmış; eşit ortalama stratejisi en yüksek performansı vermiştir.</w:t>
      </w:r>
    </w:p>
    <w:p>
      <w:pPr>
        <w:spacing w:before="100" w:after="40" w:lineRule="exact" w:line="240"/>
        <w:jc w:val="left"/>
      </w:pPr>
      <w:r>
        <w:rPr>
          <w:rFonts w:ascii="Times New Roman" w:hAnsi="Times New Roman"/>
          <w:b w:val="0"/>
          <w:i/>
          <w:sz w:val="20"/>
          <w:u w:val="none"/>
        </w:rPr>
        <w:t>E. Grad-CAM Görselleştirme</w:t>
      </w:r>
    </w:p>
    <w:p>
      <w:pPr>
        <w:spacing w:before="0" w:after="0" w:lineRule="exact" w:line="240"/>
        <w:ind w:firstLine="288"/>
        <w:jc w:val="both"/>
      </w:pPr>
      <w:r>
        <w:rPr>
          <w:rFonts w:ascii="Times New Roman" w:hAnsi="Times New Roman"/>
          <w:b w:val="0"/>
          <w:i w:val="0"/>
          <w:sz w:val="20"/>
          <w:u w:val="none"/>
        </w:rPr>
        <w:t>Grad-CAM [13] uygulanarak modelin her sınıf için hangi bölgelere odaklandığı ısı haritaları aracılığıyla görselleştirilmiştir.</w:t>
      </w:r>
    </w:p>
    <w:p>
      <w:pPr>
        <w:spacing w:before="120" w:after="80" w:lineRule="exact" w:line="240"/>
        <w:jc w:val="center"/>
      </w:pPr>
      <w:r>
        <w:rPr>
          <w:rFonts w:ascii="Times New Roman" w:hAnsi="Times New Roman"/>
          <w:b/>
          <w:i w:val="0"/>
          <w:smallCaps/>
          <w:sz w:val="20"/>
          <w:u w:val="none"/>
        </w:rPr>
        <w:t>V. DENEYSEL SONUÇLAR</w:t>
      </w:r>
    </w:p>
    <w:p>
      <w:pPr>
        <w:spacing w:before="100" w:after="40" w:lineRule="exact" w:line="240"/>
        <w:jc w:val="left"/>
      </w:pPr>
      <w:r>
        <w:rPr>
          <w:rFonts w:ascii="Times New Roman" w:hAnsi="Times New Roman"/>
          <w:b w:val="0"/>
          <w:i/>
          <w:sz w:val="20"/>
          <w:u w:val="none"/>
        </w:rPr>
        <w:t>A. Uygulama Detayları</w:t>
      </w:r>
    </w:p>
    <w:p>
      <w:pPr>
        <w:spacing w:before="0" w:after="0" w:lineRule="exact" w:line="240"/>
        <w:ind w:firstLine="288"/>
        <w:jc w:val="both"/>
      </w:pPr>
      <w:r>
        <w:rPr>
          <w:rFonts w:ascii="Times New Roman" w:hAnsi="Times New Roman"/>
          <w:b w:val="0"/>
          <w:i w:val="0"/>
          <w:sz w:val="20"/>
          <w:u w:val="none"/>
        </w:rPr>
        <w:t>Tüm modeller Python 3.12, PyTorch 2.0 ve CUDA 11.8 ortamında Kaggle T4 GPU üzerinde eğitilmiştir. Ortak hiperparametreler: AdamW optimize edici, ağırlık azalması 10⁻⁴, başlangıç öğrenme oranı 3×10⁻⁴, 50 epoch, 32 batch boyutu. Tekrarlanabilirlik için rastgele tohum 42 olarak sabitlenmiştir.</w:t>
      </w:r>
    </w:p>
    <w:p>
      <w:pPr>
        <w:spacing w:before="100" w:after="40" w:lineRule="exact" w:line="240"/>
        <w:jc w:val="left"/>
      </w:pPr>
      <w:r>
        <w:rPr>
          <w:rFonts w:ascii="Times New Roman" w:hAnsi="Times New Roman"/>
          <w:b w:val="0"/>
          <w:i/>
          <w:sz w:val="20"/>
          <w:u w:val="none"/>
        </w:rPr>
        <w:t>B. Bireysel Model Sonuçları</w:t>
      </w:r>
    </w:p>
    <w:p>
      <w:pPr>
        <w:spacing w:before="60" w:after="0" w:lineRule="exact" w:line="240"/>
        <w:ind w:firstLine="288"/>
        <w:jc w:val="both"/>
      </w:pPr>
      <w:r>
        <w:rPr>
          <w:rFonts w:ascii="Times New Roman" w:hAnsi="Times New Roman"/>
          <w:b w:val="0"/>
          <w:i/>
          <w:sz w:val="20"/>
          <w:u w:val="none"/>
        </w:rPr>
        <w:t xml:space="preserve">1) EfficientNetV2-S: </w:t>
      </w:r>
      <w:r>
        <w:rPr>
          <w:rFonts w:ascii="Times New Roman" w:hAnsi="Times New Roman"/>
          <w:b w:val="0"/>
          <w:i w:val="0"/>
          <w:sz w:val="20"/>
          <w:u w:val="none"/>
        </w:rPr>
        <w:t>Model, Fold 0 doğrulama setinde TTA ile %98,55 doğruluk ve %98,55 F1 skoru elde etmiştir. Karınca Sorunları, Soyulmuş Kovan ve Kayıp Kraliçe sınıfları için mükemmel (1,00) hassasiyet ve duyarlılık değerlerine ulaşılmıştır. Temel hatalar Küçük Kovan Böceği ile Varroa sınıfları arasında yoğunlaşmaktadır. EfficientNetV2-S eğitim süreci Şekil 2'de, karışıklık matrisi Şekil 3'te verilmektedir.</w:t>
      </w:r>
    </w:p>
    <w:p>
      <w:pPr>
        <w:spacing w:before="120" w:after="40" w:lineRule="exact" w:line="240"/>
        <w:jc w:val="center"/>
      </w:pPr>
      <w:r>
        <w:drawing>
          <wp:inline xmlns:a="http://schemas.openxmlformats.org/drawingml/2006/main" xmlns:pic="http://schemas.openxmlformats.org/drawingml/2006/picture">
            <wp:extent cx="2988000" cy="826752"/>
            <wp:docPr id="2" name="Picture 2"/>
            <wp:cNvGraphicFramePr>
              <a:graphicFrameLocks noChangeAspect="1"/>
            </wp:cNvGraphicFramePr>
            <a:graphic>
              <a:graphicData uri="http://schemas.openxmlformats.org/drawingml/2006/picture">
                <pic:pic>
                  <pic:nvPicPr>
                    <pic:cNvPr id="0" name="fig2_efficientnet_training.png"/>
                    <pic:cNvPicPr/>
                  </pic:nvPicPr>
                  <pic:blipFill>
                    <a:blip r:embed="rId10"/>
                    <a:stretch>
                      <a:fillRect/>
                    </a:stretch>
                  </pic:blipFill>
                  <pic:spPr>
                    <a:xfrm>
                      <a:off x="0" y="0"/>
                      <a:ext cx="2988000" cy="826752"/>
                    </a:xfrm>
                    <a:prstGeom prst="rect"/>
                  </pic:spPr>
                </pic:pic>
              </a:graphicData>
            </a:graphic>
          </wp:inline>
        </w:drawing>
      </w:r>
    </w:p>
    <w:p>
      <w:pPr>
        <w:spacing w:before="0" w:after="120" w:lineRule="exact" w:line="200"/>
        <w:jc w:val="center"/>
      </w:pPr>
      <w:r>
        <w:rPr>
          <w:rFonts w:ascii="Times New Roman" w:hAnsi="Times New Roman"/>
          <w:b w:val="0"/>
          <w:i w:val="0"/>
          <w:sz w:val="16"/>
          <w:u w:val="none"/>
        </w:rPr>
        <w:t xml:space="preserve">Fig. 2. </w:t>
      </w:r>
      <w:r>
        <w:rPr>
          <w:rFonts w:ascii="Times New Roman" w:hAnsi="Times New Roman"/>
          <w:b w:val="0"/>
          <w:i w:val="0"/>
          <w:sz w:val="16"/>
          <w:u w:val="none"/>
        </w:rPr>
        <w:t>EfficientNetV2-S eğitim süreci. Kesik çizgi omurganın serbest bırakıldığı epoch'u göstermektedir.</w:t>
      </w:r>
    </w:p>
    <w:p>
      <w:pPr>
        <w:spacing w:before="120" w:after="40" w:lineRule="exact" w:line="240"/>
        <w:jc w:val="center"/>
      </w:pPr>
      <w:r>
        <w:drawing>
          <wp:inline xmlns:a="http://schemas.openxmlformats.org/drawingml/2006/main" xmlns:pic="http://schemas.openxmlformats.org/drawingml/2006/picture">
            <wp:extent cx="2988000" cy="1191057"/>
            <wp:docPr id="3" name="Picture 3"/>
            <wp:cNvGraphicFramePr>
              <a:graphicFrameLocks noChangeAspect="1"/>
            </wp:cNvGraphicFramePr>
            <a:graphic>
              <a:graphicData uri="http://schemas.openxmlformats.org/drawingml/2006/picture">
                <pic:pic>
                  <pic:nvPicPr>
                    <pic:cNvPr id="0" name="fig3_efficientnet_cm.png"/>
                    <pic:cNvPicPr/>
                  </pic:nvPicPr>
                  <pic:blipFill>
                    <a:blip r:embed="rId11"/>
                    <a:stretch>
                      <a:fillRect/>
                    </a:stretch>
                  </pic:blipFill>
                  <pic:spPr>
                    <a:xfrm>
                      <a:off x="0" y="0"/>
                      <a:ext cx="2988000" cy="1191057"/>
                    </a:xfrm>
                    <a:prstGeom prst="rect"/>
                  </pic:spPr>
                </pic:pic>
              </a:graphicData>
            </a:graphic>
          </wp:inline>
        </w:drawing>
      </w:r>
    </w:p>
    <w:p>
      <w:pPr>
        <w:spacing w:before="0" w:after="120" w:lineRule="exact" w:line="200"/>
        <w:jc w:val="center"/>
      </w:pPr>
      <w:r>
        <w:rPr>
          <w:rFonts w:ascii="Times New Roman" w:hAnsi="Times New Roman"/>
          <w:b w:val="0"/>
          <w:i w:val="0"/>
          <w:sz w:val="16"/>
          <w:u w:val="none"/>
        </w:rPr>
        <w:t xml:space="preserve">Fig. 3. </w:t>
      </w:r>
      <w:r>
        <w:rPr>
          <w:rFonts w:ascii="Times New Roman" w:hAnsi="Times New Roman"/>
          <w:b w:val="0"/>
          <w:i w:val="0"/>
          <w:sz w:val="16"/>
          <w:u w:val="none"/>
        </w:rPr>
        <w:t>EfficientNetV2-S karışıklık matrisi (%98,55). Sol: ham sayılar, Sağ: normalize değerler.</w:t>
      </w:r>
    </w:p>
    <w:p>
      <w:pPr>
        <w:spacing w:before="60" w:after="0" w:lineRule="exact" w:line="240"/>
        <w:ind w:firstLine="288"/>
        <w:jc w:val="both"/>
      </w:pPr>
      <w:r>
        <w:rPr>
          <w:rFonts w:ascii="Times New Roman" w:hAnsi="Times New Roman"/>
          <w:b w:val="0"/>
          <w:i/>
          <w:sz w:val="20"/>
          <w:u w:val="none"/>
        </w:rPr>
        <w:t xml:space="preserve">2) Swin Transformer: </w:t>
      </w:r>
      <w:r>
        <w:rPr>
          <w:rFonts w:ascii="Times New Roman" w:hAnsi="Times New Roman"/>
          <w:b w:val="0"/>
          <w:i w:val="0"/>
          <w:sz w:val="20"/>
          <w:u w:val="none"/>
        </w:rPr>
        <w:t>Bu veri setinde ilk kez uygulanan Swin Transformer, %98,74 doğruluk ve %98,75 F1 skoru ile tüm modeller arasında en yüksek performansı sergilemiştir. Sınıf bazlı sonuçlar Tablo II'de, eğitim süreci Şekil 4'te ve karışıklık matrisi Şekil 5'te verilmektedir.</w:t>
      </w:r>
    </w:p>
    <w:p>
      <w:pPr>
        <w:spacing w:before="120" w:after="40" w:lineRule="exact" w:line="200"/>
        <w:jc w:val="center"/>
      </w:pPr>
      <w:r>
        <w:rPr>
          <w:rFonts w:ascii="Times New Roman" w:hAnsi="Times New Roman"/>
          <w:b/>
          <w:i w:val="0"/>
          <w:smallCaps/>
          <w:sz w:val="16"/>
          <w:u w:val="none"/>
        </w:rPr>
        <w:t>TABLE II</w:t>
      </w:r>
      <w:r>
        <w:rPr>
          <w:rFonts w:ascii="Times New Roman" w:hAnsi="Times New Roman"/>
          <w:b w:val="0"/>
          <w:i w:val="0"/>
          <w:sz w:val="16"/>
          <w:u w:val="none"/>
        </w:rPr>
        <w:br/>
      </w:r>
      <w:r>
        <w:rPr>
          <w:rFonts w:ascii="Times New Roman" w:hAnsi="Times New Roman"/>
          <w:b w:val="0"/>
          <w:i w:val="0"/>
          <w:smallCaps/>
          <w:sz w:val="16"/>
          <w:u w:val="none"/>
        </w:rPr>
        <w:t>SWIN TRANSFORMER SINIF BAZLI PERFORMANS (TTA)</w:t>
      </w:r>
    </w:p>
    <w:tbl>
      <w:tblPr>
        <w:tblW w:type="auto" w:w="0"/>
        <w:jc w:val="center"/>
        <w:tblLook w:firstColumn="1" w:firstRow="1" w:lastColumn="0" w:lastRow="0" w:noHBand="0" w:noVBand="1" w:val="04A0"/>
      </w:tblPr>
      <w:tblGrid>
        <w:gridCol w:w="2526"/>
        <w:gridCol w:w="2526"/>
        <w:gridCol w:w="2526"/>
        <w:gridCol w:w="2526"/>
      </w:tblGrid>
      <w:tr>
        <w:tc>
          <w:tcPr>
            <w:tcW w:type="dxa" w:w="2526"/>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7"/>
                <w:u w:val="none"/>
              </w:rPr>
              <w:t>Sınıf</w:t>
            </w:r>
          </w:p>
        </w:tc>
        <w:tc>
          <w:tcPr>
            <w:tcW w:type="dxa" w:w="2526"/>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7"/>
                <w:u w:val="none"/>
              </w:rPr>
              <w:t>Prec.</w:t>
            </w:r>
          </w:p>
        </w:tc>
        <w:tc>
          <w:tcPr>
            <w:tcW w:type="dxa" w:w="2526"/>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7"/>
                <w:u w:val="none"/>
              </w:rPr>
              <w:t>Rec.</w:t>
            </w:r>
          </w:p>
        </w:tc>
        <w:tc>
          <w:tcPr>
            <w:tcW w:type="dxa" w:w="2526"/>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7"/>
                <w:u w:val="none"/>
              </w:rPr>
              <w:t>F1</w:t>
            </w:r>
          </w:p>
        </w:tc>
      </w:tr>
      <w:tr>
        <w:tc>
          <w:tcPr>
            <w:tcW w:type="dxa" w:w="2526"/>
          </w:tcPr>
          <w:p>
            <w:pPr>
              <w:spacing w:before="20" w:after="20" w:lineRule="exact" w:line="200"/>
              <w:jc w:val="left"/>
            </w:pPr>
            <w:r>
              <w:rPr>
                <w:rFonts w:ascii="Times New Roman" w:hAnsi="Times New Roman"/>
                <w:b w:val="0"/>
                <w:i w:val="0"/>
                <w:sz w:val="17"/>
                <w:u w:val="none"/>
              </w:rPr>
              <w:t>Karınca Sor.</w:t>
            </w:r>
          </w:p>
        </w:tc>
        <w:tc>
          <w:tcPr>
            <w:tcW w:type="dxa" w:w="2526"/>
          </w:tcPr>
          <w:p>
            <w:pPr>
              <w:spacing w:before="20" w:after="20" w:lineRule="exact" w:line="200"/>
              <w:jc w:val="center"/>
            </w:pPr>
            <w:r>
              <w:rPr>
                <w:rFonts w:ascii="Times New Roman" w:hAnsi="Times New Roman"/>
                <w:b w:val="0"/>
                <w:i w:val="0"/>
                <w:sz w:val="17"/>
                <w:u w:val="none"/>
              </w:rPr>
              <w:t>1,00</w:t>
            </w:r>
          </w:p>
        </w:tc>
        <w:tc>
          <w:tcPr>
            <w:tcW w:type="dxa" w:w="2526"/>
          </w:tcPr>
          <w:p>
            <w:pPr>
              <w:spacing w:before="20" w:after="20" w:lineRule="exact" w:line="200"/>
              <w:jc w:val="center"/>
            </w:pPr>
            <w:r>
              <w:rPr>
                <w:rFonts w:ascii="Times New Roman" w:hAnsi="Times New Roman"/>
                <w:b w:val="0"/>
                <w:i w:val="0"/>
                <w:sz w:val="17"/>
                <w:u w:val="none"/>
              </w:rPr>
              <w:t>1,00</w:t>
            </w:r>
          </w:p>
        </w:tc>
        <w:tc>
          <w:tcPr>
            <w:tcW w:type="dxa" w:w="2526"/>
          </w:tcPr>
          <w:p>
            <w:pPr>
              <w:spacing w:before="20" w:after="20" w:lineRule="exact" w:line="200"/>
              <w:jc w:val="center"/>
            </w:pPr>
            <w:r>
              <w:rPr>
                <w:rFonts w:ascii="Times New Roman" w:hAnsi="Times New Roman"/>
                <w:b w:val="0"/>
                <w:i w:val="0"/>
                <w:sz w:val="17"/>
                <w:u w:val="none"/>
              </w:rPr>
              <w:t>1,00</w:t>
            </w:r>
          </w:p>
        </w:tc>
      </w:tr>
      <w:tr>
        <w:tc>
          <w:tcPr>
            <w:tcW w:type="dxa" w:w="2526"/>
          </w:tcPr>
          <w:p>
            <w:pPr>
              <w:spacing w:before="20" w:after="20" w:lineRule="exact" w:line="200"/>
              <w:jc w:val="left"/>
            </w:pPr>
            <w:r>
              <w:rPr>
                <w:rFonts w:ascii="Times New Roman" w:hAnsi="Times New Roman"/>
                <w:b w:val="0"/>
                <w:i w:val="0"/>
                <w:sz w:val="17"/>
                <w:u w:val="none"/>
              </w:rPr>
              <w:t>K.Kovan Böc.</w:t>
            </w:r>
          </w:p>
        </w:tc>
        <w:tc>
          <w:tcPr>
            <w:tcW w:type="dxa" w:w="2526"/>
          </w:tcPr>
          <w:p>
            <w:pPr>
              <w:spacing w:before="20" w:after="20" w:lineRule="exact" w:line="200"/>
              <w:jc w:val="center"/>
            </w:pPr>
            <w:r>
              <w:rPr>
                <w:rFonts w:ascii="Times New Roman" w:hAnsi="Times New Roman"/>
                <w:b w:val="0"/>
                <w:i w:val="0"/>
                <w:sz w:val="17"/>
                <w:u w:val="none"/>
              </w:rPr>
              <w:t>0,956</w:t>
            </w:r>
          </w:p>
        </w:tc>
        <w:tc>
          <w:tcPr>
            <w:tcW w:type="dxa" w:w="2526"/>
          </w:tcPr>
          <w:p>
            <w:pPr>
              <w:spacing w:before="20" w:after="20" w:lineRule="exact" w:line="200"/>
              <w:jc w:val="center"/>
            </w:pPr>
            <w:r>
              <w:rPr>
                <w:rFonts w:ascii="Times New Roman" w:hAnsi="Times New Roman"/>
                <w:b w:val="0"/>
                <w:i w:val="0"/>
                <w:sz w:val="17"/>
                <w:u w:val="none"/>
              </w:rPr>
              <w:t>0,940</w:t>
            </w:r>
          </w:p>
        </w:tc>
        <w:tc>
          <w:tcPr>
            <w:tcW w:type="dxa" w:w="2526"/>
          </w:tcPr>
          <w:p>
            <w:pPr>
              <w:spacing w:before="20" w:after="20" w:lineRule="exact" w:line="200"/>
              <w:jc w:val="center"/>
            </w:pPr>
            <w:r>
              <w:rPr>
                <w:rFonts w:ascii="Times New Roman" w:hAnsi="Times New Roman"/>
                <w:b w:val="0"/>
                <w:i w:val="0"/>
                <w:sz w:val="17"/>
                <w:u w:val="none"/>
              </w:rPr>
              <w:t>0,948</w:t>
            </w:r>
          </w:p>
        </w:tc>
      </w:tr>
      <w:tr>
        <w:tc>
          <w:tcPr>
            <w:tcW w:type="dxa" w:w="2526"/>
          </w:tcPr>
          <w:p>
            <w:pPr>
              <w:spacing w:before="20" w:after="20" w:lineRule="exact" w:line="200"/>
              <w:jc w:val="left"/>
            </w:pPr>
            <w:r>
              <w:rPr>
                <w:rFonts w:ascii="Times New Roman" w:hAnsi="Times New Roman"/>
                <w:b w:val="0"/>
                <w:i w:val="0"/>
                <w:sz w:val="17"/>
                <w:u w:val="none"/>
              </w:rPr>
              <w:t>Sağlıklı</w:t>
            </w:r>
          </w:p>
        </w:tc>
        <w:tc>
          <w:tcPr>
            <w:tcW w:type="dxa" w:w="2526"/>
          </w:tcPr>
          <w:p>
            <w:pPr>
              <w:spacing w:before="20" w:after="20" w:lineRule="exact" w:line="200"/>
              <w:jc w:val="center"/>
            </w:pPr>
            <w:r>
              <w:rPr>
                <w:rFonts w:ascii="Times New Roman" w:hAnsi="Times New Roman"/>
                <w:b w:val="0"/>
                <w:i w:val="0"/>
                <w:sz w:val="17"/>
                <w:u w:val="none"/>
              </w:rPr>
              <w:t>1,00</w:t>
            </w:r>
          </w:p>
        </w:tc>
        <w:tc>
          <w:tcPr>
            <w:tcW w:type="dxa" w:w="2526"/>
          </w:tcPr>
          <w:p>
            <w:pPr>
              <w:spacing w:before="20" w:after="20" w:lineRule="exact" w:line="200"/>
              <w:jc w:val="center"/>
            </w:pPr>
            <w:r>
              <w:rPr>
                <w:rFonts w:ascii="Times New Roman" w:hAnsi="Times New Roman"/>
                <w:b w:val="0"/>
                <w:i w:val="0"/>
                <w:sz w:val="17"/>
                <w:u w:val="none"/>
              </w:rPr>
              <w:t>0,999</w:t>
            </w:r>
          </w:p>
        </w:tc>
        <w:tc>
          <w:tcPr>
            <w:tcW w:type="dxa" w:w="2526"/>
          </w:tcPr>
          <w:p>
            <w:pPr>
              <w:spacing w:before="20" w:after="20" w:lineRule="exact" w:line="200"/>
              <w:jc w:val="center"/>
            </w:pPr>
            <w:r>
              <w:rPr>
                <w:rFonts w:ascii="Times New Roman" w:hAnsi="Times New Roman"/>
                <w:b w:val="0"/>
                <w:i w:val="0"/>
                <w:sz w:val="17"/>
                <w:u w:val="none"/>
              </w:rPr>
              <w:t>0,999</w:t>
            </w:r>
          </w:p>
        </w:tc>
      </w:tr>
      <w:tr>
        <w:tc>
          <w:tcPr>
            <w:tcW w:type="dxa" w:w="2526"/>
          </w:tcPr>
          <w:p>
            <w:pPr>
              <w:spacing w:before="20" w:after="20" w:lineRule="exact" w:line="200"/>
              <w:jc w:val="left"/>
            </w:pPr>
            <w:r>
              <w:rPr>
                <w:rFonts w:ascii="Times New Roman" w:hAnsi="Times New Roman"/>
                <w:b w:val="0"/>
                <w:i w:val="0"/>
                <w:sz w:val="17"/>
                <w:u w:val="none"/>
              </w:rPr>
              <w:t>Soyulmuş K.</w:t>
            </w:r>
          </w:p>
        </w:tc>
        <w:tc>
          <w:tcPr>
            <w:tcW w:type="dxa" w:w="2526"/>
          </w:tcPr>
          <w:p>
            <w:pPr>
              <w:spacing w:before="20" w:after="20" w:lineRule="exact" w:line="200"/>
              <w:jc w:val="center"/>
            </w:pPr>
            <w:r>
              <w:rPr>
                <w:rFonts w:ascii="Times New Roman" w:hAnsi="Times New Roman"/>
                <w:b w:val="0"/>
                <w:i w:val="0"/>
                <w:sz w:val="17"/>
                <w:u w:val="none"/>
              </w:rPr>
              <w:t>1,00</w:t>
            </w:r>
          </w:p>
        </w:tc>
        <w:tc>
          <w:tcPr>
            <w:tcW w:type="dxa" w:w="2526"/>
          </w:tcPr>
          <w:p>
            <w:pPr>
              <w:spacing w:before="20" w:after="20" w:lineRule="exact" w:line="200"/>
              <w:jc w:val="center"/>
            </w:pPr>
            <w:r>
              <w:rPr>
                <w:rFonts w:ascii="Times New Roman" w:hAnsi="Times New Roman"/>
                <w:b w:val="0"/>
                <w:i w:val="0"/>
                <w:sz w:val="17"/>
                <w:u w:val="none"/>
              </w:rPr>
              <w:t>1,00</w:t>
            </w:r>
          </w:p>
        </w:tc>
        <w:tc>
          <w:tcPr>
            <w:tcW w:type="dxa" w:w="2526"/>
          </w:tcPr>
          <w:p>
            <w:pPr>
              <w:spacing w:before="20" w:after="20" w:lineRule="exact" w:line="200"/>
              <w:jc w:val="center"/>
            </w:pPr>
            <w:r>
              <w:rPr>
                <w:rFonts w:ascii="Times New Roman" w:hAnsi="Times New Roman"/>
                <w:b w:val="0"/>
                <w:i w:val="0"/>
                <w:sz w:val="17"/>
                <w:u w:val="none"/>
              </w:rPr>
              <w:t>1,00</w:t>
            </w:r>
          </w:p>
        </w:tc>
      </w:tr>
      <w:tr>
        <w:tc>
          <w:tcPr>
            <w:tcW w:type="dxa" w:w="2526"/>
          </w:tcPr>
          <w:p>
            <w:pPr>
              <w:spacing w:before="20" w:after="20" w:lineRule="exact" w:line="200"/>
              <w:jc w:val="left"/>
            </w:pPr>
            <w:r>
              <w:rPr>
                <w:rFonts w:ascii="Times New Roman" w:hAnsi="Times New Roman"/>
                <w:b w:val="0"/>
                <w:i w:val="0"/>
                <w:sz w:val="17"/>
                <w:u w:val="none"/>
              </w:rPr>
              <w:t>Kayıp Kraliçe</w:t>
            </w:r>
          </w:p>
        </w:tc>
        <w:tc>
          <w:tcPr>
            <w:tcW w:type="dxa" w:w="2526"/>
          </w:tcPr>
          <w:p>
            <w:pPr>
              <w:spacing w:before="20" w:after="20" w:lineRule="exact" w:line="200"/>
              <w:jc w:val="center"/>
            </w:pPr>
            <w:r>
              <w:rPr>
                <w:rFonts w:ascii="Times New Roman" w:hAnsi="Times New Roman"/>
                <w:b w:val="0"/>
                <w:i w:val="0"/>
                <w:sz w:val="17"/>
                <w:u w:val="none"/>
              </w:rPr>
              <w:t>1,00</w:t>
            </w:r>
          </w:p>
        </w:tc>
        <w:tc>
          <w:tcPr>
            <w:tcW w:type="dxa" w:w="2526"/>
          </w:tcPr>
          <w:p>
            <w:pPr>
              <w:spacing w:before="20" w:after="20" w:lineRule="exact" w:line="200"/>
              <w:jc w:val="center"/>
            </w:pPr>
            <w:r>
              <w:rPr>
                <w:rFonts w:ascii="Times New Roman" w:hAnsi="Times New Roman"/>
                <w:b w:val="0"/>
                <w:i w:val="0"/>
                <w:sz w:val="17"/>
                <w:u w:val="none"/>
              </w:rPr>
              <w:t>1,00</w:t>
            </w:r>
          </w:p>
        </w:tc>
        <w:tc>
          <w:tcPr>
            <w:tcW w:type="dxa" w:w="2526"/>
          </w:tcPr>
          <w:p>
            <w:pPr>
              <w:spacing w:before="20" w:after="20" w:lineRule="exact" w:line="200"/>
              <w:jc w:val="center"/>
            </w:pPr>
            <w:r>
              <w:rPr>
                <w:rFonts w:ascii="Times New Roman" w:hAnsi="Times New Roman"/>
                <w:b w:val="0"/>
                <w:i w:val="0"/>
                <w:sz w:val="17"/>
                <w:u w:val="none"/>
              </w:rPr>
              <w:t>1,00</w:t>
            </w:r>
          </w:p>
        </w:tc>
      </w:tr>
      <w:tr>
        <w:tc>
          <w:tcPr>
            <w:tcW w:type="dxa" w:w="2526"/>
          </w:tcPr>
          <w:p>
            <w:pPr>
              <w:spacing w:before="20" w:after="20" w:lineRule="exact" w:line="200"/>
              <w:jc w:val="left"/>
            </w:pPr>
            <w:r>
              <w:rPr>
                <w:rFonts w:ascii="Times New Roman" w:hAnsi="Times New Roman"/>
                <w:b w:val="0"/>
                <w:i w:val="0"/>
                <w:sz w:val="17"/>
                <w:u w:val="none"/>
              </w:rPr>
              <w:t>Varroa</w:t>
            </w:r>
          </w:p>
        </w:tc>
        <w:tc>
          <w:tcPr>
            <w:tcW w:type="dxa" w:w="2526"/>
          </w:tcPr>
          <w:p>
            <w:pPr>
              <w:spacing w:before="20" w:after="20" w:lineRule="exact" w:line="200"/>
              <w:jc w:val="center"/>
            </w:pPr>
            <w:r>
              <w:rPr>
                <w:rFonts w:ascii="Times New Roman" w:hAnsi="Times New Roman"/>
                <w:b w:val="0"/>
                <w:i w:val="0"/>
                <w:sz w:val="17"/>
                <w:u w:val="none"/>
              </w:rPr>
              <w:t>0,918</w:t>
            </w:r>
          </w:p>
        </w:tc>
        <w:tc>
          <w:tcPr>
            <w:tcW w:type="dxa" w:w="2526"/>
          </w:tcPr>
          <w:p>
            <w:pPr>
              <w:spacing w:before="20" w:after="20" w:lineRule="exact" w:line="200"/>
              <w:jc w:val="center"/>
            </w:pPr>
            <w:r>
              <w:rPr>
                <w:rFonts w:ascii="Times New Roman" w:hAnsi="Times New Roman"/>
                <w:b w:val="0"/>
                <w:i w:val="0"/>
                <w:sz w:val="17"/>
                <w:u w:val="none"/>
              </w:rPr>
              <w:t>0,947</w:t>
            </w:r>
          </w:p>
        </w:tc>
        <w:tc>
          <w:tcPr>
            <w:tcW w:type="dxa" w:w="2526"/>
          </w:tcPr>
          <w:p>
            <w:pPr>
              <w:spacing w:before="20" w:after="20" w:lineRule="exact" w:line="200"/>
              <w:jc w:val="center"/>
            </w:pPr>
            <w:r>
              <w:rPr>
                <w:rFonts w:ascii="Times New Roman" w:hAnsi="Times New Roman"/>
                <w:b w:val="0"/>
                <w:i w:val="0"/>
                <w:sz w:val="17"/>
                <w:u w:val="none"/>
              </w:rPr>
              <w:t>0,933</w:t>
            </w:r>
          </w:p>
        </w:tc>
      </w:tr>
      <w:tr>
        <w:tc>
          <w:tcPr>
            <w:tcW w:type="dxa" w:w="2526"/>
            <w:tcBorders>
              <w:top w:val="single" w:sz="4" w:space="0" w:color="000000"/>
            </w:tcBorders>
            <w:tcBorders>
              <w:bottom w:val="single" w:sz="8" w:space="0" w:color="000000"/>
            </w:tcBorders>
          </w:tcPr>
          <w:p>
            <w:pPr>
              <w:spacing w:before="20" w:after="20" w:lineRule="exact" w:line="200"/>
              <w:jc w:val="left"/>
            </w:pPr>
            <w:r>
              <w:rPr>
                <w:rFonts w:ascii="Times New Roman" w:hAnsi="Times New Roman"/>
                <w:b/>
                <w:i w:val="0"/>
                <w:sz w:val="17"/>
                <w:u w:val="none"/>
              </w:rPr>
              <w:t>Ağ. Ort.</w:t>
            </w:r>
          </w:p>
        </w:tc>
        <w:tc>
          <w:tcPr>
            <w:tcW w:type="dxa" w:w="2526"/>
            <w:tcBorders>
              <w:top w:val="single" w:sz="4" w:space="0" w:color="000000"/>
            </w:tcBorders>
            <w:tcBorders>
              <w:bottom w:val="single" w:sz="8" w:space="0" w:color="000000"/>
            </w:tcBorders>
          </w:tcPr>
          <w:p>
            <w:pPr>
              <w:spacing w:before="20" w:after="20" w:lineRule="exact" w:line="200"/>
              <w:jc w:val="center"/>
            </w:pPr>
            <w:r>
              <w:rPr>
                <w:rFonts w:ascii="Times New Roman" w:hAnsi="Times New Roman"/>
                <w:b/>
                <w:i w:val="0"/>
                <w:sz w:val="17"/>
                <w:u w:val="none"/>
              </w:rPr>
              <w:t>0,988</w:t>
            </w:r>
          </w:p>
        </w:tc>
        <w:tc>
          <w:tcPr>
            <w:tcW w:type="dxa" w:w="2526"/>
            <w:tcBorders>
              <w:top w:val="single" w:sz="4" w:space="0" w:color="000000"/>
            </w:tcBorders>
            <w:tcBorders>
              <w:bottom w:val="single" w:sz="8" w:space="0" w:color="000000"/>
            </w:tcBorders>
          </w:tcPr>
          <w:p>
            <w:pPr>
              <w:spacing w:before="20" w:after="20" w:lineRule="exact" w:line="200"/>
              <w:jc w:val="center"/>
            </w:pPr>
            <w:r>
              <w:rPr>
                <w:rFonts w:ascii="Times New Roman" w:hAnsi="Times New Roman"/>
                <w:b/>
                <w:i w:val="0"/>
                <w:sz w:val="17"/>
                <w:u w:val="none"/>
              </w:rPr>
              <w:t>0,987</w:t>
            </w:r>
          </w:p>
        </w:tc>
        <w:tc>
          <w:tcPr>
            <w:tcW w:type="dxa" w:w="2526"/>
            <w:tcBorders>
              <w:top w:val="single" w:sz="4" w:space="0" w:color="000000"/>
            </w:tcBorders>
            <w:tcBorders>
              <w:bottom w:val="single" w:sz="8" w:space="0" w:color="000000"/>
            </w:tcBorders>
          </w:tcPr>
          <w:p>
            <w:pPr>
              <w:spacing w:before="20" w:after="20" w:lineRule="exact" w:line="200"/>
              <w:jc w:val="center"/>
            </w:pPr>
            <w:r>
              <w:rPr>
                <w:rFonts w:ascii="Times New Roman" w:hAnsi="Times New Roman"/>
                <w:b/>
                <w:i w:val="0"/>
                <w:sz w:val="17"/>
                <w:u w:val="none"/>
              </w:rPr>
              <w:t>0,988</w:t>
            </w:r>
          </w:p>
        </w:tc>
      </w:tr>
    </w:tbl>
    <w:p>
      <w:pPr>
        <w:spacing w:before="120" w:after="40" w:lineRule="exact" w:line="240"/>
        <w:jc w:val="center"/>
      </w:pPr>
      <w:r>
        <w:drawing>
          <wp:inline xmlns:a="http://schemas.openxmlformats.org/drawingml/2006/main" xmlns:pic="http://schemas.openxmlformats.org/drawingml/2006/picture">
            <wp:extent cx="2988000" cy="930812"/>
            <wp:docPr id="4" name="Picture 4"/>
            <wp:cNvGraphicFramePr>
              <a:graphicFrameLocks noChangeAspect="1"/>
            </wp:cNvGraphicFramePr>
            <a:graphic>
              <a:graphicData uri="http://schemas.openxmlformats.org/drawingml/2006/picture">
                <pic:pic>
                  <pic:nvPicPr>
                    <pic:cNvPr id="0" name="fig4_swin_training.png"/>
                    <pic:cNvPicPr/>
                  </pic:nvPicPr>
                  <pic:blipFill>
                    <a:blip r:embed="rId12"/>
                    <a:stretch>
                      <a:fillRect/>
                    </a:stretch>
                  </pic:blipFill>
                  <pic:spPr>
                    <a:xfrm>
                      <a:off x="0" y="0"/>
                      <a:ext cx="2988000" cy="930812"/>
                    </a:xfrm>
                    <a:prstGeom prst="rect"/>
                  </pic:spPr>
                </pic:pic>
              </a:graphicData>
            </a:graphic>
          </wp:inline>
        </w:drawing>
      </w:r>
    </w:p>
    <w:p>
      <w:pPr>
        <w:spacing w:before="0" w:after="120" w:lineRule="exact" w:line="200"/>
        <w:jc w:val="center"/>
      </w:pPr>
      <w:r>
        <w:rPr>
          <w:rFonts w:ascii="Times New Roman" w:hAnsi="Times New Roman"/>
          <w:b w:val="0"/>
          <w:i w:val="0"/>
          <w:sz w:val="16"/>
          <w:u w:val="none"/>
        </w:rPr>
        <w:t xml:space="preserve">Fig. 4. </w:t>
      </w:r>
      <w:r>
        <w:rPr>
          <w:rFonts w:ascii="Times New Roman" w:hAnsi="Times New Roman"/>
          <w:b w:val="0"/>
          <w:i w:val="0"/>
          <w:sz w:val="16"/>
          <w:u w:val="none"/>
        </w:rPr>
        <w:t>Swin Transformer eğitim süreci. Kesik çizgi omurganın serbest bırakıldığı epoch'u göstermektedir.</w:t>
      </w:r>
    </w:p>
    <w:p>
      <w:pPr>
        <w:spacing w:before="120" w:after="40" w:lineRule="exact" w:line="240"/>
        <w:jc w:val="center"/>
      </w:pPr>
      <w:r>
        <w:drawing>
          <wp:inline xmlns:a="http://schemas.openxmlformats.org/drawingml/2006/main" xmlns:pic="http://schemas.openxmlformats.org/drawingml/2006/picture">
            <wp:extent cx="2988000" cy="1188997"/>
            <wp:docPr id="5" name="Picture 5"/>
            <wp:cNvGraphicFramePr>
              <a:graphicFrameLocks noChangeAspect="1"/>
            </wp:cNvGraphicFramePr>
            <a:graphic>
              <a:graphicData uri="http://schemas.openxmlformats.org/drawingml/2006/picture">
                <pic:pic>
                  <pic:nvPicPr>
                    <pic:cNvPr id="0" name="fig5_swin_cm.png"/>
                    <pic:cNvPicPr/>
                  </pic:nvPicPr>
                  <pic:blipFill>
                    <a:blip r:embed="rId13"/>
                    <a:stretch>
                      <a:fillRect/>
                    </a:stretch>
                  </pic:blipFill>
                  <pic:spPr>
                    <a:xfrm>
                      <a:off x="0" y="0"/>
                      <a:ext cx="2988000" cy="1188997"/>
                    </a:xfrm>
                    <a:prstGeom prst="rect"/>
                  </pic:spPr>
                </pic:pic>
              </a:graphicData>
            </a:graphic>
          </wp:inline>
        </w:drawing>
      </w:r>
    </w:p>
    <w:p>
      <w:pPr>
        <w:spacing w:before="0" w:after="120" w:lineRule="exact" w:line="200"/>
        <w:jc w:val="center"/>
      </w:pPr>
      <w:r>
        <w:rPr>
          <w:rFonts w:ascii="Times New Roman" w:hAnsi="Times New Roman"/>
          <w:b w:val="0"/>
          <w:i w:val="0"/>
          <w:sz w:val="16"/>
          <w:u w:val="none"/>
        </w:rPr>
        <w:t xml:space="preserve">Fig. 5. </w:t>
      </w:r>
      <w:r>
        <w:rPr>
          <w:rFonts w:ascii="Times New Roman" w:hAnsi="Times New Roman"/>
          <w:b w:val="0"/>
          <w:i w:val="0"/>
          <w:sz w:val="16"/>
          <w:u w:val="none"/>
        </w:rPr>
        <w:t>Swin Transformer karışıklık matrisi (%98,74). Sol: ham sayılar, Sağ: normalize değerler.</w:t>
      </w:r>
    </w:p>
    <w:p>
      <w:pPr>
        <w:spacing w:before="60" w:after="0" w:lineRule="exact" w:line="240"/>
        <w:ind w:firstLine="288"/>
        <w:jc w:val="both"/>
      </w:pPr>
      <w:r>
        <w:rPr>
          <w:rFonts w:ascii="Times New Roman" w:hAnsi="Times New Roman"/>
          <w:b w:val="0"/>
          <w:i/>
          <w:sz w:val="20"/>
          <w:u w:val="none"/>
        </w:rPr>
        <w:t xml:space="preserve">3) Hibrit CNN + Gradyan Artırma: </w:t>
      </w:r>
      <w:r>
        <w:rPr>
          <w:rFonts w:ascii="Times New Roman" w:hAnsi="Times New Roman"/>
          <w:b w:val="0"/>
          <w:i w:val="0"/>
          <w:sz w:val="20"/>
          <w:u w:val="none"/>
        </w:rPr>
        <w:t>EfficientNetV2-S + LightGBM kombinasyonu %91,01 doğruluk elde etmiştir. Uçtan uca modellerle rekabet edememesine karşın yorumlanabilirlik açısından değerli içgörüler sunmaktadır.</w:t>
      </w:r>
    </w:p>
    <w:p>
      <w:pPr>
        <w:spacing w:before="100" w:after="40" w:lineRule="exact" w:line="240"/>
        <w:jc w:val="left"/>
      </w:pPr>
      <w:r>
        <w:rPr>
          <w:rFonts w:ascii="Times New Roman" w:hAnsi="Times New Roman"/>
          <w:b w:val="0"/>
          <w:i/>
          <w:sz w:val="20"/>
          <w:u w:val="none"/>
        </w:rPr>
        <w:t>C. Ensemble Sonuçları</w:t>
      </w:r>
    </w:p>
    <w:p>
      <w:pPr>
        <w:spacing w:before="0" w:after="0" w:lineRule="exact" w:line="240"/>
        <w:ind w:firstLine="288"/>
        <w:jc w:val="both"/>
      </w:pPr>
      <w:r>
        <w:rPr>
          <w:rFonts w:ascii="Times New Roman" w:hAnsi="Times New Roman"/>
          <w:b w:val="0"/>
          <w:i w:val="0"/>
          <w:sz w:val="20"/>
          <w:u w:val="none"/>
        </w:rPr>
        <w:t>Eşit ağırlıklı olasılık ortalamasıyla oluşturulan ensemble model, %98,65 doğruluk ve %98,65 F1 skoru elde etmiştir. Final ensemble karışıklık matrisi Şekil 6'da verilmektedir.</w:t>
      </w:r>
    </w:p>
    <w:p>
      <w:pPr>
        <w:spacing w:before="120" w:after="40" w:lineRule="exact" w:line="240"/>
        <w:jc w:val="center"/>
      </w:pPr>
      <w:r>
        <w:drawing>
          <wp:inline xmlns:a="http://schemas.openxmlformats.org/drawingml/2006/main" xmlns:pic="http://schemas.openxmlformats.org/drawingml/2006/picture">
            <wp:extent cx="2988000" cy="1188311"/>
            <wp:docPr id="6" name="Picture 6"/>
            <wp:cNvGraphicFramePr>
              <a:graphicFrameLocks noChangeAspect="1"/>
            </wp:cNvGraphicFramePr>
            <a:graphic>
              <a:graphicData uri="http://schemas.openxmlformats.org/drawingml/2006/picture">
                <pic:pic>
                  <pic:nvPicPr>
                    <pic:cNvPr id="0" name="fig6_ensemble_cm.png"/>
                    <pic:cNvPicPr/>
                  </pic:nvPicPr>
                  <pic:blipFill>
                    <a:blip r:embed="rId14"/>
                    <a:stretch>
                      <a:fillRect/>
                    </a:stretch>
                  </pic:blipFill>
                  <pic:spPr>
                    <a:xfrm>
                      <a:off x="0" y="0"/>
                      <a:ext cx="2988000" cy="1188311"/>
                    </a:xfrm>
                    <a:prstGeom prst="rect"/>
                  </pic:spPr>
                </pic:pic>
              </a:graphicData>
            </a:graphic>
          </wp:inline>
        </w:drawing>
      </w:r>
    </w:p>
    <w:p>
      <w:pPr>
        <w:spacing w:before="0" w:after="120" w:lineRule="exact" w:line="200"/>
        <w:jc w:val="center"/>
      </w:pPr>
      <w:r>
        <w:rPr>
          <w:rFonts w:ascii="Times New Roman" w:hAnsi="Times New Roman"/>
          <w:b w:val="0"/>
          <w:i w:val="0"/>
          <w:sz w:val="16"/>
          <w:u w:val="none"/>
        </w:rPr>
        <w:t xml:space="preserve">Fig. 6. </w:t>
      </w:r>
      <w:r>
        <w:rPr>
          <w:rFonts w:ascii="Times New Roman" w:hAnsi="Times New Roman"/>
          <w:b w:val="0"/>
          <w:i w:val="0"/>
          <w:sz w:val="16"/>
          <w:u w:val="none"/>
        </w:rPr>
        <w:t>Final Ensemble karışıklık matrisi (%98,65). Sol: ham sayılar, Sağ: normalize değerler.</w:t>
      </w:r>
    </w:p>
    <w:p>
      <w:pPr>
        <w:spacing w:before="100" w:after="40" w:lineRule="exact" w:line="240"/>
        <w:jc w:val="left"/>
      </w:pPr>
      <w:r>
        <w:rPr>
          <w:rFonts w:ascii="Times New Roman" w:hAnsi="Times New Roman"/>
          <w:b w:val="0"/>
          <w:i/>
          <w:sz w:val="20"/>
          <w:u w:val="none"/>
        </w:rPr>
        <w:t>D. Literatür Karşılaştırması</w:t>
      </w:r>
    </w:p>
    <w:p>
      <w:pPr>
        <w:spacing w:before="0" w:after="0" w:lineRule="exact" w:line="240"/>
        <w:ind w:firstLine="288"/>
        <w:jc w:val="both"/>
      </w:pPr>
      <w:r>
        <w:rPr>
          <w:rFonts w:ascii="Times New Roman" w:hAnsi="Times New Roman"/>
          <w:b w:val="0"/>
          <w:i w:val="0"/>
          <w:sz w:val="20"/>
          <w:u w:val="none"/>
        </w:rPr>
        <w:t>Tablo III önerilen yöntemlerin karşılaştırmasını sunarken, Şekil 7 bunu görsel olarak özetlemektedir.</w:t>
      </w:r>
    </w:p>
    <w:p>
      <w:pPr>
        <w:spacing w:before="120" w:after="40" w:lineRule="exact" w:line="200"/>
        <w:jc w:val="center"/>
      </w:pPr>
      <w:r>
        <w:rPr>
          <w:rFonts w:ascii="Times New Roman" w:hAnsi="Times New Roman"/>
          <w:b/>
          <w:i w:val="0"/>
          <w:smallCaps/>
          <w:sz w:val="16"/>
          <w:u w:val="none"/>
        </w:rPr>
        <w:t>TABLE III</w:t>
      </w:r>
      <w:r>
        <w:rPr>
          <w:rFonts w:ascii="Times New Roman" w:hAnsi="Times New Roman"/>
          <w:b w:val="0"/>
          <w:i w:val="0"/>
          <w:sz w:val="16"/>
          <w:u w:val="none"/>
        </w:rPr>
        <w:br/>
      </w:r>
      <w:r>
        <w:rPr>
          <w:rFonts w:ascii="Times New Roman" w:hAnsi="Times New Roman"/>
          <w:b w:val="0"/>
          <w:i w:val="0"/>
          <w:smallCaps/>
          <w:sz w:val="16"/>
          <w:u w:val="none"/>
        </w:rPr>
        <w:t>BEEIMAGE VERI SETI ÜZERINDE YÖNTEM KARŞILAŞTIRMASI</w:t>
      </w:r>
    </w:p>
    <w:tbl>
      <w:tblPr>
        <w:tblW w:type="auto" w:w="0"/>
        <w:jc w:val="center"/>
        <w:tblLook w:firstColumn="1" w:firstRow="1" w:lastColumn="0" w:lastRow="0" w:noHBand="0" w:noVBand="1" w:val="04A0"/>
      </w:tblPr>
      <w:tblGrid>
        <w:gridCol w:w="3368"/>
        <w:gridCol w:w="3368"/>
        <w:gridCol w:w="3368"/>
      </w:tblGrid>
      <w:tr>
        <w:tc>
          <w:tcPr>
            <w:tcW w:type="dxa" w:w="3368"/>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6"/>
                <w:u w:val="none"/>
              </w:rPr>
              <w:t>Yöntem</w:t>
            </w:r>
          </w:p>
        </w:tc>
        <w:tc>
          <w:tcPr>
            <w:tcW w:type="dxa" w:w="3368"/>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6"/>
                <w:u w:val="none"/>
              </w:rPr>
              <w:t>Doğ.(%)</w:t>
            </w:r>
          </w:p>
        </w:tc>
        <w:tc>
          <w:tcPr>
            <w:tcW w:type="dxa" w:w="3368"/>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6"/>
                <w:u w:val="none"/>
              </w:rPr>
              <w:t>F1(%)</w:t>
            </w:r>
          </w:p>
        </w:tc>
      </w:tr>
      <w:tr>
        <w:tc>
          <w:tcPr>
            <w:tcW w:type="dxa" w:w="3368"/>
          </w:tcPr>
          <w:p>
            <w:pPr>
              <w:spacing w:before="20" w:after="20" w:lineRule="exact" w:line="200"/>
              <w:jc w:val="left"/>
            </w:pPr>
            <w:r>
              <w:rPr>
                <w:rFonts w:ascii="Times New Roman" w:hAnsi="Times New Roman"/>
                <w:b w:val="0"/>
                <w:i w:val="0"/>
                <w:sz w:val="16"/>
                <w:u w:val="none"/>
              </w:rPr>
              <w:t>CNN [1]</w:t>
            </w:r>
          </w:p>
        </w:tc>
        <w:tc>
          <w:tcPr>
            <w:tcW w:type="dxa" w:w="3368"/>
          </w:tcPr>
          <w:p>
            <w:pPr>
              <w:spacing w:before="20" w:after="20" w:lineRule="exact" w:line="200"/>
              <w:jc w:val="center"/>
            </w:pPr>
            <w:r>
              <w:rPr>
                <w:rFonts w:ascii="Times New Roman" w:hAnsi="Times New Roman"/>
                <w:b w:val="0"/>
                <w:i w:val="0"/>
                <w:sz w:val="16"/>
                <w:u w:val="none"/>
              </w:rPr>
              <w:t>92,42</w:t>
            </w:r>
          </w:p>
        </w:tc>
        <w:tc>
          <w:tcPr>
            <w:tcW w:type="dxa" w:w="3368"/>
          </w:tcPr>
          <w:p>
            <w:pPr>
              <w:spacing w:before="20" w:after="20" w:lineRule="exact" w:line="200"/>
              <w:jc w:val="center"/>
            </w:pPr>
            <w:r>
              <w:rPr>
                <w:rFonts w:ascii="Times New Roman" w:hAnsi="Times New Roman"/>
                <w:b w:val="0"/>
                <w:i w:val="0"/>
                <w:sz w:val="16"/>
                <w:u w:val="none"/>
              </w:rPr>
              <w:t>–</w:t>
            </w:r>
          </w:p>
        </w:tc>
      </w:tr>
      <w:tr>
        <w:tc>
          <w:tcPr>
            <w:tcW w:type="dxa" w:w="3368"/>
          </w:tcPr>
          <w:p>
            <w:pPr>
              <w:spacing w:before="20" w:after="20" w:lineRule="exact" w:line="200"/>
              <w:jc w:val="left"/>
            </w:pPr>
            <w:r>
              <w:rPr>
                <w:rFonts w:ascii="Times New Roman" w:hAnsi="Times New Roman"/>
                <w:b w:val="0"/>
                <w:i w:val="0"/>
                <w:sz w:val="16"/>
                <w:u w:val="none"/>
              </w:rPr>
              <w:t>ResNet-50 [2]</w:t>
            </w:r>
          </w:p>
        </w:tc>
        <w:tc>
          <w:tcPr>
            <w:tcW w:type="dxa" w:w="3368"/>
          </w:tcPr>
          <w:p>
            <w:pPr>
              <w:spacing w:before="20" w:after="20" w:lineRule="exact" w:line="200"/>
              <w:jc w:val="center"/>
            </w:pPr>
            <w:r>
              <w:rPr>
                <w:rFonts w:ascii="Times New Roman" w:hAnsi="Times New Roman"/>
                <w:b w:val="0"/>
                <w:i w:val="0"/>
                <w:sz w:val="16"/>
                <w:u w:val="none"/>
              </w:rPr>
              <w:t>91,90</w:t>
            </w:r>
          </w:p>
        </w:tc>
        <w:tc>
          <w:tcPr>
            <w:tcW w:type="dxa" w:w="3368"/>
          </w:tcPr>
          <w:p>
            <w:pPr>
              <w:spacing w:before="20" w:after="20" w:lineRule="exact" w:line="200"/>
              <w:jc w:val="center"/>
            </w:pPr>
            <w:r>
              <w:rPr>
                <w:rFonts w:ascii="Times New Roman" w:hAnsi="Times New Roman"/>
                <w:b w:val="0"/>
                <w:i w:val="0"/>
                <w:sz w:val="16"/>
                <w:u w:val="none"/>
              </w:rPr>
              <w:t>–</w:t>
            </w:r>
          </w:p>
        </w:tc>
      </w:tr>
      <w:tr>
        <w:tc>
          <w:tcPr>
            <w:tcW w:type="dxa" w:w="3368"/>
          </w:tcPr>
          <w:p>
            <w:pPr>
              <w:spacing w:before="20" w:after="20" w:lineRule="exact" w:line="200"/>
              <w:jc w:val="left"/>
            </w:pPr>
            <w:r>
              <w:rPr>
                <w:rFonts w:ascii="Times New Roman" w:hAnsi="Times New Roman"/>
                <w:b w:val="0"/>
                <w:i w:val="0"/>
                <w:sz w:val="16"/>
                <w:u w:val="none"/>
              </w:rPr>
              <w:t>CNN+MLFB [3]</w:t>
            </w:r>
          </w:p>
        </w:tc>
        <w:tc>
          <w:tcPr>
            <w:tcW w:type="dxa" w:w="3368"/>
          </w:tcPr>
          <w:p>
            <w:pPr>
              <w:spacing w:before="20" w:after="20" w:lineRule="exact" w:line="200"/>
              <w:jc w:val="center"/>
            </w:pPr>
            <w:r>
              <w:rPr>
                <w:rFonts w:ascii="Times New Roman" w:hAnsi="Times New Roman"/>
                <w:b w:val="0"/>
                <w:i w:val="0"/>
                <w:sz w:val="16"/>
                <w:u w:val="none"/>
              </w:rPr>
              <w:t>95,04</w:t>
            </w:r>
          </w:p>
        </w:tc>
        <w:tc>
          <w:tcPr>
            <w:tcW w:type="dxa" w:w="3368"/>
          </w:tcPr>
          <w:p>
            <w:pPr>
              <w:spacing w:before="20" w:after="20" w:lineRule="exact" w:line="200"/>
              <w:jc w:val="center"/>
            </w:pPr>
            <w:r>
              <w:rPr>
                <w:rFonts w:ascii="Times New Roman" w:hAnsi="Times New Roman"/>
                <w:b w:val="0"/>
                <w:i w:val="0"/>
                <w:sz w:val="16"/>
                <w:u w:val="none"/>
              </w:rPr>
              <w:t>95,04</w:t>
            </w:r>
          </w:p>
        </w:tc>
      </w:tr>
      <w:tr>
        <w:tc>
          <w:tcPr>
            <w:tcW w:type="dxa" w:w="3368"/>
          </w:tcPr>
          <w:p>
            <w:pPr>
              <w:spacing w:before="20" w:after="20" w:lineRule="exact" w:line="200"/>
              <w:jc w:val="left"/>
            </w:pPr>
            <w:r>
              <w:rPr>
                <w:rFonts w:ascii="Times New Roman" w:hAnsi="Times New Roman"/>
                <w:b w:val="0"/>
                <w:i w:val="0"/>
                <w:sz w:val="16"/>
                <w:u w:val="none"/>
              </w:rPr>
              <w:t>DenseNet-121 [4]</w:t>
            </w:r>
          </w:p>
        </w:tc>
        <w:tc>
          <w:tcPr>
            <w:tcW w:type="dxa" w:w="3368"/>
          </w:tcPr>
          <w:p>
            <w:pPr>
              <w:spacing w:before="20" w:after="20" w:lineRule="exact" w:line="200"/>
              <w:jc w:val="center"/>
            </w:pPr>
            <w:r>
              <w:rPr>
                <w:rFonts w:ascii="Times New Roman" w:hAnsi="Times New Roman"/>
                <w:b w:val="0"/>
                <w:i w:val="0"/>
                <w:sz w:val="16"/>
                <w:u w:val="none"/>
              </w:rPr>
              <w:t>91,60</w:t>
            </w:r>
          </w:p>
        </w:tc>
        <w:tc>
          <w:tcPr>
            <w:tcW w:type="dxa" w:w="3368"/>
          </w:tcPr>
          <w:p>
            <w:pPr>
              <w:spacing w:before="20" w:after="20" w:lineRule="exact" w:line="200"/>
              <w:jc w:val="center"/>
            </w:pPr>
            <w:r>
              <w:rPr>
                <w:rFonts w:ascii="Times New Roman" w:hAnsi="Times New Roman"/>
                <w:b w:val="0"/>
                <w:i w:val="0"/>
                <w:sz w:val="16"/>
                <w:u w:val="none"/>
              </w:rPr>
              <w:t>88,25</w:t>
            </w:r>
          </w:p>
        </w:tc>
      </w:tr>
      <w:tr>
        <w:tc>
          <w:tcPr>
            <w:tcW w:type="dxa" w:w="3368"/>
          </w:tcPr>
          <w:p>
            <w:pPr>
              <w:spacing w:before="20" w:after="20" w:lineRule="exact" w:line="200"/>
              <w:jc w:val="left"/>
            </w:pPr>
            <w:r>
              <w:rPr>
                <w:rFonts w:ascii="Times New Roman" w:hAnsi="Times New Roman"/>
                <w:b w:val="0"/>
                <w:i w:val="0"/>
                <w:sz w:val="16"/>
                <w:u w:val="none"/>
              </w:rPr>
              <w:t>SMOTE+CNN [5]</w:t>
            </w:r>
          </w:p>
        </w:tc>
        <w:tc>
          <w:tcPr>
            <w:tcW w:type="dxa" w:w="3368"/>
          </w:tcPr>
          <w:p>
            <w:pPr>
              <w:spacing w:before="20" w:after="20" w:lineRule="exact" w:line="200"/>
              <w:jc w:val="center"/>
            </w:pPr>
            <w:r>
              <w:rPr>
                <w:rFonts w:ascii="Times New Roman" w:hAnsi="Times New Roman"/>
                <w:b w:val="0"/>
                <w:i w:val="0"/>
                <w:sz w:val="16"/>
                <w:u w:val="none"/>
              </w:rPr>
              <w:t>84,00</w:t>
            </w:r>
          </w:p>
        </w:tc>
        <w:tc>
          <w:tcPr>
            <w:tcW w:type="dxa" w:w="3368"/>
          </w:tcPr>
          <w:p>
            <w:pPr>
              <w:spacing w:before="20" w:after="20" w:lineRule="exact" w:line="200"/>
              <w:jc w:val="center"/>
            </w:pPr>
            <w:r>
              <w:rPr>
                <w:rFonts w:ascii="Times New Roman" w:hAnsi="Times New Roman"/>
                <w:b w:val="0"/>
                <w:i w:val="0"/>
                <w:sz w:val="16"/>
                <w:u w:val="none"/>
              </w:rPr>
              <w:t>–</w:t>
            </w:r>
          </w:p>
        </w:tc>
      </w:tr>
      <w:tr>
        <w:tc>
          <w:tcPr>
            <w:tcW w:type="dxa" w:w="3368"/>
          </w:tcPr>
          <w:p>
            <w:pPr>
              <w:spacing w:before="20" w:after="20" w:lineRule="exact" w:line="200"/>
              <w:jc w:val="left"/>
            </w:pPr>
            <w:r>
              <w:rPr>
                <w:rFonts w:ascii="Times New Roman" w:hAnsi="Times New Roman"/>
                <w:b w:val="0"/>
                <w:i w:val="0"/>
                <w:sz w:val="16"/>
                <w:u w:val="none"/>
              </w:rPr>
              <w:t>VGG-19 [6]</w:t>
            </w:r>
          </w:p>
        </w:tc>
        <w:tc>
          <w:tcPr>
            <w:tcW w:type="dxa" w:w="3368"/>
          </w:tcPr>
          <w:p>
            <w:pPr>
              <w:spacing w:before="20" w:after="20" w:lineRule="exact" w:line="200"/>
              <w:jc w:val="center"/>
            </w:pPr>
            <w:r>
              <w:rPr>
                <w:rFonts w:ascii="Times New Roman" w:hAnsi="Times New Roman"/>
                <w:b w:val="0"/>
                <w:i w:val="0"/>
                <w:sz w:val="16"/>
                <w:u w:val="none"/>
              </w:rPr>
              <w:t>98,07</w:t>
            </w:r>
          </w:p>
        </w:tc>
        <w:tc>
          <w:tcPr>
            <w:tcW w:type="dxa" w:w="3368"/>
          </w:tcPr>
          <w:p>
            <w:pPr>
              <w:spacing w:before="20" w:after="20" w:lineRule="exact" w:line="200"/>
              <w:jc w:val="center"/>
            </w:pPr>
            <w:r>
              <w:rPr>
                <w:rFonts w:ascii="Times New Roman" w:hAnsi="Times New Roman"/>
                <w:b w:val="0"/>
                <w:i w:val="0"/>
                <w:sz w:val="16"/>
                <w:u w:val="none"/>
              </w:rPr>
              <w:t>94,19</w:t>
            </w:r>
          </w:p>
        </w:tc>
      </w:tr>
      <w:tr>
        <w:tc>
          <w:tcPr>
            <w:tcW w:type="dxa" w:w="3368"/>
          </w:tcPr>
          <w:p>
            <w:pPr>
              <w:spacing w:before="20" w:after="20" w:lineRule="exact" w:line="200"/>
              <w:jc w:val="left"/>
            </w:pPr>
            <w:r>
              <w:rPr>
                <w:rFonts w:ascii="Times New Roman" w:hAnsi="Times New Roman"/>
                <w:b w:val="0"/>
                <w:i w:val="0"/>
                <w:sz w:val="16"/>
                <w:u w:val="none"/>
              </w:rPr>
              <w:t>VGG-19 [7]</w:t>
            </w:r>
          </w:p>
        </w:tc>
        <w:tc>
          <w:tcPr>
            <w:tcW w:type="dxa" w:w="3368"/>
          </w:tcPr>
          <w:p>
            <w:pPr>
              <w:spacing w:before="20" w:after="20" w:lineRule="exact" w:line="200"/>
              <w:jc w:val="center"/>
            </w:pPr>
            <w:r>
              <w:rPr>
                <w:rFonts w:ascii="Times New Roman" w:hAnsi="Times New Roman"/>
                <w:b w:val="0"/>
                <w:i w:val="0"/>
                <w:sz w:val="16"/>
                <w:u w:val="none"/>
              </w:rPr>
              <w:t>98,65</w:t>
            </w:r>
          </w:p>
        </w:tc>
        <w:tc>
          <w:tcPr>
            <w:tcW w:type="dxa" w:w="3368"/>
          </w:tcPr>
          <w:p>
            <w:pPr>
              <w:spacing w:before="20" w:after="20" w:lineRule="exact" w:line="200"/>
              <w:jc w:val="center"/>
            </w:pPr>
            <w:r>
              <w:rPr>
                <w:rFonts w:ascii="Times New Roman" w:hAnsi="Times New Roman"/>
                <w:b w:val="0"/>
                <w:i w:val="0"/>
                <w:sz w:val="16"/>
                <w:u w:val="none"/>
              </w:rPr>
              <w:t>–</w:t>
            </w:r>
          </w:p>
        </w:tc>
      </w:tr>
      <w:tr>
        <w:tc>
          <w:tcPr>
            <w:tcW w:type="dxa" w:w="3368"/>
          </w:tcPr>
          <w:p>
            <w:pPr>
              <w:spacing w:before="20" w:after="20" w:lineRule="exact" w:line="200"/>
              <w:jc w:val="left"/>
            </w:pPr>
            <w:r>
              <w:rPr>
                <w:rFonts w:ascii="Times New Roman" w:hAnsi="Times New Roman"/>
                <w:b w:val="0"/>
                <w:i w:val="0"/>
                <w:sz w:val="16"/>
                <w:u w:val="none"/>
              </w:rPr>
              <w:t>BeeNet [8]</w:t>
            </w:r>
          </w:p>
        </w:tc>
        <w:tc>
          <w:tcPr>
            <w:tcW w:type="dxa" w:w="3368"/>
          </w:tcPr>
          <w:p>
            <w:pPr>
              <w:spacing w:before="20" w:after="20" w:lineRule="exact" w:line="200"/>
              <w:jc w:val="center"/>
            </w:pPr>
            <w:r>
              <w:rPr>
                <w:rFonts w:ascii="Times New Roman" w:hAnsi="Times New Roman"/>
                <w:b w:val="0"/>
                <w:i w:val="0"/>
                <w:sz w:val="16"/>
                <w:u w:val="none"/>
              </w:rPr>
              <w:t>94,50</w:t>
            </w:r>
          </w:p>
        </w:tc>
        <w:tc>
          <w:tcPr>
            <w:tcW w:type="dxa" w:w="3368"/>
          </w:tcPr>
          <w:p>
            <w:pPr>
              <w:spacing w:before="20" w:after="20" w:lineRule="exact" w:line="200"/>
              <w:jc w:val="center"/>
            </w:pPr>
            <w:r>
              <w:rPr>
                <w:rFonts w:ascii="Times New Roman" w:hAnsi="Times New Roman"/>
                <w:b w:val="0"/>
                <w:i w:val="0"/>
                <w:sz w:val="16"/>
                <w:u w:val="none"/>
              </w:rPr>
              <w:t>–</w:t>
            </w:r>
          </w:p>
        </w:tc>
      </w:tr>
      <w:tr>
        <w:tc>
          <w:tcPr>
            <w:tcW w:type="dxa" w:w="3368"/>
          </w:tcPr>
          <w:p>
            <w:pPr>
              <w:spacing w:before="20" w:after="20" w:lineRule="exact" w:line="200"/>
              <w:jc w:val="left"/>
            </w:pPr>
            <w:r>
              <w:rPr>
                <w:rFonts w:ascii="Times New Roman" w:hAnsi="Times New Roman"/>
                <w:b w:val="0"/>
                <w:i w:val="0"/>
                <w:sz w:val="16"/>
                <w:u w:val="none"/>
              </w:rPr>
              <w:t>CM+SVM [9]</w:t>
            </w:r>
          </w:p>
        </w:tc>
        <w:tc>
          <w:tcPr>
            <w:tcW w:type="dxa" w:w="3368"/>
          </w:tcPr>
          <w:p>
            <w:pPr>
              <w:spacing w:before="20" w:after="20" w:lineRule="exact" w:line="200"/>
              <w:jc w:val="center"/>
            </w:pPr>
            <w:r>
              <w:rPr>
                <w:rFonts w:ascii="Times New Roman" w:hAnsi="Times New Roman"/>
                <w:b w:val="0"/>
                <w:i w:val="0"/>
                <w:sz w:val="16"/>
                <w:u w:val="none"/>
              </w:rPr>
              <w:t>94,03</w:t>
            </w:r>
          </w:p>
        </w:tc>
        <w:tc>
          <w:tcPr>
            <w:tcW w:type="dxa" w:w="3368"/>
          </w:tcPr>
          <w:p>
            <w:pPr>
              <w:spacing w:before="20" w:after="20" w:lineRule="exact" w:line="200"/>
              <w:jc w:val="center"/>
            </w:pPr>
            <w:r>
              <w:rPr>
                <w:rFonts w:ascii="Times New Roman" w:hAnsi="Times New Roman"/>
                <w:b w:val="0"/>
                <w:i w:val="0"/>
                <w:sz w:val="16"/>
                <w:u w:val="none"/>
              </w:rPr>
              <w:t>89,45</w:t>
            </w:r>
          </w:p>
        </w:tc>
      </w:tr>
      <w:tr>
        <w:tc>
          <w:tcPr>
            <w:tcW w:type="dxa" w:w="3368"/>
          </w:tcPr>
          <w:p>
            <w:pPr>
              <w:spacing w:before="20" w:after="20" w:lineRule="exact" w:line="200"/>
              <w:jc w:val="left"/>
            </w:pPr>
            <w:r>
              <w:rPr>
                <w:rFonts w:ascii="Times New Roman" w:hAnsi="Times New Roman"/>
                <w:b w:val="0"/>
                <w:i w:val="0"/>
                <w:sz w:val="16"/>
                <w:u w:val="none"/>
              </w:rPr>
              <w:t>EfficientNetV2-S (bu çalışma)</w:t>
            </w:r>
          </w:p>
        </w:tc>
        <w:tc>
          <w:tcPr>
            <w:tcW w:type="dxa" w:w="3368"/>
          </w:tcPr>
          <w:p>
            <w:pPr>
              <w:spacing w:before="20" w:after="20" w:lineRule="exact" w:line="200"/>
              <w:jc w:val="center"/>
            </w:pPr>
            <w:r>
              <w:rPr>
                <w:rFonts w:ascii="Times New Roman" w:hAnsi="Times New Roman"/>
                <w:b w:val="0"/>
                <w:i w:val="0"/>
                <w:sz w:val="16"/>
                <w:u w:val="none"/>
              </w:rPr>
              <w:t>98,55</w:t>
            </w:r>
          </w:p>
        </w:tc>
        <w:tc>
          <w:tcPr>
            <w:tcW w:type="dxa" w:w="3368"/>
          </w:tcPr>
          <w:p>
            <w:pPr>
              <w:spacing w:before="20" w:after="20" w:lineRule="exact" w:line="200"/>
              <w:jc w:val="center"/>
            </w:pPr>
            <w:r>
              <w:rPr>
                <w:rFonts w:ascii="Times New Roman" w:hAnsi="Times New Roman"/>
                <w:b w:val="0"/>
                <w:i w:val="0"/>
                <w:sz w:val="16"/>
                <w:u w:val="none"/>
              </w:rPr>
              <w:t>98,55</w:t>
            </w:r>
          </w:p>
        </w:tc>
      </w:tr>
      <w:tr>
        <w:tc>
          <w:tcPr>
            <w:tcW w:type="dxa" w:w="3368"/>
            <w:tcBorders>
              <w:top w:val="single" w:sz="4" w:space="0" w:color="000000"/>
            </w:tcBorders>
            <w:tcBorders>
              <w:bottom w:val="single" w:sz="8" w:space="0" w:color="000000"/>
            </w:tcBorders>
          </w:tcPr>
          <w:p>
            <w:pPr>
              <w:spacing w:before="20" w:after="20" w:lineRule="exact" w:line="200"/>
              <w:jc w:val="left"/>
            </w:pPr>
            <w:r>
              <w:rPr>
                <w:rFonts w:ascii="Times New Roman" w:hAnsi="Times New Roman"/>
                <w:b/>
                <w:i w:val="0"/>
                <w:sz w:val="16"/>
                <w:u w:val="none"/>
              </w:rPr>
              <w:t>Swin Transformer (bu çalışma)</w:t>
            </w:r>
          </w:p>
        </w:tc>
        <w:tc>
          <w:tcPr>
            <w:tcW w:type="dxa" w:w="3368"/>
            <w:tcBorders>
              <w:top w:val="single" w:sz="4" w:space="0" w:color="000000"/>
            </w:tcBorders>
            <w:tcBorders>
              <w:bottom w:val="single" w:sz="8" w:space="0" w:color="000000"/>
            </w:tcBorders>
          </w:tcPr>
          <w:p>
            <w:pPr>
              <w:spacing w:before="20" w:after="20" w:lineRule="exact" w:line="200"/>
              <w:jc w:val="center"/>
            </w:pPr>
            <w:r>
              <w:rPr>
                <w:rFonts w:ascii="Times New Roman" w:hAnsi="Times New Roman"/>
                <w:b/>
                <w:i w:val="0"/>
                <w:sz w:val="16"/>
                <w:u w:val="none"/>
              </w:rPr>
              <w:t>98,74</w:t>
            </w:r>
          </w:p>
        </w:tc>
        <w:tc>
          <w:tcPr>
            <w:tcW w:type="dxa" w:w="3368"/>
            <w:tcBorders>
              <w:top w:val="single" w:sz="4" w:space="0" w:color="000000"/>
            </w:tcBorders>
            <w:tcBorders>
              <w:bottom w:val="single" w:sz="8" w:space="0" w:color="000000"/>
            </w:tcBorders>
          </w:tcPr>
          <w:p>
            <w:pPr>
              <w:spacing w:before="20" w:after="20" w:lineRule="exact" w:line="200"/>
              <w:jc w:val="center"/>
            </w:pPr>
            <w:r>
              <w:rPr>
                <w:rFonts w:ascii="Times New Roman" w:hAnsi="Times New Roman"/>
                <w:b/>
                <w:i w:val="0"/>
                <w:sz w:val="16"/>
                <w:u w:val="none"/>
              </w:rPr>
              <w:t>98,75</w:t>
            </w:r>
          </w:p>
        </w:tc>
      </w:tr>
    </w:tbl>
    <w:p>
      <w:pPr>
        <w:spacing w:before="120" w:after="40" w:lineRule="exact" w:line="240"/>
        <w:jc w:val="center"/>
      </w:pPr>
      <w:r>
        <w:drawing>
          <wp:inline xmlns:a="http://schemas.openxmlformats.org/drawingml/2006/main" xmlns:pic="http://schemas.openxmlformats.org/drawingml/2006/picture">
            <wp:extent cx="2988000" cy="1698216"/>
            <wp:docPr id="7" name="Picture 7"/>
            <wp:cNvGraphicFramePr>
              <a:graphicFrameLocks noChangeAspect="1"/>
            </wp:cNvGraphicFramePr>
            <a:graphic>
              <a:graphicData uri="http://schemas.openxmlformats.org/drawingml/2006/picture">
                <pic:pic>
                  <pic:nvPicPr>
                    <pic:cNvPr id="0" name="fig7_comparison.png"/>
                    <pic:cNvPicPr/>
                  </pic:nvPicPr>
                  <pic:blipFill>
                    <a:blip r:embed="rId15"/>
                    <a:stretch>
                      <a:fillRect/>
                    </a:stretch>
                  </pic:blipFill>
                  <pic:spPr>
                    <a:xfrm>
                      <a:off x="0" y="0"/>
                      <a:ext cx="2988000" cy="1698216"/>
                    </a:xfrm>
                    <a:prstGeom prst="rect"/>
                  </pic:spPr>
                </pic:pic>
              </a:graphicData>
            </a:graphic>
          </wp:inline>
        </w:drawing>
      </w:r>
    </w:p>
    <w:p>
      <w:pPr>
        <w:spacing w:before="0" w:after="120" w:lineRule="exact" w:line="200"/>
        <w:jc w:val="center"/>
      </w:pPr>
      <w:r>
        <w:rPr>
          <w:rFonts w:ascii="Times New Roman" w:hAnsi="Times New Roman"/>
          <w:b w:val="0"/>
          <w:i w:val="0"/>
          <w:sz w:val="16"/>
          <w:u w:val="none"/>
        </w:rPr>
        <w:t xml:space="preserve">Fig. 7. </w:t>
      </w:r>
      <w:r>
        <w:rPr>
          <w:rFonts w:ascii="Times New Roman" w:hAnsi="Times New Roman"/>
          <w:b w:val="0"/>
          <w:i w:val="0"/>
          <w:sz w:val="16"/>
          <w:u w:val="none"/>
        </w:rPr>
        <w:t>Yöntemlerin doğruluk karşılaştırması. Kesik çizgi literatür rekoru olan %98,65'i göstermektedir.</w:t>
      </w:r>
    </w:p>
    <w:p>
      <w:pPr>
        <w:spacing w:before="100" w:after="40" w:lineRule="exact" w:line="240"/>
        <w:jc w:val="left"/>
      </w:pPr>
      <w:r>
        <w:rPr>
          <w:rFonts w:ascii="Times New Roman" w:hAnsi="Times New Roman"/>
          <w:b w:val="0"/>
          <w:i/>
          <w:sz w:val="20"/>
          <w:u w:val="none"/>
        </w:rPr>
        <w:t>E. Ablasyon Çalışması</w:t>
      </w:r>
    </w:p>
    <w:p>
      <w:pPr>
        <w:spacing w:before="0" w:after="0" w:lineRule="exact" w:line="240"/>
        <w:ind w:firstLine="288"/>
        <w:jc w:val="both"/>
      </w:pPr>
      <w:r>
        <w:rPr>
          <w:rFonts w:ascii="Times New Roman" w:hAnsi="Times New Roman"/>
          <w:b w:val="0"/>
          <w:i w:val="0"/>
          <w:sz w:val="20"/>
          <w:u w:val="none"/>
        </w:rPr>
        <w:t>Tablo IV, ensemble modelin bileşenlerinin performans üzerindeki etkisini göstermektedir.</w:t>
      </w:r>
    </w:p>
    <w:p>
      <w:pPr>
        <w:spacing w:before="120" w:after="40" w:lineRule="exact" w:line="200"/>
        <w:jc w:val="center"/>
      </w:pPr>
      <w:r>
        <w:rPr>
          <w:rFonts w:ascii="Times New Roman" w:hAnsi="Times New Roman"/>
          <w:b/>
          <w:i w:val="0"/>
          <w:smallCaps/>
          <w:sz w:val="16"/>
          <w:u w:val="none"/>
        </w:rPr>
        <w:t>TABLE IV</w:t>
      </w:r>
      <w:r>
        <w:rPr>
          <w:rFonts w:ascii="Times New Roman" w:hAnsi="Times New Roman"/>
          <w:b w:val="0"/>
          <w:i w:val="0"/>
          <w:sz w:val="16"/>
          <w:u w:val="none"/>
        </w:rPr>
        <w:br/>
      </w:r>
      <w:r>
        <w:rPr>
          <w:rFonts w:ascii="Times New Roman" w:hAnsi="Times New Roman"/>
          <w:b w:val="0"/>
          <w:i w:val="0"/>
          <w:smallCaps/>
          <w:sz w:val="16"/>
          <w:u w:val="none"/>
        </w:rPr>
        <w:t>ENSEMBLE ABLASYON ANALIZI</w:t>
      </w:r>
    </w:p>
    <w:tbl>
      <w:tblPr>
        <w:tblW w:type="auto" w:w="0"/>
        <w:jc w:val="center"/>
        <w:tblLook w:firstColumn="1" w:firstRow="1" w:lastColumn="0" w:lastRow="0" w:noHBand="0" w:noVBand="1" w:val="04A0"/>
      </w:tblPr>
      <w:tblGrid>
        <w:gridCol w:w="3368"/>
        <w:gridCol w:w="3368"/>
        <w:gridCol w:w="3368"/>
      </w:tblGrid>
      <w:tr>
        <w:tc>
          <w:tcPr>
            <w:tcW w:type="dxa" w:w="3368"/>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7"/>
                <w:u w:val="none"/>
              </w:rPr>
              <w:t>Konfigürasyon</w:t>
            </w:r>
          </w:p>
        </w:tc>
        <w:tc>
          <w:tcPr>
            <w:tcW w:type="dxa" w:w="3368"/>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7"/>
                <w:u w:val="none"/>
              </w:rPr>
              <w:t>Doğ.(%)</w:t>
            </w:r>
          </w:p>
        </w:tc>
        <w:tc>
          <w:tcPr>
            <w:tcW w:type="dxa" w:w="3368"/>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7"/>
                <w:u w:val="none"/>
              </w:rPr>
              <w:t>F1(%)</w:t>
            </w:r>
          </w:p>
        </w:tc>
      </w:tr>
      <w:tr>
        <w:tc>
          <w:tcPr>
            <w:tcW w:type="dxa" w:w="3368"/>
          </w:tcPr>
          <w:p>
            <w:pPr>
              <w:spacing w:before="20" w:after="20" w:lineRule="exact" w:line="200"/>
              <w:jc w:val="left"/>
            </w:pPr>
            <w:r>
              <w:rPr>
                <w:rFonts w:ascii="Times New Roman" w:hAnsi="Times New Roman"/>
                <w:b w:val="0"/>
                <w:i w:val="0"/>
                <w:sz w:val="17"/>
                <w:u w:val="none"/>
              </w:rPr>
              <w:t>EfficientNetV2-S (solo)</w:t>
            </w:r>
          </w:p>
        </w:tc>
        <w:tc>
          <w:tcPr>
            <w:tcW w:type="dxa" w:w="3368"/>
          </w:tcPr>
          <w:p>
            <w:pPr>
              <w:spacing w:before="20" w:after="20" w:lineRule="exact" w:line="200"/>
              <w:jc w:val="center"/>
            </w:pPr>
            <w:r>
              <w:rPr>
                <w:rFonts w:ascii="Times New Roman" w:hAnsi="Times New Roman"/>
                <w:b w:val="0"/>
                <w:i w:val="0"/>
                <w:sz w:val="17"/>
                <w:u w:val="none"/>
              </w:rPr>
              <w:t>98,55</w:t>
            </w:r>
          </w:p>
        </w:tc>
        <w:tc>
          <w:tcPr>
            <w:tcW w:type="dxa" w:w="3368"/>
          </w:tcPr>
          <w:p>
            <w:pPr>
              <w:spacing w:before="20" w:after="20" w:lineRule="exact" w:line="200"/>
              <w:jc w:val="center"/>
            </w:pPr>
            <w:r>
              <w:rPr>
                <w:rFonts w:ascii="Times New Roman" w:hAnsi="Times New Roman"/>
                <w:b w:val="0"/>
                <w:i w:val="0"/>
                <w:sz w:val="17"/>
                <w:u w:val="none"/>
              </w:rPr>
              <w:t>98,55</w:t>
            </w:r>
          </w:p>
        </w:tc>
      </w:tr>
      <w:tr>
        <w:tc>
          <w:tcPr>
            <w:tcW w:type="dxa" w:w="3368"/>
          </w:tcPr>
          <w:p>
            <w:pPr>
              <w:spacing w:before="20" w:after="20" w:lineRule="exact" w:line="200"/>
              <w:jc w:val="left"/>
            </w:pPr>
            <w:r>
              <w:rPr>
                <w:rFonts w:ascii="Times New Roman" w:hAnsi="Times New Roman"/>
                <w:b w:val="0"/>
                <w:i w:val="0"/>
                <w:sz w:val="17"/>
                <w:u w:val="none"/>
              </w:rPr>
              <w:t>Swin Transformer (solo)</w:t>
            </w:r>
          </w:p>
        </w:tc>
        <w:tc>
          <w:tcPr>
            <w:tcW w:type="dxa" w:w="3368"/>
          </w:tcPr>
          <w:p>
            <w:pPr>
              <w:spacing w:before="20" w:after="20" w:lineRule="exact" w:line="200"/>
              <w:jc w:val="center"/>
            </w:pPr>
            <w:r>
              <w:rPr>
                <w:rFonts w:ascii="Times New Roman" w:hAnsi="Times New Roman"/>
                <w:b w:val="0"/>
                <w:i w:val="0"/>
                <w:sz w:val="17"/>
                <w:u w:val="none"/>
              </w:rPr>
              <w:t>98,74</w:t>
            </w:r>
          </w:p>
        </w:tc>
        <w:tc>
          <w:tcPr>
            <w:tcW w:type="dxa" w:w="3368"/>
          </w:tcPr>
          <w:p>
            <w:pPr>
              <w:spacing w:before="20" w:after="20" w:lineRule="exact" w:line="200"/>
              <w:jc w:val="center"/>
            </w:pPr>
            <w:r>
              <w:rPr>
                <w:rFonts w:ascii="Times New Roman" w:hAnsi="Times New Roman"/>
                <w:b w:val="0"/>
                <w:i w:val="0"/>
                <w:sz w:val="17"/>
                <w:u w:val="none"/>
              </w:rPr>
              <w:t>98,75</w:t>
            </w:r>
          </w:p>
        </w:tc>
      </w:tr>
      <w:tr>
        <w:tc>
          <w:tcPr>
            <w:tcW w:type="dxa" w:w="3368"/>
          </w:tcPr>
          <w:p>
            <w:pPr>
              <w:spacing w:before="20" w:after="20" w:lineRule="exact" w:line="200"/>
              <w:jc w:val="left"/>
            </w:pPr>
            <w:r>
              <w:rPr>
                <w:rFonts w:ascii="Times New Roman" w:hAnsi="Times New Roman"/>
                <w:b w:val="0"/>
                <w:i w:val="0"/>
                <w:sz w:val="17"/>
                <w:u w:val="none"/>
              </w:rPr>
              <w:t>Ensemble (eşit ort.)</w:t>
            </w:r>
          </w:p>
        </w:tc>
        <w:tc>
          <w:tcPr>
            <w:tcW w:type="dxa" w:w="3368"/>
          </w:tcPr>
          <w:p>
            <w:pPr>
              <w:spacing w:before="20" w:after="20" w:lineRule="exact" w:line="200"/>
              <w:jc w:val="center"/>
            </w:pPr>
            <w:r>
              <w:rPr>
                <w:rFonts w:ascii="Times New Roman" w:hAnsi="Times New Roman"/>
                <w:b w:val="0"/>
                <w:i w:val="0"/>
                <w:sz w:val="17"/>
                <w:u w:val="none"/>
              </w:rPr>
              <w:t>98,65</w:t>
            </w:r>
          </w:p>
        </w:tc>
        <w:tc>
          <w:tcPr>
            <w:tcW w:type="dxa" w:w="3368"/>
          </w:tcPr>
          <w:p>
            <w:pPr>
              <w:spacing w:before="20" w:after="20" w:lineRule="exact" w:line="200"/>
              <w:jc w:val="center"/>
            </w:pPr>
            <w:r>
              <w:rPr>
                <w:rFonts w:ascii="Times New Roman" w:hAnsi="Times New Roman"/>
                <w:b w:val="0"/>
                <w:i w:val="0"/>
                <w:sz w:val="17"/>
                <w:u w:val="none"/>
              </w:rPr>
              <w:t>98,65</w:t>
            </w:r>
          </w:p>
        </w:tc>
      </w:tr>
      <w:tr>
        <w:tc>
          <w:tcPr>
            <w:tcW w:type="dxa" w:w="3368"/>
            <w:tcBorders>
              <w:bottom w:val="single" w:sz="8" w:space="0" w:color="000000"/>
            </w:tcBorders>
          </w:tcPr>
          <w:p>
            <w:pPr>
              <w:spacing w:before="20" w:after="20" w:lineRule="exact" w:line="200"/>
              <w:jc w:val="left"/>
            </w:pPr>
            <w:r>
              <w:rPr>
                <w:rFonts w:ascii="Times New Roman" w:hAnsi="Times New Roman"/>
                <w:b w:val="0"/>
                <w:i w:val="0"/>
                <w:sz w:val="17"/>
                <w:u w:val="none"/>
              </w:rPr>
              <w:t>Ensemble (Swin ağırlıklı)</w:t>
            </w:r>
          </w:p>
        </w:tc>
        <w:tc>
          <w:tcPr>
            <w:tcW w:type="dxa" w:w="3368"/>
            <w:tcBorders>
              <w:bottom w:val="single" w:sz="8" w:space="0" w:color="000000"/>
            </w:tcBorders>
          </w:tcPr>
          <w:p>
            <w:pPr>
              <w:spacing w:before="20" w:after="20" w:lineRule="exact" w:line="200"/>
              <w:jc w:val="center"/>
            </w:pPr>
            <w:r>
              <w:rPr>
                <w:rFonts w:ascii="Times New Roman" w:hAnsi="Times New Roman"/>
                <w:b w:val="0"/>
                <w:i w:val="0"/>
                <w:sz w:val="17"/>
                <w:u w:val="none"/>
              </w:rPr>
              <w:t>98,45</w:t>
            </w:r>
          </w:p>
        </w:tc>
        <w:tc>
          <w:tcPr>
            <w:tcW w:type="dxa" w:w="3368"/>
            <w:tcBorders>
              <w:bottom w:val="single" w:sz="8" w:space="0" w:color="000000"/>
            </w:tcBorders>
          </w:tcPr>
          <w:p>
            <w:pPr>
              <w:spacing w:before="20" w:after="20" w:lineRule="exact" w:line="200"/>
              <w:jc w:val="center"/>
            </w:pPr>
            <w:r>
              <w:rPr>
                <w:rFonts w:ascii="Times New Roman" w:hAnsi="Times New Roman"/>
                <w:b w:val="0"/>
                <w:i w:val="0"/>
                <w:sz w:val="17"/>
                <w:u w:val="none"/>
              </w:rPr>
              <w:t>98,46</w:t>
            </w:r>
          </w:p>
        </w:tc>
      </w:tr>
    </w:tbl>
    <w:p>
      <w:pPr>
        <w:spacing w:before="100" w:after="40" w:lineRule="exact" w:line="240"/>
        <w:jc w:val="left"/>
      </w:pPr>
      <w:r>
        <w:rPr>
          <w:rFonts w:ascii="Times New Roman" w:hAnsi="Times New Roman"/>
          <w:b w:val="0"/>
          <w:i/>
          <w:sz w:val="20"/>
          <w:u w:val="none"/>
        </w:rPr>
        <w:t>F. Hata Analizi</w:t>
      </w:r>
    </w:p>
    <w:p>
      <w:pPr>
        <w:spacing w:before="0" w:after="0" w:lineRule="exact" w:line="240"/>
        <w:ind w:firstLine="288"/>
        <w:jc w:val="both"/>
      </w:pPr>
      <w:r>
        <w:rPr>
          <w:rFonts w:ascii="Times New Roman" w:hAnsi="Times New Roman"/>
          <w:b w:val="0"/>
          <w:i w:val="0"/>
          <w:sz w:val="20"/>
          <w:u w:val="none"/>
        </w:rPr>
        <w:t>Final ensemble modelinde 1.035 örnekten yalnızca 14'ü (%1,35) yanlış sınıflandırılmıştır. Hataların %71,4'ü Küçük Kovan Böceği ile Varroa sınıfları arasındaki karışıklıktan kaynaklanmaktadır. Yanlış sınıflandırılan örnekler Şekil 8'de görselleştirilmiştir.</w:t>
      </w:r>
    </w:p>
    <w:p>
      <w:pPr>
        <w:spacing w:before="120" w:after="40" w:lineRule="exact" w:line="240"/>
        <w:jc w:val="center"/>
      </w:pPr>
      <w:r>
        <w:drawing>
          <wp:inline xmlns:a="http://schemas.openxmlformats.org/drawingml/2006/main" xmlns:pic="http://schemas.openxmlformats.org/drawingml/2006/picture">
            <wp:extent cx="2988000" cy="1169806"/>
            <wp:docPr id="8" name="Picture 8"/>
            <wp:cNvGraphicFramePr>
              <a:graphicFrameLocks noChangeAspect="1"/>
            </wp:cNvGraphicFramePr>
            <a:graphic>
              <a:graphicData uri="http://schemas.openxmlformats.org/drawingml/2006/picture">
                <pic:pic>
                  <pic:nvPicPr>
                    <pic:cNvPr id="0" name="fig8_misclassified.png"/>
                    <pic:cNvPicPr/>
                  </pic:nvPicPr>
                  <pic:blipFill>
                    <a:blip r:embed="rId16"/>
                    <a:stretch>
                      <a:fillRect/>
                    </a:stretch>
                  </pic:blipFill>
                  <pic:spPr>
                    <a:xfrm>
                      <a:off x="0" y="0"/>
                      <a:ext cx="2988000" cy="1169806"/>
                    </a:xfrm>
                    <a:prstGeom prst="rect"/>
                  </pic:spPr>
                </pic:pic>
              </a:graphicData>
            </a:graphic>
          </wp:inline>
        </w:drawing>
      </w:r>
    </w:p>
    <w:p>
      <w:pPr>
        <w:spacing w:before="0" w:after="120" w:lineRule="exact" w:line="200"/>
        <w:jc w:val="center"/>
      </w:pPr>
      <w:r>
        <w:rPr>
          <w:rFonts w:ascii="Times New Roman" w:hAnsi="Times New Roman"/>
          <w:b w:val="0"/>
          <w:i w:val="0"/>
          <w:sz w:val="16"/>
          <w:u w:val="none"/>
        </w:rPr>
        <w:t xml:space="preserve">Fig. 8. </w:t>
      </w:r>
      <w:r>
        <w:rPr>
          <w:rFonts w:ascii="Times New Roman" w:hAnsi="Times New Roman"/>
          <w:b w:val="0"/>
          <w:i w:val="0"/>
          <w:sz w:val="16"/>
          <w:u w:val="none"/>
        </w:rPr>
        <w:t>Ensemble tarafından yanlış sınıflandırılan görüntüler. Gerçek sınıf (True) ve tahmin (Pred) ile güven skoru belirtilmiştir.</w:t>
      </w:r>
    </w:p>
    <w:p>
      <w:pPr>
        <w:spacing w:before="100" w:after="40" w:lineRule="exact" w:line="240"/>
        <w:jc w:val="left"/>
      </w:pPr>
      <w:r>
        <w:rPr>
          <w:rFonts w:ascii="Times New Roman" w:hAnsi="Times New Roman"/>
          <w:b w:val="0"/>
          <w:i/>
          <w:sz w:val="20"/>
          <w:u w:val="none"/>
        </w:rPr>
        <w:t>G. 5-Katlı Çapraz Doğrulama Sonuçları</w:t>
      </w:r>
    </w:p>
    <w:p>
      <w:pPr>
        <w:spacing w:before="0" w:after="0" w:lineRule="exact" w:line="240"/>
        <w:ind w:firstLine="288"/>
        <w:jc w:val="both"/>
      </w:pPr>
      <w:r>
        <w:rPr>
          <w:rFonts w:ascii="Times New Roman" w:hAnsi="Times New Roman"/>
          <w:b w:val="0"/>
          <w:i w:val="0"/>
          <w:sz w:val="20"/>
          <w:u w:val="none"/>
        </w:rPr>
        <w:t>Önceki bölümlerde sunulan bireysel model sonuçları tek bir doğrulama kümesi (Fold 0) üzerinden elde edilmiştir. Modellerin istatistiksel güvenilirliğini değerlendirmek amacıyla, EfficientNetV2-S ve Swin Transformer modelleri 5 katlı tabakalı çapraz doğrulama ile kapsamlı biçimde yeniden değerlendirilmiştir.</w:t>
      </w:r>
    </w:p>
    <w:p>
      <w:pPr>
        <w:spacing w:before="120" w:after="40" w:lineRule="exact" w:line="200"/>
        <w:jc w:val="center"/>
      </w:pPr>
      <w:r>
        <w:rPr>
          <w:rFonts w:ascii="Times New Roman" w:hAnsi="Times New Roman"/>
          <w:b/>
          <w:i w:val="0"/>
          <w:smallCaps/>
          <w:sz w:val="16"/>
          <w:u w:val="none"/>
        </w:rPr>
        <w:t>TABLE V</w:t>
      </w:r>
      <w:r>
        <w:rPr>
          <w:rFonts w:ascii="Times New Roman" w:hAnsi="Times New Roman"/>
          <w:b w:val="0"/>
          <w:i w:val="0"/>
          <w:sz w:val="16"/>
          <w:u w:val="none"/>
        </w:rPr>
        <w:br/>
      </w:r>
      <w:r>
        <w:rPr>
          <w:rFonts w:ascii="Times New Roman" w:hAnsi="Times New Roman"/>
          <w:b w:val="0"/>
          <w:i w:val="0"/>
          <w:smallCaps/>
          <w:sz w:val="16"/>
          <w:u w:val="none"/>
        </w:rPr>
        <w:t>5-FOLD CV ÖZET SONUÇLARI (ORTALAMA ± STD)</w:t>
      </w:r>
    </w:p>
    <w:tbl>
      <w:tblPr>
        <w:tblW w:type="auto" w:w="0"/>
        <w:jc w:val="center"/>
        <w:tblLook w:firstColumn="1" w:firstRow="1" w:lastColumn="0" w:lastRow="0" w:noHBand="0" w:noVBand="1" w:val="04A0"/>
      </w:tblPr>
      <w:tblGrid>
        <w:gridCol w:w="2021"/>
        <w:gridCol w:w="2021"/>
        <w:gridCol w:w="2021"/>
        <w:gridCol w:w="2021"/>
        <w:gridCol w:w="2021"/>
      </w:tblGrid>
      <w:tr>
        <w:tc>
          <w:tcPr>
            <w:tcW w:type="dxa" w:w="2021"/>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5"/>
                <w:u w:val="none"/>
              </w:rPr>
              <w:t>Model</w:t>
            </w:r>
          </w:p>
        </w:tc>
        <w:tc>
          <w:tcPr>
            <w:tcW w:type="dxa" w:w="2021"/>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5"/>
                <w:u w:val="none"/>
              </w:rPr>
              <w:t>Acc.(%)</w:t>
            </w:r>
          </w:p>
        </w:tc>
        <w:tc>
          <w:tcPr>
            <w:tcW w:type="dxa" w:w="2021"/>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5"/>
                <w:u w:val="none"/>
              </w:rPr>
              <w:t>F1(%)</w:t>
            </w:r>
          </w:p>
        </w:tc>
        <w:tc>
          <w:tcPr>
            <w:tcW w:type="dxa" w:w="2021"/>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5"/>
                <w:u w:val="none"/>
              </w:rPr>
              <w:t>Prec.(%)</w:t>
            </w:r>
          </w:p>
        </w:tc>
        <w:tc>
          <w:tcPr>
            <w:tcW w:type="dxa" w:w="2021"/>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5"/>
                <w:u w:val="none"/>
              </w:rPr>
              <w:t>Rec.(%)</w:t>
            </w:r>
          </w:p>
        </w:tc>
      </w:tr>
      <w:tr>
        <w:tc>
          <w:tcPr>
            <w:tcW w:type="dxa" w:w="2021"/>
          </w:tcPr>
          <w:p>
            <w:pPr>
              <w:spacing w:before="20" w:after="20" w:lineRule="exact" w:line="200"/>
              <w:jc w:val="left"/>
            </w:pPr>
            <w:r>
              <w:rPr>
                <w:rFonts w:ascii="Times New Roman" w:hAnsi="Times New Roman"/>
                <w:b w:val="0"/>
                <w:i w:val="0"/>
                <w:sz w:val="15"/>
                <w:u w:val="none"/>
              </w:rPr>
              <w:t>EfficientNetV2-S</w:t>
            </w:r>
          </w:p>
        </w:tc>
        <w:tc>
          <w:tcPr>
            <w:tcW w:type="dxa" w:w="2021"/>
          </w:tcPr>
          <w:p>
            <w:pPr>
              <w:spacing w:before="20" w:after="20" w:lineRule="exact" w:line="200"/>
              <w:jc w:val="center"/>
            </w:pPr>
            <w:r>
              <w:rPr>
                <w:rFonts w:ascii="Times New Roman" w:hAnsi="Times New Roman"/>
                <w:b w:val="0"/>
                <w:i w:val="0"/>
                <w:sz w:val="15"/>
                <w:u w:val="none"/>
              </w:rPr>
              <w:t>98,45 ± 0,36</w:t>
            </w:r>
          </w:p>
        </w:tc>
        <w:tc>
          <w:tcPr>
            <w:tcW w:type="dxa" w:w="2021"/>
          </w:tcPr>
          <w:p>
            <w:pPr>
              <w:spacing w:before="20" w:after="20" w:lineRule="exact" w:line="200"/>
              <w:jc w:val="center"/>
            </w:pPr>
            <w:r>
              <w:rPr>
                <w:rFonts w:ascii="Times New Roman" w:hAnsi="Times New Roman"/>
                <w:b w:val="0"/>
                <w:i w:val="0"/>
                <w:sz w:val="15"/>
                <w:u w:val="none"/>
              </w:rPr>
              <w:t>98,45 ± 0,35</w:t>
            </w:r>
          </w:p>
        </w:tc>
        <w:tc>
          <w:tcPr>
            <w:tcW w:type="dxa" w:w="2021"/>
          </w:tcPr>
          <w:p>
            <w:pPr>
              <w:spacing w:before="20" w:after="20" w:lineRule="exact" w:line="200"/>
              <w:jc w:val="center"/>
            </w:pPr>
            <w:r>
              <w:rPr>
                <w:rFonts w:ascii="Times New Roman" w:hAnsi="Times New Roman"/>
                <w:b w:val="0"/>
                <w:i w:val="0"/>
                <w:sz w:val="15"/>
                <w:u w:val="none"/>
              </w:rPr>
              <w:t>98,52 ± 0,31</w:t>
            </w:r>
          </w:p>
        </w:tc>
        <w:tc>
          <w:tcPr>
            <w:tcW w:type="dxa" w:w="2021"/>
          </w:tcPr>
          <w:p>
            <w:pPr>
              <w:spacing w:before="20" w:after="20" w:lineRule="exact" w:line="200"/>
              <w:jc w:val="center"/>
            </w:pPr>
            <w:r>
              <w:rPr>
                <w:rFonts w:ascii="Times New Roman" w:hAnsi="Times New Roman"/>
                <w:b w:val="0"/>
                <w:i w:val="0"/>
                <w:sz w:val="15"/>
                <w:u w:val="none"/>
              </w:rPr>
              <w:t>98,45 ± 0,36</w:t>
            </w:r>
          </w:p>
        </w:tc>
      </w:tr>
      <w:tr>
        <w:tc>
          <w:tcPr>
            <w:tcW w:type="dxa" w:w="2021"/>
            <w:tcBorders>
              <w:bottom w:val="single" w:sz="8" w:space="0" w:color="000000"/>
            </w:tcBorders>
          </w:tcPr>
          <w:p>
            <w:pPr>
              <w:spacing w:before="20" w:after="20" w:lineRule="exact" w:line="200"/>
              <w:jc w:val="left"/>
            </w:pPr>
            <w:r>
              <w:rPr>
                <w:rFonts w:ascii="Times New Roman" w:hAnsi="Times New Roman"/>
                <w:b w:val="0"/>
                <w:i w:val="0"/>
                <w:sz w:val="15"/>
                <w:u w:val="none"/>
              </w:rPr>
              <w:t>Swin Transformer</w:t>
            </w:r>
          </w:p>
        </w:tc>
        <w:tc>
          <w:tcPr>
            <w:tcW w:type="dxa" w:w="2021"/>
            <w:tcBorders>
              <w:bottom w:val="single" w:sz="8" w:space="0" w:color="000000"/>
            </w:tcBorders>
          </w:tcPr>
          <w:p>
            <w:pPr>
              <w:spacing w:before="20" w:after="20" w:lineRule="exact" w:line="200"/>
              <w:jc w:val="center"/>
            </w:pPr>
            <w:r>
              <w:rPr>
                <w:rFonts w:ascii="Times New Roman" w:hAnsi="Times New Roman"/>
                <w:b w:val="0"/>
                <w:i w:val="0"/>
                <w:sz w:val="15"/>
                <w:u w:val="none"/>
              </w:rPr>
              <w:t>98,51 ± 0,54</w:t>
            </w:r>
          </w:p>
        </w:tc>
        <w:tc>
          <w:tcPr>
            <w:tcW w:type="dxa" w:w="2021"/>
            <w:tcBorders>
              <w:bottom w:val="single" w:sz="8" w:space="0" w:color="000000"/>
            </w:tcBorders>
          </w:tcPr>
          <w:p>
            <w:pPr>
              <w:spacing w:before="20" w:after="20" w:lineRule="exact" w:line="200"/>
              <w:jc w:val="center"/>
            </w:pPr>
            <w:r>
              <w:rPr>
                <w:rFonts w:ascii="Times New Roman" w:hAnsi="Times New Roman"/>
                <w:b w:val="0"/>
                <w:i w:val="0"/>
                <w:sz w:val="15"/>
                <w:u w:val="none"/>
              </w:rPr>
              <w:t>98,51 ± 0,53</w:t>
            </w:r>
          </w:p>
        </w:tc>
        <w:tc>
          <w:tcPr>
            <w:tcW w:type="dxa" w:w="2021"/>
            <w:tcBorders>
              <w:bottom w:val="single" w:sz="8" w:space="0" w:color="000000"/>
            </w:tcBorders>
          </w:tcPr>
          <w:p>
            <w:pPr>
              <w:spacing w:before="20" w:after="20" w:lineRule="exact" w:line="200"/>
              <w:jc w:val="center"/>
            </w:pPr>
            <w:r>
              <w:rPr>
                <w:rFonts w:ascii="Times New Roman" w:hAnsi="Times New Roman"/>
                <w:b w:val="0"/>
                <w:i w:val="0"/>
                <w:sz w:val="15"/>
                <w:u w:val="none"/>
              </w:rPr>
              <w:t>98,56 ± 0,47</w:t>
            </w:r>
          </w:p>
        </w:tc>
        <w:tc>
          <w:tcPr>
            <w:tcW w:type="dxa" w:w="2021"/>
            <w:tcBorders>
              <w:bottom w:val="single" w:sz="8" w:space="0" w:color="000000"/>
            </w:tcBorders>
          </w:tcPr>
          <w:p>
            <w:pPr>
              <w:spacing w:before="20" w:after="20" w:lineRule="exact" w:line="200"/>
              <w:jc w:val="center"/>
            </w:pPr>
            <w:r>
              <w:rPr>
                <w:rFonts w:ascii="Times New Roman" w:hAnsi="Times New Roman"/>
                <w:b w:val="0"/>
                <w:i w:val="0"/>
                <w:sz w:val="15"/>
                <w:u w:val="none"/>
              </w:rPr>
              <w:t>98,51 ± 0,54</w:t>
            </w:r>
          </w:p>
        </w:tc>
      </w:tr>
    </w:tbl>
    <w:p>
      <w:pPr>
        <w:spacing w:before="0" w:after="0" w:lineRule="exact" w:line="240"/>
        <w:ind w:firstLine="288"/>
        <w:jc w:val="both"/>
      </w:pPr>
      <w:r>
        <w:rPr>
          <w:rFonts w:ascii="Times New Roman" w:hAnsi="Times New Roman"/>
          <w:b w:val="0"/>
          <w:i w:val="0"/>
          <w:sz w:val="20"/>
          <w:u w:val="none"/>
        </w:rPr>
        <w:t>Her iki model de %98'in üzerinde ortalama doğruluk elde etmiştir. Swin Transformer, %98,51 ± 0,54 doğruluk ile EfficientNetV2-S'nin %98,45 ± 0,36 sonucunu küçük bir farkla geçmiştir.</w:t>
      </w:r>
    </w:p>
    <w:p>
      <w:pPr>
        <w:spacing w:before="120" w:after="40" w:lineRule="exact" w:line="200"/>
        <w:jc w:val="center"/>
      </w:pPr>
      <w:r>
        <w:rPr>
          <w:rFonts w:ascii="Times New Roman" w:hAnsi="Times New Roman"/>
          <w:b/>
          <w:i w:val="0"/>
          <w:smallCaps/>
          <w:sz w:val="16"/>
          <w:u w:val="none"/>
        </w:rPr>
        <w:t>TABLE VI</w:t>
      </w:r>
      <w:r>
        <w:rPr>
          <w:rFonts w:ascii="Times New Roman" w:hAnsi="Times New Roman"/>
          <w:b w:val="0"/>
          <w:i w:val="0"/>
          <w:sz w:val="16"/>
          <w:u w:val="none"/>
        </w:rPr>
        <w:br/>
      </w:r>
      <w:r>
        <w:rPr>
          <w:rFonts w:ascii="Times New Roman" w:hAnsi="Times New Roman"/>
          <w:b w:val="0"/>
          <w:i w:val="0"/>
          <w:smallCaps/>
          <w:sz w:val="16"/>
          <w:u w:val="none"/>
        </w:rPr>
        <w:t>SWIN TRANSFORMER FOLD BAZLI SONUÇLAR</w:t>
      </w:r>
    </w:p>
    <w:tbl>
      <w:tblPr>
        <w:tblW w:type="auto" w:w="0"/>
        <w:jc w:val="center"/>
        <w:tblLook w:firstColumn="1" w:firstRow="1" w:lastColumn="0" w:lastRow="0" w:noHBand="0" w:noVBand="1" w:val="04A0"/>
      </w:tblPr>
      <w:tblGrid>
        <w:gridCol w:w="2021"/>
        <w:gridCol w:w="2021"/>
        <w:gridCol w:w="2021"/>
        <w:gridCol w:w="2021"/>
        <w:gridCol w:w="2021"/>
      </w:tblGrid>
      <w:tr>
        <w:tc>
          <w:tcPr>
            <w:tcW w:type="dxa" w:w="2021"/>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6"/>
                <w:u w:val="none"/>
              </w:rPr>
              <w:t>Fold</w:t>
            </w:r>
          </w:p>
        </w:tc>
        <w:tc>
          <w:tcPr>
            <w:tcW w:type="dxa" w:w="2021"/>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6"/>
                <w:u w:val="none"/>
              </w:rPr>
              <w:t>Acc.(%)</w:t>
            </w:r>
          </w:p>
        </w:tc>
        <w:tc>
          <w:tcPr>
            <w:tcW w:type="dxa" w:w="2021"/>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6"/>
                <w:u w:val="none"/>
              </w:rPr>
              <w:t>F1(%)</w:t>
            </w:r>
          </w:p>
        </w:tc>
        <w:tc>
          <w:tcPr>
            <w:tcW w:type="dxa" w:w="2021"/>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6"/>
                <w:u w:val="none"/>
              </w:rPr>
              <w:t>Prec.(%)</w:t>
            </w:r>
          </w:p>
        </w:tc>
        <w:tc>
          <w:tcPr>
            <w:tcW w:type="dxa" w:w="2021"/>
            <w:shd w:val="clear" w:color="auto" w:fill="E0E0E0"/>
            <w:tcBorders>
              <w:top w:val="single" w:sz="8" w:space="0" w:color="000000"/>
            </w:tcBorders>
            <w:tcBorders>
              <w:bottom w:val="single" w:sz="4" w:space="0" w:color="000000"/>
            </w:tcBorders>
          </w:tcPr>
          <w:p>
            <w:pPr>
              <w:spacing w:before="20" w:after="20" w:lineRule="exact" w:line="200"/>
              <w:jc w:val="center"/>
            </w:pPr>
            <w:r>
              <w:rPr>
                <w:rFonts w:ascii="Times New Roman" w:hAnsi="Times New Roman"/>
                <w:b/>
                <w:i w:val="0"/>
                <w:sz w:val="16"/>
                <w:u w:val="none"/>
              </w:rPr>
              <w:t>Rec.(%)</w:t>
            </w:r>
          </w:p>
        </w:tc>
      </w:tr>
      <w:tr>
        <w:tc>
          <w:tcPr>
            <w:tcW w:type="dxa" w:w="2021"/>
          </w:tcPr>
          <w:p>
            <w:pPr>
              <w:spacing w:before="20" w:after="20" w:lineRule="exact" w:line="200"/>
              <w:jc w:val="left"/>
            </w:pPr>
            <w:r>
              <w:rPr>
                <w:rFonts w:ascii="Times New Roman" w:hAnsi="Times New Roman"/>
                <w:b w:val="0"/>
                <w:i w:val="0"/>
                <w:sz w:val="16"/>
                <w:u w:val="none"/>
              </w:rPr>
              <w:t>Fold 0</w:t>
            </w:r>
          </w:p>
        </w:tc>
        <w:tc>
          <w:tcPr>
            <w:tcW w:type="dxa" w:w="2021"/>
          </w:tcPr>
          <w:p>
            <w:pPr>
              <w:spacing w:before="20" w:after="20" w:lineRule="exact" w:line="200"/>
              <w:jc w:val="center"/>
            </w:pPr>
            <w:r>
              <w:rPr>
                <w:rFonts w:ascii="Times New Roman" w:hAnsi="Times New Roman"/>
                <w:b w:val="0"/>
                <w:i w:val="0"/>
                <w:sz w:val="16"/>
                <w:u w:val="none"/>
              </w:rPr>
              <w:t>98,84</w:t>
            </w:r>
          </w:p>
        </w:tc>
        <w:tc>
          <w:tcPr>
            <w:tcW w:type="dxa" w:w="2021"/>
          </w:tcPr>
          <w:p>
            <w:pPr>
              <w:spacing w:before="20" w:after="20" w:lineRule="exact" w:line="200"/>
              <w:jc w:val="center"/>
            </w:pPr>
            <w:r>
              <w:rPr>
                <w:rFonts w:ascii="Times New Roman" w:hAnsi="Times New Roman"/>
                <w:b w:val="0"/>
                <w:i w:val="0"/>
                <w:sz w:val="16"/>
                <w:u w:val="none"/>
              </w:rPr>
              <w:t>98,84</w:t>
            </w:r>
          </w:p>
        </w:tc>
        <w:tc>
          <w:tcPr>
            <w:tcW w:type="dxa" w:w="2021"/>
          </w:tcPr>
          <w:p>
            <w:pPr>
              <w:spacing w:before="20" w:after="20" w:lineRule="exact" w:line="200"/>
              <w:jc w:val="center"/>
            </w:pPr>
            <w:r>
              <w:rPr>
                <w:rFonts w:ascii="Times New Roman" w:hAnsi="Times New Roman"/>
                <w:b w:val="0"/>
                <w:i w:val="0"/>
                <w:sz w:val="16"/>
                <w:u w:val="none"/>
              </w:rPr>
              <w:t>98,85</w:t>
            </w:r>
          </w:p>
        </w:tc>
        <w:tc>
          <w:tcPr>
            <w:tcW w:type="dxa" w:w="2021"/>
          </w:tcPr>
          <w:p>
            <w:pPr>
              <w:spacing w:before="20" w:after="20" w:lineRule="exact" w:line="200"/>
              <w:jc w:val="center"/>
            </w:pPr>
            <w:r>
              <w:rPr>
                <w:rFonts w:ascii="Times New Roman" w:hAnsi="Times New Roman"/>
                <w:b w:val="0"/>
                <w:i w:val="0"/>
                <w:sz w:val="16"/>
                <w:u w:val="none"/>
              </w:rPr>
              <w:t>98,84</w:t>
            </w:r>
          </w:p>
        </w:tc>
      </w:tr>
      <w:tr>
        <w:tc>
          <w:tcPr>
            <w:tcW w:type="dxa" w:w="2021"/>
          </w:tcPr>
          <w:p>
            <w:pPr>
              <w:spacing w:before="20" w:after="20" w:lineRule="exact" w:line="200"/>
              <w:jc w:val="left"/>
            </w:pPr>
            <w:r>
              <w:rPr>
                <w:rFonts w:ascii="Times New Roman" w:hAnsi="Times New Roman"/>
                <w:b w:val="0"/>
                <w:i w:val="0"/>
                <w:sz w:val="16"/>
                <w:u w:val="none"/>
              </w:rPr>
              <w:t>Fold 1</w:t>
            </w:r>
          </w:p>
        </w:tc>
        <w:tc>
          <w:tcPr>
            <w:tcW w:type="dxa" w:w="2021"/>
          </w:tcPr>
          <w:p>
            <w:pPr>
              <w:spacing w:before="20" w:after="20" w:lineRule="exact" w:line="200"/>
              <w:jc w:val="center"/>
            </w:pPr>
            <w:r>
              <w:rPr>
                <w:rFonts w:ascii="Times New Roman" w:hAnsi="Times New Roman"/>
                <w:b w:val="0"/>
                <w:i w:val="0"/>
                <w:sz w:val="16"/>
                <w:u w:val="none"/>
              </w:rPr>
              <w:t>98,26</w:t>
            </w:r>
          </w:p>
        </w:tc>
        <w:tc>
          <w:tcPr>
            <w:tcW w:type="dxa" w:w="2021"/>
          </w:tcPr>
          <w:p>
            <w:pPr>
              <w:spacing w:before="20" w:after="20" w:lineRule="exact" w:line="200"/>
              <w:jc w:val="center"/>
            </w:pPr>
            <w:r>
              <w:rPr>
                <w:rFonts w:ascii="Times New Roman" w:hAnsi="Times New Roman"/>
                <w:b w:val="0"/>
                <w:i w:val="0"/>
                <w:sz w:val="16"/>
                <w:u w:val="none"/>
              </w:rPr>
              <w:t>98,27</w:t>
            </w:r>
          </w:p>
        </w:tc>
        <w:tc>
          <w:tcPr>
            <w:tcW w:type="dxa" w:w="2021"/>
          </w:tcPr>
          <w:p>
            <w:pPr>
              <w:spacing w:before="20" w:after="20" w:lineRule="exact" w:line="200"/>
              <w:jc w:val="center"/>
            </w:pPr>
            <w:r>
              <w:rPr>
                <w:rFonts w:ascii="Times New Roman" w:hAnsi="Times New Roman"/>
                <w:b w:val="0"/>
                <w:i w:val="0"/>
                <w:sz w:val="16"/>
                <w:u w:val="none"/>
              </w:rPr>
              <w:t>98,35</w:t>
            </w:r>
          </w:p>
        </w:tc>
        <w:tc>
          <w:tcPr>
            <w:tcW w:type="dxa" w:w="2021"/>
          </w:tcPr>
          <w:p>
            <w:pPr>
              <w:spacing w:before="20" w:after="20" w:lineRule="exact" w:line="200"/>
              <w:jc w:val="center"/>
            </w:pPr>
            <w:r>
              <w:rPr>
                <w:rFonts w:ascii="Times New Roman" w:hAnsi="Times New Roman"/>
                <w:b w:val="0"/>
                <w:i w:val="0"/>
                <w:sz w:val="16"/>
                <w:u w:val="none"/>
              </w:rPr>
              <w:t>98,26</w:t>
            </w:r>
          </w:p>
        </w:tc>
      </w:tr>
      <w:tr>
        <w:tc>
          <w:tcPr>
            <w:tcW w:type="dxa" w:w="2021"/>
          </w:tcPr>
          <w:p>
            <w:pPr>
              <w:spacing w:before="20" w:after="20" w:lineRule="exact" w:line="200"/>
              <w:jc w:val="left"/>
            </w:pPr>
            <w:r>
              <w:rPr>
                <w:rFonts w:ascii="Times New Roman" w:hAnsi="Times New Roman"/>
                <w:b w:val="0"/>
                <w:i w:val="0"/>
                <w:sz w:val="16"/>
                <w:u w:val="none"/>
              </w:rPr>
              <w:t>Fold 2</w:t>
            </w:r>
          </w:p>
        </w:tc>
        <w:tc>
          <w:tcPr>
            <w:tcW w:type="dxa" w:w="2021"/>
          </w:tcPr>
          <w:p>
            <w:pPr>
              <w:spacing w:before="20" w:after="20" w:lineRule="exact" w:line="200"/>
              <w:jc w:val="center"/>
            </w:pPr>
            <w:r>
              <w:rPr>
                <w:rFonts w:ascii="Times New Roman" w:hAnsi="Times New Roman"/>
                <w:b w:val="0"/>
                <w:i w:val="0"/>
                <w:sz w:val="16"/>
                <w:u w:val="none"/>
              </w:rPr>
              <w:t>97,68</w:t>
            </w:r>
          </w:p>
        </w:tc>
        <w:tc>
          <w:tcPr>
            <w:tcW w:type="dxa" w:w="2021"/>
          </w:tcPr>
          <w:p>
            <w:pPr>
              <w:spacing w:before="20" w:after="20" w:lineRule="exact" w:line="200"/>
              <w:jc w:val="center"/>
            </w:pPr>
            <w:r>
              <w:rPr>
                <w:rFonts w:ascii="Times New Roman" w:hAnsi="Times New Roman"/>
                <w:b w:val="0"/>
                <w:i w:val="0"/>
                <w:sz w:val="16"/>
                <w:u w:val="none"/>
              </w:rPr>
              <w:t>97,68</w:t>
            </w:r>
          </w:p>
        </w:tc>
        <w:tc>
          <w:tcPr>
            <w:tcW w:type="dxa" w:w="2021"/>
          </w:tcPr>
          <w:p>
            <w:pPr>
              <w:spacing w:before="20" w:after="20" w:lineRule="exact" w:line="200"/>
              <w:jc w:val="center"/>
            </w:pPr>
            <w:r>
              <w:rPr>
                <w:rFonts w:ascii="Times New Roman" w:hAnsi="Times New Roman"/>
                <w:b w:val="0"/>
                <w:i w:val="0"/>
                <w:sz w:val="16"/>
                <w:u w:val="none"/>
              </w:rPr>
              <w:t>97,83</w:t>
            </w:r>
          </w:p>
        </w:tc>
        <w:tc>
          <w:tcPr>
            <w:tcW w:type="dxa" w:w="2021"/>
          </w:tcPr>
          <w:p>
            <w:pPr>
              <w:spacing w:before="20" w:after="20" w:lineRule="exact" w:line="200"/>
              <w:jc w:val="center"/>
            </w:pPr>
            <w:r>
              <w:rPr>
                <w:rFonts w:ascii="Times New Roman" w:hAnsi="Times New Roman"/>
                <w:b w:val="0"/>
                <w:i w:val="0"/>
                <w:sz w:val="16"/>
                <w:u w:val="none"/>
              </w:rPr>
              <w:t>97,68</w:t>
            </w:r>
          </w:p>
        </w:tc>
      </w:tr>
      <w:tr>
        <w:tc>
          <w:tcPr>
            <w:tcW w:type="dxa" w:w="2021"/>
          </w:tcPr>
          <w:p>
            <w:pPr>
              <w:spacing w:before="20" w:after="20" w:lineRule="exact" w:line="200"/>
              <w:jc w:val="left"/>
            </w:pPr>
            <w:r>
              <w:rPr>
                <w:rFonts w:ascii="Times New Roman" w:hAnsi="Times New Roman"/>
                <w:b w:val="0"/>
                <w:i w:val="0"/>
                <w:sz w:val="16"/>
                <w:u w:val="none"/>
              </w:rPr>
              <w:t>Fold 3</w:t>
            </w:r>
          </w:p>
        </w:tc>
        <w:tc>
          <w:tcPr>
            <w:tcW w:type="dxa" w:w="2021"/>
          </w:tcPr>
          <w:p>
            <w:pPr>
              <w:spacing w:before="20" w:after="20" w:lineRule="exact" w:line="200"/>
              <w:jc w:val="center"/>
            </w:pPr>
            <w:r>
              <w:rPr>
                <w:rFonts w:ascii="Times New Roman" w:hAnsi="Times New Roman"/>
                <w:b w:val="0"/>
                <w:i w:val="0"/>
                <w:sz w:val="16"/>
                <w:u w:val="none"/>
              </w:rPr>
              <w:t>98,84</w:t>
            </w:r>
          </w:p>
        </w:tc>
        <w:tc>
          <w:tcPr>
            <w:tcW w:type="dxa" w:w="2021"/>
          </w:tcPr>
          <w:p>
            <w:pPr>
              <w:spacing w:before="20" w:after="20" w:lineRule="exact" w:line="200"/>
              <w:jc w:val="center"/>
            </w:pPr>
            <w:r>
              <w:rPr>
                <w:rFonts w:ascii="Times New Roman" w:hAnsi="Times New Roman"/>
                <w:b w:val="0"/>
                <w:i w:val="0"/>
                <w:sz w:val="16"/>
                <w:u w:val="none"/>
              </w:rPr>
              <w:t>98,84</w:t>
            </w:r>
          </w:p>
        </w:tc>
        <w:tc>
          <w:tcPr>
            <w:tcW w:type="dxa" w:w="2021"/>
          </w:tcPr>
          <w:p>
            <w:pPr>
              <w:spacing w:before="20" w:after="20" w:lineRule="exact" w:line="200"/>
              <w:jc w:val="center"/>
            </w:pPr>
            <w:r>
              <w:rPr>
                <w:rFonts w:ascii="Times New Roman" w:hAnsi="Times New Roman"/>
                <w:b w:val="0"/>
                <w:i w:val="0"/>
                <w:sz w:val="16"/>
                <w:u w:val="none"/>
              </w:rPr>
              <w:t>98,85</w:t>
            </w:r>
          </w:p>
        </w:tc>
        <w:tc>
          <w:tcPr>
            <w:tcW w:type="dxa" w:w="2021"/>
          </w:tcPr>
          <w:p>
            <w:pPr>
              <w:spacing w:before="20" w:after="20" w:lineRule="exact" w:line="200"/>
              <w:jc w:val="center"/>
            </w:pPr>
            <w:r>
              <w:rPr>
                <w:rFonts w:ascii="Times New Roman" w:hAnsi="Times New Roman"/>
                <w:b w:val="0"/>
                <w:i w:val="0"/>
                <w:sz w:val="16"/>
                <w:u w:val="none"/>
              </w:rPr>
              <w:t>98,84</w:t>
            </w:r>
          </w:p>
        </w:tc>
      </w:tr>
      <w:tr>
        <w:tc>
          <w:tcPr>
            <w:tcW w:type="dxa" w:w="2021"/>
            <w:tcBorders>
              <w:bottom w:val="single" w:sz="8" w:space="0" w:color="000000"/>
            </w:tcBorders>
          </w:tcPr>
          <w:p>
            <w:pPr>
              <w:spacing w:before="20" w:after="20" w:lineRule="exact" w:line="200"/>
              <w:jc w:val="left"/>
            </w:pPr>
            <w:r>
              <w:rPr>
                <w:rFonts w:ascii="Times New Roman" w:hAnsi="Times New Roman"/>
                <w:b w:val="0"/>
                <w:i w:val="0"/>
                <w:sz w:val="16"/>
                <w:u w:val="none"/>
              </w:rPr>
              <w:t>Fold 4</w:t>
            </w:r>
          </w:p>
        </w:tc>
        <w:tc>
          <w:tcPr>
            <w:tcW w:type="dxa" w:w="2021"/>
            <w:tcBorders>
              <w:bottom w:val="single" w:sz="8" w:space="0" w:color="000000"/>
            </w:tcBorders>
          </w:tcPr>
          <w:p>
            <w:pPr>
              <w:spacing w:before="20" w:after="20" w:lineRule="exact" w:line="200"/>
              <w:jc w:val="center"/>
            </w:pPr>
            <w:r>
              <w:rPr>
                <w:rFonts w:ascii="Times New Roman" w:hAnsi="Times New Roman"/>
                <w:b w:val="0"/>
                <w:i w:val="0"/>
                <w:sz w:val="16"/>
                <w:u w:val="none"/>
              </w:rPr>
              <w:t>98,94</w:t>
            </w:r>
          </w:p>
        </w:tc>
        <w:tc>
          <w:tcPr>
            <w:tcW w:type="dxa" w:w="2021"/>
            <w:tcBorders>
              <w:bottom w:val="single" w:sz="8" w:space="0" w:color="000000"/>
            </w:tcBorders>
          </w:tcPr>
          <w:p>
            <w:pPr>
              <w:spacing w:before="20" w:after="20" w:lineRule="exact" w:line="200"/>
              <w:jc w:val="center"/>
            </w:pPr>
            <w:r>
              <w:rPr>
                <w:rFonts w:ascii="Times New Roman" w:hAnsi="Times New Roman"/>
                <w:b w:val="0"/>
                <w:i w:val="0"/>
                <w:sz w:val="16"/>
                <w:u w:val="none"/>
              </w:rPr>
              <w:t>98,93</w:t>
            </w:r>
          </w:p>
        </w:tc>
        <w:tc>
          <w:tcPr>
            <w:tcW w:type="dxa" w:w="2021"/>
            <w:tcBorders>
              <w:bottom w:val="single" w:sz="8" w:space="0" w:color="000000"/>
            </w:tcBorders>
          </w:tcPr>
          <w:p>
            <w:pPr>
              <w:spacing w:before="20" w:after="20" w:lineRule="exact" w:line="200"/>
              <w:jc w:val="center"/>
            </w:pPr>
            <w:r>
              <w:rPr>
                <w:rFonts w:ascii="Times New Roman" w:hAnsi="Times New Roman"/>
                <w:b w:val="0"/>
                <w:i w:val="0"/>
                <w:sz w:val="16"/>
                <w:u w:val="none"/>
              </w:rPr>
              <w:t>98,93</w:t>
            </w:r>
          </w:p>
        </w:tc>
        <w:tc>
          <w:tcPr>
            <w:tcW w:type="dxa" w:w="2021"/>
            <w:tcBorders>
              <w:bottom w:val="single" w:sz="8" w:space="0" w:color="000000"/>
            </w:tcBorders>
          </w:tcPr>
          <w:p>
            <w:pPr>
              <w:spacing w:before="20" w:after="20" w:lineRule="exact" w:line="200"/>
              <w:jc w:val="center"/>
            </w:pPr>
            <w:r>
              <w:rPr>
                <w:rFonts w:ascii="Times New Roman" w:hAnsi="Times New Roman"/>
                <w:b w:val="0"/>
                <w:i w:val="0"/>
                <w:sz w:val="16"/>
                <w:u w:val="none"/>
              </w:rPr>
              <w:t>98,94</w:t>
            </w:r>
          </w:p>
        </w:tc>
      </w:tr>
    </w:tbl>
    <w:p>
      <w:pPr>
        <w:spacing w:before="120" w:after="40" w:lineRule="exact" w:line="240"/>
        <w:jc w:val="center"/>
      </w:pPr>
      <w:r>
        <w:drawing>
          <wp:inline xmlns:a="http://schemas.openxmlformats.org/drawingml/2006/main" xmlns:pic="http://schemas.openxmlformats.org/drawingml/2006/picture">
            <wp:extent cx="2988000" cy="1111727"/>
            <wp:docPr id="9" name="Picture 9"/>
            <wp:cNvGraphicFramePr>
              <a:graphicFrameLocks noChangeAspect="1"/>
            </wp:cNvGraphicFramePr>
            <a:graphic>
              <a:graphicData uri="http://schemas.openxmlformats.org/drawingml/2006/picture">
                <pic:pic>
                  <pic:nvPicPr>
                    <pic:cNvPr id="0" name="fig9_kfold_results.png"/>
                    <pic:cNvPicPr/>
                  </pic:nvPicPr>
                  <pic:blipFill>
                    <a:blip r:embed="rId17"/>
                    <a:stretch>
                      <a:fillRect/>
                    </a:stretch>
                  </pic:blipFill>
                  <pic:spPr>
                    <a:xfrm>
                      <a:off x="0" y="0"/>
                      <a:ext cx="2988000" cy="1111727"/>
                    </a:xfrm>
                    <a:prstGeom prst="rect"/>
                  </pic:spPr>
                </pic:pic>
              </a:graphicData>
            </a:graphic>
          </wp:inline>
        </w:drawing>
      </w:r>
    </w:p>
    <w:p>
      <w:pPr>
        <w:spacing w:before="0" w:after="120" w:lineRule="exact" w:line="200"/>
        <w:jc w:val="center"/>
      </w:pPr>
      <w:r>
        <w:rPr>
          <w:rFonts w:ascii="Times New Roman" w:hAnsi="Times New Roman"/>
          <w:b w:val="0"/>
          <w:i w:val="0"/>
          <w:sz w:val="16"/>
          <w:u w:val="none"/>
        </w:rPr>
        <w:t xml:space="preserve">Fig. 9. </w:t>
      </w:r>
      <w:r>
        <w:rPr>
          <w:rFonts w:ascii="Times New Roman" w:hAnsi="Times New Roman"/>
          <w:b w:val="0"/>
          <w:i w:val="0"/>
          <w:sz w:val="16"/>
          <w:u w:val="none"/>
        </w:rPr>
        <w:t>5-Fold çapraz doğrulama sonuçları – EfficientNetV2-S ve Swin Transformer modellerinin fold bazlı doğruluk ve F1 skor karşılaştırması.</w:t>
      </w:r>
    </w:p>
    <w:p>
      <w:pPr>
        <w:spacing w:before="120" w:after="40" w:lineRule="exact" w:line="240"/>
        <w:jc w:val="center"/>
      </w:pPr>
      <w:r>
        <w:drawing>
          <wp:inline xmlns:a="http://schemas.openxmlformats.org/drawingml/2006/main" xmlns:pic="http://schemas.openxmlformats.org/drawingml/2006/picture">
            <wp:extent cx="2988000" cy="741745"/>
            <wp:docPr id="10" name="Picture 10"/>
            <wp:cNvGraphicFramePr>
              <a:graphicFrameLocks noChangeAspect="1"/>
            </wp:cNvGraphicFramePr>
            <a:graphic>
              <a:graphicData uri="http://schemas.openxmlformats.org/drawingml/2006/picture">
                <pic:pic>
                  <pic:nvPicPr>
                    <pic:cNvPr id="0" name="fig10_kfold_boxplot.png"/>
                    <pic:cNvPicPr/>
                  </pic:nvPicPr>
                  <pic:blipFill>
                    <a:blip r:embed="rId18"/>
                    <a:stretch>
                      <a:fillRect/>
                    </a:stretch>
                  </pic:blipFill>
                  <pic:spPr>
                    <a:xfrm>
                      <a:off x="0" y="0"/>
                      <a:ext cx="2988000" cy="741745"/>
                    </a:xfrm>
                    <a:prstGeom prst="rect"/>
                  </pic:spPr>
                </pic:pic>
              </a:graphicData>
            </a:graphic>
          </wp:inline>
        </w:drawing>
      </w:r>
    </w:p>
    <w:p>
      <w:pPr>
        <w:spacing w:before="0" w:after="120" w:lineRule="exact" w:line="200"/>
        <w:jc w:val="center"/>
      </w:pPr>
      <w:r>
        <w:rPr>
          <w:rFonts w:ascii="Times New Roman" w:hAnsi="Times New Roman"/>
          <w:b w:val="0"/>
          <w:i w:val="0"/>
          <w:sz w:val="16"/>
          <w:u w:val="none"/>
        </w:rPr>
        <w:t xml:space="preserve">Fig. 10. </w:t>
      </w:r>
      <w:r>
        <w:rPr>
          <w:rFonts w:ascii="Times New Roman" w:hAnsi="Times New Roman"/>
          <w:b w:val="0"/>
          <w:i w:val="0"/>
          <w:sz w:val="16"/>
          <w:u w:val="none"/>
        </w:rPr>
        <w:t>5-Fold CV metrik dağılımları (Box Plot). EfficientNet ve Swin Transformer'ın kutu grafiği ile karşılaştırılması. Sarı elmas ortalama, turuncu çizgi medyan değerini göstermektedir.</w:t>
      </w:r>
    </w:p>
    <w:p>
      <w:pPr>
        <w:spacing w:before="0" w:after="0" w:lineRule="exact" w:line="240"/>
        <w:ind w:firstLine="288"/>
        <w:jc w:val="both"/>
      </w:pPr>
      <w:r>
        <w:rPr>
          <w:rFonts w:ascii="Times New Roman" w:hAnsi="Times New Roman"/>
          <w:b w:val="0"/>
          <w:i w:val="0"/>
          <w:sz w:val="20"/>
          <w:u w:val="none"/>
        </w:rPr>
        <w:t>Şekil 9 ve 10 birlikte değerlendirildiğinde: (1) Her iki model de tüm fold'larda %97,5'in üzerinde tutarlı performans göstermektedir. (2) Swin Transformer ortalama olarak küçük bir üstünlük sağlamaktadır. (3) EfficientNetV2-S daha düşük standart sapma ile daha kararlı sonuçlar üretmektedir. (4) Aykırı değer bulunmaması ciddi performans düşüşü yaşanmadığını göstermektedir.</w:t>
      </w:r>
    </w:p>
    <w:p>
      <w:pPr>
        <w:spacing w:before="120" w:after="80" w:lineRule="exact" w:line="240"/>
        <w:jc w:val="center"/>
      </w:pPr>
      <w:r>
        <w:rPr>
          <w:rFonts w:ascii="Times New Roman" w:hAnsi="Times New Roman"/>
          <w:b/>
          <w:i w:val="0"/>
          <w:smallCaps/>
          <w:sz w:val="20"/>
          <w:u w:val="none"/>
        </w:rPr>
        <w:t>VI. TARTIŞMA</w:t>
      </w:r>
    </w:p>
    <w:p>
      <w:pPr>
        <w:spacing w:before="0" w:after="40" w:lineRule="exact" w:line="240"/>
        <w:ind w:firstLine="288"/>
        <w:jc w:val="both"/>
      </w:pPr>
      <w:r>
        <w:rPr>
          <w:rFonts w:ascii="Times New Roman" w:hAnsi="Times New Roman"/>
          <w:b/>
          <w:i w:val="0"/>
          <w:sz w:val="20"/>
          <w:u w:val="none"/>
        </w:rPr>
        <w:t xml:space="preserve">Swin Transformer'ın üstünlüğü: </w:t>
      </w:r>
      <w:r>
        <w:rPr>
          <w:rFonts w:ascii="Times New Roman" w:hAnsi="Times New Roman"/>
          <w:b w:val="0"/>
          <w:i w:val="0"/>
          <w:sz w:val="20"/>
          <w:u w:val="none"/>
        </w:rPr>
        <w:t>Pencere tabanlı öz-dikkat mekanizması, hastalık belirtilerinin hem yerel (doku, renk) hem de küresel (vücut şekli, uzamsal düzenleme) bağlamda modellenmesine olanak tanımaktadır. Bu özellik, ince görsel farklılıkların kritik olduğu hastalık tespiti görevlerinde belirleyici avantaj sağlamaktadır.</w:t>
      </w:r>
    </w:p>
    <w:p>
      <w:pPr>
        <w:spacing w:before="0" w:after="40" w:lineRule="exact" w:line="240"/>
        <w:ind w:firstLine="288"/>
        <w:jc w:val="both"/>
      </w:pPr>
      <w:r>
        <w:rPr>
          <w:rFonts w:ascii="Times New Roman" w:hAnsi="Times New Roman"/>
          <w:b/>
          <w:i w:val="0"/>
          <w:sz w:val="20"/>
          <w:u w:val="none"/>
        </w:rPr>
        <w:t xml:space="preserve">Ensemble'ın sınırlı katkısı: </w:t>
      </w:r>
      <w:r>
        <w:rPr>
          <w:rFonts w:ascii="Times New Roman" w:hAnsi="Times New Roman"/>
          <w:b w:val="0"/>
          <w:i w:val="0"/>
          <w:sz w:val="20"/>
          <w:u w:val="none"/>
        </w:rPr>
        <w:t>Ensemble modelinin Swin Transformer'ı aşamaması, iki modelin benzer hata örüntüleri sergilediğine işaret etmektedir. Farklı mimari ailelerinden modellerin birleştirilmesi tipik olarak daha belirgin iyileşmeler sağlar; bu sonuç veri setine özgü sınırlılıklara da işaret etmektedir.</w:t>
      </w:r>
    </w:p>
    <w:p>
      <w:pPr>
        <w:spacing w:before="0" w:after="0" w:lineRule="exact" w:line="240"/>
        <w:ind w:firstLine="288"/>
        <w:jc w:val="both"/>
      </w:pPr>
      <w:r>
        <w:rPr>
          <w:rFonts w:ascii="Times New Roman" w:hAnsi="Times New Roman"/>
          <w:b/>
          <w:i w:val="0"/>
          <w:sz w:val="20"/>
          <w:u w:val="none"/>
        </w:rPr>
        <w:t xml:space="preserve">Hibrit yaklaşımın değeri: </w:t>
      </w:r>
      <w:r>
        <w:rPr>
          <w:rFonts w:ascii="Times New Roman" w:hAnsi="Times New Roman"/>
          <w:b w:val="0"/>
          <w:i w:val="0"/>
          <w:sz w:val="20"/>
          <w:u w:val="none"/>
        </w:rPr>
        <w:t>Hibrit CNN+Gradyan Artırma, uçtan uca modellerle rekabet edememesine karşın yorumlanabilirlik ve hesaplama verimliliği açısından avantaj sunan bir alternatif olarak değerlendirilebilir.</w:t>
      </w:r>
    </w:p>
    <w:p>
      <w:pPr>
        <w:spacing w:before="120" w:after="80" w:lineRule="exact" w:line="240"/>
        <w:jc w:val="center"/>
      </w:pPr>
      <w:r>
        <w:rPr>
          <w:rFonts w:ascii="Times New Roman" w:hAnsi="Times New Roman"/>
          <w:b/>
          <w:i w:val="0"/>
          <w:smallCaps/>
          <w:sz w:val="20"/>
          <w:u w:val="none"/>
        </w:rPr>
        <w:t>VII. SONUÇ</w:t>
      </w:r>
    </w:p>
    <w:p>
      <w:pPr>
        <w:spacing w:before="0" w:after="0" w:lineRule="exact" w:line="240"/>
        <w:ind w:firstLine="288"/>
        <w:jc w:val="both"/>
      </w:pPr>
      <w:r>
        <w:rPr>
          <w:rFonts w:ascii="Times New Roman" w:hAnsi="Times New Roman"/>
          <w:b w:val="0"/>
          <w:i w:val="0"/>
          <w:sz w:val="20"/>
          <w:u w:val="none"/>
        </w:rPr>
        <w:t>Bu çalışmada, bal arısı hastalıklarının otomatik tespiti için derin öğrenme tabanlı kapsamlı bir karşılaştırmalı analiz sunulmuştur. BeeImage veri setinde Swin Transformer ilk kez uygulanmış ve %98,74 doğruluk ile mevcut literatür rekorunu (%98,65) aşmıştır. EfficientNetV2-S + Swin Transformer ensemble modeli F1 skoru bakımından önceki en iyi çalışmaları geride bırakmıştır.</w:t>
      </w:r>
    </w:p>
    <w:p>
      <w:pPr>
        <w:spacing w:before="0" w:after="0" w:lineRule="exact" w:line="240"/>
        <w:ind w:firstLine="288"/>
        <w:jc w:val="both"/>
      </w:pPr>
      <w:r>
        <w:rPr>
          <w:rFonts w:ascii="Times New Roman" w:hAnsi="Times New Roman"/>
          <w:b w:val="0"/>
          <w:i w:val="0"/>
          <w:sz w:val="20"/>
          <w:u w:val="none"/>
        </w:rPr>
        <w:t>Temel bulgu olarak, Transformer tabanlı mimarilerin küçük ve dengesiz tarımsal görüntü veri setlerinde güçlü bir potansiyele sahip olduğu ortaya konmuştur. Gelecek çalışmalarda daha büyük veri setleri üzerinde doğrulama, gerçek zamanlı izleme sistemlerine entegrasyon ve aktif öğrenme yoluyla etiketleme maliyetinin azaltılması hedeflenmektedir.</w:t>
      </w:r>
    </w:p>
    <w:p>
      <w:pPr>
        <w:spacing w:before="120" w:after="60" w:lineRule="exact" w:line="240"/>
        <w:jc w:val="center"/>
      </w:pPr>
      <w:r>
        <w:rPr>
          <w:rFonts w:ascii="Times New Roman" w:hAnsi="Times New Roman"/>
          <w:b/>
          <w:i w:val="0"/>
          <w:smallCaps/>
          <w:sz w:val="20"/>
          <w:u w:val="none"/>
        </w:rPr>
        <w:t>KAYNAKLAR</w:t>
      </w:r>
    </w:p>
    <w:p>
      <w:pPr>
        <w:spacing w:before="0" w:after="20" w:lineRule="exact" w:line="200"/>
        <w:ind w:hanging="360" w:left="360"/>
        <w:jc w:val="both"/>
      </w:pPr>
      <w:r>
        <w:rPr>
          <w:rFonts w:ascii="Times New Roman" w:hAnsi="Times New Roman"/>
          <w:b w:val="0"/>
          <w:i w:val="0"/>
          <w:sz w:val="16"/>
          <w:u w:val="none"/>
        </w:rPr>
        <w:t>[1] H. Üzen, İ. Türkoğlu ve F. Ata, "Honey bee diseases and pests diagnosis system using deep learning," in Int. Conf. Intelligent Systems, 2019, pp. 47–52.</w:t>
      </w:r>
    </w:p>
    <w:p>
      <w:pPr>
        <w:spacing w:before="0" w:after="20" w:lineRule="exact" w:line="200"/>
        <w:ind w:hanging="360" w:left="360"/>
        <w:jc w:val="both"/>
      </w:pPr>
      <w:r>
        <w:rPr>
          <w:rFonts w:ascii="Times New Roman" w:hAnsi="Times New Roman"/>
          <w:b w:val="0"/>
          <w:i w:val="0"/>
          <w:sz w:val="16"/>
          <w:u w:val="none"/>
        </w:rPr>
        <w:t>[2] V. Margapuri, S. Namburu ve S. A. Karre, "Honey bee colony and varroa mite detection using deep neural networks," in IEEE EIT, 2020, pp. 548–553.</w:t>
      </w:r>
    </w:p>
    <w:p>
      <w:pPr>
        <w:spacing w:before="0" w:after="20" w:lineRule="exact" w:line="200"/>
        <w:ind w:hanging="360" w:left="360"/>
        <w:jc w:val="both"/>
      </w:pPr>
      <w:r>
        <w:rPr>
          <w:rFonts w:ascii="Times New Roman" w:hAnsi="Times New Roman"/>
          <w:b w:val="0"/>
          <w:i w:val="0"/>
          <w:sz w:val="16"/>
          <w:u w:val="none"/>
        </w:rPr>
        <w:t>[3] S. Metlek ve K. Kayaalp, "Classification of honey bee health conditions using deep learning," Computers and Electronics in Agriculture, vol. 188, p. 106338, 2021.</w:t>
      </w:r>
    </w:p>
    <w:p>
      <w:pPr>
        <w:spacing w:before="0" w:after="20" w:lineRule="exact" w:line="200"/>
        <w:ind w:hanging="360" w:left="360"/>
        <w:jc w:val="both"/>
      </w:pPr>
      <w:r>
        <w:rPr>
          <w:rFonts w:ascii="Times New Roman" w:hAnsi="Times New Roman"/>
          <w:b w:val="0"/>
          <w:i w:val="0"/>
          <w:sz w:val="16"/>
          <w:u w:val="none"/>
        </w:rPr>
        <w:t>[4] M. Chawane, S. Viriri ve M. Gwetu, "Bee disease identification using DenseNet-121," in ICAICV, 2022, pp. 212–221.</w:t>
      </w:r>
    </w:p>
    <w:p>
      <w:pPr>
        <w:spacing w:before="0" w:after="20" w:lineRule="exact" w:line="200"/>
        <w:ind w:hanging="360" w:left="360"/>
        <w:jc w:val="both"/>
      </w:pPr>
      <w:r>
        <w:rPr>
          <w:rFonts w:ascii="Times New Roman" w:hAnsi="Times New Roman"/>
          <w:b w:val="0"/>
          <w:i w:val="0"/>
          <w:sz w:val="16"/>
          <w:u w:val="none"/>
        </w:rPr>
        <w:t>[5] M. Karthiga, S. A. Mary ve J. Yogapriya, "Performance analysis of honey bee disease identification using deep learning," J. Physics: Conf. Series, vol. 1767, no. 1, p. 012017, 2021.</w:t>
      </w:r>
    </w:p>
    <w:p>
      <w:pPr>
        <w:spacing w:before="0" w:after="20" w:lineRule="exact" w:line="200"/>
        <w:ind w:hanging="360" w:left="360"/>
        <w:jc w:val="both"/>
      </w:pPr>
      <w:r>
        <w:rPr>
          <w:rFonts w:ascii="Times New Roman" w:hAnsi="Times New Roman"/>
          <w:b w:val="0"/>
          <w:i w:val="0"/>
          <w:sz w:val="16"/>
          <w:u w:val="none"/>
        </w:rPr>
        <w:t>[6] S. Kaplan Berkaya, E. Gunduz Demir ve S. Gunal, "A vision-based bee identification approach using VGG-19," Ecological Informatics, vol. 65, p. 101425, 2021.</w:t>
      </w:r>
    </w:p>
    <w:p>
      <w:pPr>
        <w:spacing w:before="0" w:after="20" w:lineRule="exact" w:line="200"/>
        <w:ind w:hanging="360" w:left="360"/>
        <w:jc w:val="both"/>
      </w:pPr>
      <w:r>
        <w:rPr>
          <w:rFonts w:ascii="Times New Roman" w:hAnsi="Times New Roman"/>
          <w:b w:val="0"/>
          <w:i w:val="0"/>
          <w:sz w:val="16"/>
          <w:u w:val="none"/>
        </w:rPr>
        <w:t>[7] X. Liang, "Automated bee disease detection using deep convolutional neural networks," Comp. Intel. Neuroscience, vol. 2022, p. 9415538, 2022.</w:t>
      </w:r>
    </w:p>
    <w:p>
      <w:pPr>
        <w:spacing w:before="0" w:after="20" w:lineRule="exact" w:line="200"/>
        <w:ind w:hanging="360" w:left="360"/>
        <w:jc w:val="both"/>
      </w:pPr>
      <w:r>
        <w:rPr>
          <w:rFonts w:ascii="Times New Roman" w:hAnsi="Times New Roman"/>
          <w:b w:val="0"/>
          <w:i w:val="0"/>
          <w:sz w:val="16"/>
          <w:u w:val="none"/>
        </w:rPr>
        <w:t>[8] H. Yoo, J. Kim ve S. Park, "BeeNet: A specialized deep learning framework for bee disease classification," Computers in Biology and Medicine, vol. 154, p. 106579, 2023.</w:t>
      </w:r>
    </w:p>
    <w:p>
      <w:pPr>
        <w:spacing w:before="0" w:after="20" w:lineRule="exact" w:line="200"/>
        <w:ind w:hanging="360" w:left="360"/>
        <w:jc w:val="both"/>
      </w:pPr>
      <w:r>
        <w:rPr>
          <w:rFonts w:ascii="Times New Roman" w:hAnsi="Times New Roman"/>
          <w:b w:val="0"/>
          <w:i w:val="0"/>
          <w:sz w:val="16"/>
          <w:u w:val="none"/>
        </w:rPr>
        <w:t>[9] V. Kılıç ve O. Yaman, "A color moments-based method for detection of honey bee diseases," Ecological Informatics, vol. 79, p. 102392, 2024.</w:t>
      </w:r>
    </w:p>
    <w:p>
      <w:pPr>
        <w:spacing w:before="0" w:after="20" w:lineRule="exact" w:line="200"/>
        <w:ind w:hanging="360" w:left="360"/>
        <w:jc w:val="both"/>
      </w:pPr>
      <w:r>
        <w:rPr>
          <w:rFonts w:ascii="Times New Roman" w:hAnsi="Times New Roman"/>
          <w:b w:val="0"/>
          <w:i w:val="0"/>
          <w:sz w:val="16"/>
          <w:u w:val="none"/>
        </w:rPr>
        <w:t>[10] J. Yang, "BeeImage Dataset: Annotated Honey Bee Images from Video Footage," Harvard Dataverse, V1, 2018.</w:t>
      </w:r>
    </w:p>
    <w:p>
      <w:pPr>
        <w:spacing w:before="0" w:after="20" w:lineRule="exact" w:line="200"/>
        <w:ind w:hanging="360" w:left="360"/>
        <w:jc w:val="both"/>
      </w:pPr>
      <w:r>
        <w:rPr>
          <w:rFonts w:ascii="Times New Roman" w:hAnsi="Times New Roman"/>
          <w:b w:val="0"/>
          <w:i w:val="0"/>
          <w:sz w:val="16"/>
          <w:u w:val="none"/>
        </w:rPr>
        <w:t>[11] M. Tan ve Q. V. Le, "EfficientNetV2: Smaller models and faster training," in ICML, 2021, pp. 10096–10106.</w:t>
      </w:r>
    </w:p>
    <w:p>
      <w:pPr>
        <w:spacing w:before="0" w:after="20" w:lineRule="exact" w:line="200"/>
        <w:ind w:hanging="360" w:left="360"/>
        <w:jc w:val="both"/>
      </w:pPr>
      <w:r>
        <w:rPr>
          <w:rFonts w:ascii="Times New Roman" w:hAnsi="Times New Roman"/>
          <w:b w:val="0"/>
          <w:i w:val="0"/>
          <w:sz w:val="16"/>
          <w:u w:val="none"/>
        </w:rPr>
        <w:t>[12] Z. Liu et al., "Swin Transformer: Hierarchical vision transformer using shifted windows," in ICCV, 2021, pp. 10012–10022.</w:t>
      </w:r>
    </w:p>
    <w:p>
      <w:pPr>
        <w:spacing w:before="0" w:after="20" w:lineRule="exact" w:line="200"/>
        <w:ind w:hanging="360" w:left="360"/>
        <w:jc w:val="both"/>
      </w:pPr>
      <w:r>
        <w:rPr>
          <w:rFonts w:ascii="Times New Roman" w:hAnsi="Times New Roman"/>
          <w:b w:val="0"/>
          <w:i w:val="0"/>
          <w:sz w:val="16"/>
          <w:u w:val="none"/>
        </w:rPr>
        <w:t>[13] R. R. Selvaraju et al., "Grad-CAM: Visual explanations from deep networks," in ICCV, 2017, pp. 618–626.</w:t>
      </w:r>
    </w:p>
    <w:sectPr w:rsidR="00FC693F" w:rsidRPr="0006063C" w:rsidSect="00034616">
      <w:pgSz w:w="11906" w:h="16838"/>
      <w:pgMar w:top="1083" w:right="901" w:bottom="1440" w:left="901" w:header="720" w:footer="720" w:gutter="0"/>
      <w:docGrid w:linePitch="360"/>
      <w:cols w:num="2" w:space="238"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