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32"/>
        </w:rPr>
        <w:t>Rüzgar Türbini Dişli Kutusu Kestirimci Bakım:</w:t>
        <w:br/>
        <w:t>Anomali Tespiti ve Kalan Kullanım Ömrü Tahmini için</w:t>
        <w:br/>
        <w:t>Kapsamlı Makine Öğrenmesi ve Derin Öğrenme Yaklaşımı</w:t>
      </w:r>
    </w:p>
    <w:p>
      <w:pPr>
        <w:spacing w:after="160"/>
        <w:jc w:val="center"/>
      </w:pPr>
      <w:r>
        <w:rPr>
          <w:rFonts w:ascii="Times New Roman" w:hAnsi="Times New Roman"/>
          <w:i/>
          <w:sz w:val="22"/>
        </w:rPr>
        <w:t>Wind Turbine Gearbox Predictive Maintenance: A Comprehensive</w:t>
        <w:br/>
        <w:t>Machine Learning and Deep Learning Approach for Anomaly</w:t>
        <w:br/>
        <w:t>Detection and Remaining Useful Life Prediction</w:t>
      </w:r>
    </w:p>
    <w:p>
      <w:pPr>
        <w:spacing w:after="40"/>
        <w:jc w:val="center"/>
      </w:pPr>
      <w:r>
        <w:rPr>
          <w:rFonts w:ascii="Times New Roman" w:hAnsi="Times New Roman"/>
          <w:b/>
          <w:sz w:val="22"/>
        </w:rPr>
        <w:t>Emir Seçer</w:t>
      </w:r>
    </w:p>
    <w:p>
      <w:pPr>
        <w:spacing w:after="200"/>
        <w:jc w:val="center"/>
      </w:pPr>
      <w:r>
        <w:rPr>
          <w:rFonts w:ascii="Times New Roman" w:hAnsi="Times New Roman"/>
          <w:i/>
          <w:sz w:val="18"/>
        </w:rPr>
        <w:t>Bilgisayar Mühendisliği Bölümü</w:t>
      </w:r>
    </w:p>
    <w:p>
      <w:pPr>
        <w:jc w:val="center"/>
      </w:pPr>
      <w:r>
        <w:rPr>
          <w:rFonts w:ascii="Times New Roman" w:hAnsi="Times New Roman"/>
          <w:b/>
          <w:i/>
          <w:sz w:val="20"/>
        </w:rPr>
        <w:t>Özet</w:t>
      </w:r>
    </w:p>
    <w:p>
      <w:pPr>
        <w:spacing w:after="80"/>
        <w:ind w:firstLine="283"/>
        <w:jc w:val="both"/>
      </w:pPr>
      <w:r>
        <w:rPr>
          <w:rFonts w:ascii="Times New Roman" w:hAnsi="Times New Roman"/>
          <w:i/>
          <w:sz w:val="18"/>
        </w:rPr>
        <w:t>Bu çalışma, rüzgar türbini dişli kutuları için beş yıllık SCADA (Merkezi Denetim Kontrol ve Veri Toplama) sensör verisi kullanarak kapsamlı bir kestirimci bakım çerçevesi sunmaktadır. Toplam 262.800 saatlik kayıt içeren veri seti üzerinde, klasik denetimli öğrenme (Random Forest, XGBoost, LightGBM, Lojistik Regresyon), denetimsiz anomali tespiti (Isolation Forest, One-Class SVM, Local Outlier Factor, Autoencoder), zaman serisi derin öğrenme mimarileri (LSTM, TCN, Transformer Encoder) ve hibrit topluluk yöntemleri (Stacking, Ağırlıklı Oylama) olmak üzere çoklu makine öğrenmesi paradigmaları entegre edilmiştir. Orijinal 7 sensör ölçümünden yuvarlanan istatistikler, gecikme özellikleri ve Fourier dönüşümleri aracılığıyla toplam 95 özellik mühendisliği gerçekleştirilmiştir. Denetimsiz yöntemler arasında One-Class SVM, 0,9999 ROC-AUC ve 0,9965 PR-AUC değerleri ile olağanüstü performans göstermiştir. Derin öğrenme modelleri arasında Temporal Konvolüsyonel Ağ (TCN), 0,445 F1-skoru ve 0,601 PR-AUC ile en dengeli performansı sergilemiştir. Çalışma, ikili anomali tespitinin ötesine geçerek Kalan Kullanım Ömrü (KKÖ) tahminine genişletilmiş olup, LSTM regresyon modeli 3,96 saatlik Ortalama Mutlak Hata ve 24, 48, 72 saatlik ufuklarda %100 erken uyarı doğruluğu elde etmiştir. SHAP ve LIME yoluyla yapılan açıklanabilirlik analizi, model kararlarına ilişkin yorumlanabilir içgörüler sağlamaktadır.</w:t>
      </w:r>
    </w:p>
    <w:p>
      <w:pPr>
        <w:spacing w:after="120"/>
      </w:pPr>
      <w:r>
        <w:rPr>
          <w:rFonts w:ascii="Times New Roman" w:hAnsi="Times New Roman"/>
          <w:b/>
          <w:i/>
          <w:sz w:val="18"/>
        </w:rPr>
        <w:t xml:space="preserve">Anahtar Kelimeler: </w:t>
      </w:r>
      <w:r>
        <w:rPr>
          <w:rFonts w:ascii="Times New Roman" w:hAnsi="Times New Roman"/>
          <w:i/>
          <w:sz w:val="18"/>
        </w:rPr>
        <w:t>Kestirimci bakım, rüzgar türbini, dişli kutusu, anomali tespiti, kalan kullanım ömrü, SCADA, derin öğrenme, LSTM, TCN, topluluk öğrenmesi, SHAP</w:t>
      </w:r>
    </w:p>
    <w:p>
      <w:pPr>
        <w:spacing w:before="80"/>
        <w:jc w:val="center"/>
      </w:pPr>
      <w:r>
        <w:rPr>
          <w:rFonts w:ascii="Times New Roman" w:hAnsi="Times New Roman"/>
          <w:b/>
          <w:i/>
          <w:sz w:val="20"/>
        </w:rPr>
        <w:t>Abstract</w:t>
      </w:r>
    </w:p>
    <w:p>
      <w:pPr>
        <w:spacing w:after="80"/>
        <w:ind w:firstLine="283"/>
        <w:jc w:val="both"/>
      </w:pPr>
      <w:r>
        <w:rPr>
          <w:rFonts w:ascii="Times New Roman" w:hAnsi="Times New Roman"/>
          <w:i/>
          <w:sz w:val="18"/>
        </w:rPr>
        <w:t>This study presents a comprehensive predictive maintenance framework for wind turbine gearboxes utilizing five years of SCADA sensor data comprising 262,800 hourly records. The proposed approach integrates classical supervised learning (Random Forest, XGBoost, LightGBM, Logistic Regression), unsupervised anomaly detection (Isolation Forest, One-Class SVM, LOF, Autoencoder), deep learning architectures (LSTM, TCN, Transformer Encoder), and hybrid ensemble methods. A total of 95 features were engineered from 7 original sensors. One-Class SVM reached 0.9999 ROC-AUC. TCN demonstrated the best balanced deep learning performance (F1: 0.445, PR-AUC: 0.601). LSTM-based RUL prediction achieved 3.96-hour MAE with 100% early warning accuracy at 24/48/72-hour horizons.</w:t>
      </w:r>
    </w:p>
    <w:p>
      <w:pPr>
        <w:spacing w:after="160"/>
      </w:pPr>
      <w:r>
        <w:rPr>
          <w:rFonts w:ascii="Times New Roman" w:hAnsi="Times New Roman"/>
          <w:b/>
          <w:i/>
          <w:sz w:val="18"/>
        </w:rPr>
        <w:t xml:space="preserve">Keywords: </w:t>
      </w:r>
      <w:r>
        <w:rPr>
          <w:rFonts w:ascii="Times New Roman" w:hAnsi="Times New Roman"/>
          <w:i/>
          <w:sz w:val="18"/>
        </w:rPr>
        <w:t>Predictive maintenance, wind turbine, gearbox, anomaly detection, remaining useful life, SCADA, deep learning, LSTM, TCN, ensemble learning, SHAP</w:t>
      </w:r>
    </w:p>
    <w:p>
      <w:pPr>
        <w:sectPr>
          <w:pgSz w:w="11906" w:h="16838"/>
          <w:pgMar w:top="1440" w:right="992" w:bottom="1440" w:left="992" w:header="720" w:footer="720" w:gutter="0"/>
          <w:cols w:space="720"/>
          <w:docGrid w:linePitch="360"/>
        </w:sectPr>
      </w:pPr>
    </w:p>
    <w:p>
      <w:pPr>
        <w:pStyle w:val="Heading1"/>
        <w:spacing w:before="160" w:after="80"/>
        <w:jc w:val="center"/>
      </w:pPr>
      <w:r>
        <w:rPr>
          <w:rFonts w:ascii="Times New Roman" w:hAnsi="Times New Roman"/>
          <w:color w:val="000000"/>
          <w:sz w:val="20"/>
        </w:rPr>
        <w:t>I. GİRİŞ</w:t>
      </w:r>
    </w:p>
    <w:p>
      <w:pPr>
        <w:spacing w:after="60" w:before="20" w:line="240" w:lineRule="auto"/>
        <w:ind w:firstLine="283"/>
        <w:jc w:val="both"/>
      </w:pPr>
      <w:r>
        <w:rPr>
          <w:rFonts w:ascii="Times New Roman" w:hAnsi="Times New Roman"/>
          <w:sz w:val="18"/>
        </w:rPr>
        <w:t>Rüzgar enerjisi, dünya genelinde en umut verici yenilenebilir enerji kaynaklarından biri olarak öne çıkmaktadır. Rüzgar türbinleri, değişken rüzgar hızları, sıcaklık dalgalanmaları ve mekanik stres gibi zorlu çevresel koşullar altında çalışmaktadır. Kritik bileşenler arasında dişli kutusu, rotorun düşük hızlı dönüşünü jeneratörün ihtiyaç duyduğu yüksek hızlı dönüşe çeviren birincil mekanik aktarım sistemi olarak görev yapmaktadır.</w:t>
      </w:r>
    </w:p>
    <w:p>
      <w:pPr>
        <w:spacing w:after="60" w:before="20" w:line="240" w:lineRule="auto"/>
        <w:ind w:firstLine="283"/>
        <w:jc w:val="both"/>
      </w:pPr>
      <w:r>
        <w:rPr>
          <w:rFonts w:ascii="Times New Roman" w:hAnsi="Times New Roman"/>
          <w:sz w:val="18"/>
        </w:rPr>
        <w:t>Dişli kutusu arızaları, rüzgar türbini duruş süresi ve bakım maliyetlerinin önemli bir bölümünü oluşturmaktadır. Sektör raporlarına göre, dişli kutusu kaynaklı arızalar yıllık enerji üretim kayıplarının %5-10'una ve olay başına 100.000-300.000 dolar onarım maliyetine yol açabilmektedir. Reaktif ve önleyici bakım stratejileri yetersiz kalmakta; gerçek zamanlı sensör verisi ve makine öğrenmesi algoritmaları kullanan kestirimci bakım üstün bir alternatif sunmaktadır.</w:t>
      </w:r>
    </w:p>
    <w:p>
      <w:pPr>
        <w:spacing w:after="60" w:before="20" w:line="240" w:lineRule="auto"/>
        <w:ind w:firstLine="283"/>
        <w:jc w:val="both"/>
      </w:pPr>
      <w:r>
        <w:rPr>
          <w:rFonts w:ascii="Times New Roman" w:hAnsi="Times New Roman"/>
          <w:sz w:val="18"/>
        </w:rPr>
        <w:t>SCADA (Merkezi Denetim Kontrol ve Veri Toplama) sistemleri, çeşitli sensörlerden sürekli operasyonel veri toplamaktadır. Bu sistemler dişli kutusu yağ sıcaklığı, yağ basıncı, çok eksenli titreşim ölçümleri, jeneratör devir sayısı ve aktif güç çıkışı gibi parametreleri kaydetmektedir.</w:t>
      </w:r>
    </w:p>
    <w:p>
      <w:pPr>
        <w:spacing w:after="60" w:before="20" w:line="240" w:lineRule="auto"/>
        <w:ind w:firstLine="283"/>
        <w:jc w:val="both"/>
      </w:pPr>
      <w:r>
        <w:rPr>
          <w:rFonts w:ascii="Times New Roman" w:hAnsi="Times New Roman"/>
          <w:sz w:val="18"/>
        </w:rPr>
        <w:t>Bu makale, çoklu makine öğrenmesi paradigmalarını entegre eden kapsamlı bir kestirimci bakım çerçevesi sunmaktadır. Çalışmanın temel katkıları: (1) 7 sensörden 95 özellik üreten sistematik özellik mühendisliği; (2) klasik MÖ, denetimsiz ve derin öğrenme yöntemlerinin karşılaştırmalı değerlendirmesi; (3) denetimli ve denetimsiz modelleri birleştiren hibrit topluluk yaklaşımları; (4) %100 erken uyarı doğruluğu ile KKÖ tahmini; ve (5) SHAP ve LIME ile model açıklanabilirliğidir.</w:t>
      </w:r>
    </w:p>
    <w:p>
      <w:pPr>
        <w:pStyle w:val="Heading1"/>
        <w:spacing w:before="160" w:after="80"/>
        <w:jc w:val="center"/>
      </w:pPr>
      <w:r>
        <w:rPr>
          <w:rFonts w:ascii="Times New Roman" w:hAnsi="Times New Roman"/>
          <w:color w:val="000000"/>
          <w:sz w:val="20"/>
        </w:rPr>
        <w:t>II. İLGİLİ ÇALIŞMALAR</w:t>
      </w:r>
    </w:p>
    <w:p>
      <w:pPr>
        <w:pStyle w:val="Heading2"/>
        <w:spacing w:before="160" w:after="80"/>
        <w:jc w:val="left"/>
      </w:pPr>
      <w:r>
        <w:rPr>
          <w:rFonts w:ascii="Times New Roman" w:hAnsi="Times New Roman"/>
          <w:color w:val="000000"/>
          <w:sz w:val="20"/>
        </w:rPr>
        <w:t>A. Geleneksel Yaklaşımlar</w:t>
      </w:r>
    </w:p>
    <w:p>
      <w:pPr>
        <w:spacing w:after="60" w:before="20" w:line="240" w:lineRule="auto"/>
        <w:ind w:firstLine="283"/>
        <w:jc w:val="both"/>
      </w:pPr>
      <w:r>
        <w:rPr>
          <w:rFonts w:ascii="Times New Roman" w:hAnsi="Times New Roman"/>
          <w:sz w:val="18"/>
        </w:rPr>
        <w:t>Rüzgar türbini arıza tespitine yönelik erken yaklaşımlar, öncelikle titreşim analizi ve sinyal işleme tekniklerine dayanmaktadır. Zaman alanı istatistiksel özellikleri (RMS, basıklık, tepe faktörü) ve Hızlı Fourier Dönüşümü (FFT) ile frekans alanı analizi, dişli kutusu bileşenlerine özgü karakteristik arıza frekanslarının belirlenmesini sağlamıştır.</w:t>
      </w:r>
    </w:p>
    <w:p>
      <w:pPr>
        <w:pStyle w:val="Heading2"/>
        <w:spacing w:before="160" w:after="80"/>
        <w:jc w:val="left"/>
      </w:pPr>
      <w:r>
        <w:rPr>
          <w:rFonts w:ascii="Times New Roman" w:hAnsi="Times New Roman"/>
          <w:color w:val="000000"/>
          <w:sz w:val="20"/>
        </w:rPr>
        <w:t>B. Makine Öğrenmesi Yöntemleri</w:t>
      </w:r>
    </w:p>
    <w:p>
      <w:pPr>
        <w:spacing w:after="60" w:before="20" w:line="240" w:lineRule="auto"/>
        <w:ind w:firstLine="283"/>
        <w:jc w:val="both"/>
      </w:pPr>
      <w:r>
        <w:rPr>
          <w:rFonts w:ascii="Times New Roman" w:hAnsi="Times New Roman"/>
          <w:sz w:val="18"/>
        </w:rPr>
        <w:t>Makine öğrenmesinin rüzgar türbini kestirimci bakımına uygulanması önemli ivme kazanmıştır. Random Forest ve gradyan artırma yöntemleri (XGBoost, LightGBM) arıza sınıflandırma görevlerinde güçlü performans sergilemiştir. Etiketli arıza verisinin kıt olduğu senaryolarda Isolation Forest ve One-Class SVM gibi denetimsiz yöntemler kullanılmıştır [1-3].</w:t>
      </w:r>
    </w:p>
    <w:p>
      <w:pPr>
        <w:pStyle w:val="Heading2"/>
        <w:spacing w:before="160" w:after="80"/>
        <w:jc w:val="left"/>
      </w:pPr>
      <w:r>
        <w:rPr>
          <w:rFonts w:ascii="Times New Roman" w:hAnsi="Times New Roman"/>
          <w:color w:val="000000"/>
          <w:sz w:val="20"/>
        </w:rPr>
        <w:t>C. Derin Öğrenme Yaklaşımları</w:t>
      </w:r>
    </w:p>
    <w:p>
      <w:pPr>
        <w:spacing w:after="60" w:before="20" w:line="240" w:lineRule="auto"/>
        <w:ind w:firstLine="283"/>
        <w:jc w:val="both"/>
      </w:pPr>
      <w:r>
        <w:rPr>
          <w:rFonts w:ascii="Times New Roman" w:hAnsi="Times New Roman"/>
          <w:sz w:val="18"/>
        </w:rPr>
        <w:t>LSTM ağları ve GRU birimleri sıralı sensör verilerinde uzun menzilli zamansal bağımlılıkları yakalamaktadır. Temporal Konvolüsyonel Ağlar (TCN), genişletilmiş nedensel konvolüsyonlar uygulayarak uzun dizileri verimli bir şekilde modellemektedir. Transformer tabanlı mimariler, çok başlı öz-dikkat mekanizmaları aracılığıyla zaman serisi uygulamalarında umut verici sonuçlar göstermiştir [9-11].</w:t>
      </w:r>
    </w:p>
    <w:p>
      <w:pPr>
        <w:pStyle w:val="Heading2"/>
        <w:spacing w:before="160" w:after="80"/>
        <w:jc w:val="left"/>
      </w:pPr>
      <w:r>
        <w:rPr>
          <w:rFonts w:ascii="Times New Roman" w:hAnsi="Times New Roman"/>
          <w:color w:val="000000"/>
          <w:sz w:val="20"/>
        </w:rPr>
        <w:t>D. Kalan Kullanım Ömrü Tahmini</w:t>
      </w:r>
    </w:p>
    <w:p>
      <w:pPr>
        <w:spacing w:after="60" w:before="20" w:line="240" w:lineRule="auto"/>
        <w:ind w:firstLine="283"/>
        <w:jc w:val="both"/>
      </w:pPr>
      <w:r>
        <w:rPr>
          <w:rFonts w:ascii="Times New Roman" w:hAnsi="Times New Roman"/>
          <w:sz w:val="18"/>
        </w:rPr>
        <w:t>KKÖ tahmini, bir bileşenin arızalanmasına kalan süreyi tahmin ederek anomali tespitini genişletmektedir. Weibull dağılımı tabanlı güvenilirlik analizi, istatistiksel bir çerçeve sağlamaktadır. LSTM ve GRU regresyon modelleri, turbofan motorları, rulmanlar ve piller dahil çeşitli endüstriyel uygulamalarda başarıyla uygulanmıştır [16-17].</w:t>
      </w:r>
    </w:p>
    <w:p>
      <w:pPr>
        <w:pStyle w:val="Heading1"/>
        <w:spacing w:before="160" w:after="80"/>
        <w:jc w:val="center"/>
      </w:pPr>
      <w:r>
        <w:rPr>
          <w:rFonts w:ascii="Times New Roman" w:hAnsi="Times New Roman"/>
          <w:color w:val="000000"/>
          <w:sz w:val="20"/>
        </w:rPr>
        <w:t>III. VERİ SETİ VE ÖZELLİK MÜHENDİSLİĞİ</w:t>
      </w:r>
    </w:p>
    <w:p>
      <w:pPr>
        <w:pStyle w:val="Heading2"/>
        <w:spacing w:before="160" w:after="80"/>
        <w:jc w:val="left"/>
      </w:pPr>
      <w:r>
        <w:rPr>
          <w:rFonts w:ascii="Times New Roman" w:hAnsi="Times New Roman"/>
          <w:color w:val="000000"/>
          <w:sz w:val="20"/>
        </w:rPr>
        <w:t>A. Veri Seti Tanımı</w:t>
      </w:r>
    </w:p>
    <w:p>
      <w:pPr>
        <w:spacing w:after="60" w:before="20" w:line="240" w:lineRule="auto"/>
        <w:ind w:firstLine="283"/>
        <w:jc w:val="both"/>
      </w:pPr>
      <w:r>
        <w:rPr>
          <w:rFonts w:ascii="Times New Roman" w:hAnsi="Times New Roman"/>
          <w:sz w:val="18"/>
        </w:rPr>
        <w:t>Bu çalışmada kullanılan veri seti Kaggle platformundan elde edilmiş olup, bir rüzgar türbini dişli kutusu sisteminden beş yıllık SCADA sensör verisi içermektedir. Veri seti, yedi sensör ölçümü ve ikili anomali etiketi ile 262.800 saatlik kayıt barındırmaktadır. Sınıf dağılımı ciddi dengesizlik sergilemekte olup %97,91 normal çalışma (257.300 örnek) ve %2,09 anomali olayı (5.500 örnek), 47:1 dengesizlik oranı oluşturmaktadır.</w:t>
      </w:r>
    </w:p>
    <w:p>
      <w:pPr>
        <w:spacing w:after="60" w:before="20" w:line="240" w:lineRule="auto"/>
        <w:ind w:firstLine="283"/>
        <w:jc w:val="both"/>
      </w:pPr>
      <w:r>
        <w:rPr>
          <w:rFonts w:ascii="Times New Roman" w:hAnsi="Times New Roman"/>
          <w:sz w:val="18"/>
        </w:rPr>
        <w:t>Yedi orijinal sensör özelliği şunlardır: dişli kutusu yağ sıcaklığı, yağ basıncı, X/Y/Z eksenlerinde titreşim ölçümleri, jeneratör devir sayısı ve aktif güç çıkışı.</w:t>
      </w:r>
    </w:p>
    <w:tbl>
      <w:tblPr>
        <w:tblStyle w:val="TableGrid"/>
        <w:tblW w:type="auto" w:w="0"/>
        <w:jc w:val="center"/>
        <w:tblLook w:firstColumn="1" w:firstRow="1" w:lastColumn="0" w:lastRow="0" w:noHBand="0" w:noVBand="1" w:val="04A0"/>
      </w:tblPr>
      <w:tblGrid>
        <w:gridCol w:w="4961"/>
        <w:gridCol w:w="4961"/>
      </w:tblGrid>
      <w:tr>
        <w:tc>
          <w:tcPr>
            <w:tcW w:type="dxa" w:w="4961"/>
            <w:shd w:fill="2E4057"/>
          </w:tcPr>
          <w:p>
            <w:pPr>
              <w:spacing w:before="20" w:after="20"/>
              <w:jc w:val="center"/>
            </w:pPr>
            <w:r/>
            <w:r>
              <w:rPr>
                <w:rFonts w:ascii="Times New Roman" w:hAnsi="Times New Roman"/>
                <w:b/>
                <w:color w:val="FFFFFF"/>
                <w:sz w:val="15"/>
              </w:rPr>
              <w:t>Parametre</w:t>
            </w:r>
          </w:p>
        </w:tc>
        <w:tc>
          <w:tcPr>
            <w:tcW w:type="dxa" w:w="4961"/>
            <w:shd w:fill="2E4057"/>
          </w:tcPr>
          <w:p>
            <w:pPr>
              <w:spacing w:before="20" w:after="20"/>
              <w:jc w:val="center"/>
            </w:pPr>
            <w:r/>
            <w:r>
              <w:rPr>
                <w:rFonts w:ascii="Times New Roman" w:hAnsi="Times New Roman"/>
                <w:b/>
                <w:color w:val="FFFFFF"/>
                <w:sz w:val="15"/>
              </w:rPr>
              <w:t>Değer</w:t>
            </w:r>
          </w:p>
        </w:tc>
      </w:tr>
      <w:tr>
        <w:tc>
          <w:tcPr>
            <w:tcW w:type="dxa" w:w="4961"/>
          </w:tcPr>
          <w:p>
            <w:pPr>
              <w:spacing w:before="20" w:after="20"/>
              <w:jc w:val="center"/>
            </w:pPr>
            <w:r/>
            <w:r>
              <w:rPr>
                <w:rFonts w:ascii="Times New Roman" w:hAnsi="Times New Roman"/>
                <w:sz w:val="15"/>
              </w:rPr>
              <w:t>Toplam Kayıt</w:t>
            </w:r>
          </w:p>
        </w:tc>
        <w:tc>
          <w:tcPr>
            <w:tcW w:type="dxa" w:w="4961"/>
          </w:tcPr>
          <w:p>
            <w:pPr>
              <w:spacing w:before="20" w:after="20"/>
              <w:jc w:val="center"/>
            </w:pPr>
            <w:r/>
            <w:r>
              <w:rPr>
                <w:rFonts w:ascii="Times New Roman" w:hAnsi="Times New Roman"/>
                <w:sz w:val="15"/>
              </w:rPr>
              <w:t>262.800 (saatlik)</w:t>
            </w:r>
          </w:p>
        </w:tc>
      </w:tr>
      <w:tr>
        <w:tc>
          <w:tcPr>
            <w:tcW w:type="dxa" w:w="4961"/>
            <w:shd w:fill="E8EEF2"/>
          </w:tcPr>
          <w:p>
            <w:pPr>
              <w:spacing w:before="20" w:after="20"/>
              <w:jc w:val="center"/>
            </w:pPr>
            <w:r/>
            <w:r>
              <w:rPr>
                <w:rFonts w:ascii="Times New Roman" w:hAnsi="Times New Roman"/>
                <w:sz w:val="15"/>
              </w:rPr>
              <w:t>Zaman Aralığı</w:t>
            </w:r>
          </w:p>
        </w:tc>
        <w:tc>
          <w:tcPr>
            <w:tcW w:type="dxa" w:w="4961"/>
            <w:shd w:fill="E8EEF2"/>
          </w:tcPr>
          <w:p>
            <w:pPr>
              <w:spacing w:before="20" w:after="20"/>
              <w:jc w:val="center"/>
            </w:pPr>
            <w:r/>
            <w:r>
              <w:rPr>
                <w:rFonts w:ascii="Times New Roman" w:hAnsi="Times New Roman"/>
                <w:sz w:val="15"/>
              </w:rPr>
              <w:t>5 yıl</w:t>
            </w:r>
          </w:p>
        </w:tc>
      </w:tr>
      <w:tr>
        <w:tc>
          <w:tcPr>
            <w:tcW w:type="dxa" w:w="4961"/>
          </w:tcPr>
          <w:p>
            <w:pPr>
              <w:spacing w:before="20" w:after="20"/>
              <w:jc w:val="center"/>
            </w:pPr>
            <w:r/>
            <w:r>
              <w:rPr>
                <w:rFonts w:ascii="Times New Roman" w:hAnsi="Times New Roman"/>
                <w:sz w:val="15"/>
              </w:rPr>
              <w:t>Orijinal Özellik</w:t>
            </w:r>
          </w:p>
        </w:tc>
        <w:tc>
          <w:tcPr>
            <w:tcW w:type="dxa" w:w="4961"/>
          </w:tcPr>
          <w:p>
            <w:pPr>
              <w:spacing w:before="20" w:after="20"/>
              <w:jc w:val="center"/>
            </w:pPr>
            <w:r/>
            <w:r>
              <w:rPr>
                <w:rFonts w:ascii="Times New Roman" w:hAnsi="Times New Roman"/>
                <w:sz w:val="15"/>
              </w:rPr>
              <w:t>7 sensör</w:t>
            </w:r>
          </w:p>
        </w:tc>
      </w:tr>
      <w:tr>
        <w:tc>
          <w:tcPr>
            <w:tcW w:type="dxa" w:w="4961"/>
            <w:shd w:fill="E8EEF2"/>
          </w:tcPr>
          <w:p>
            <w:pPr>
              <w:spacing w:before="20" w:after="20"/>
              <w:jc w:val="center"/>
            </w:pPr>
            <w:r/>
            <w:r>
              <w:rPr>
                <w:rFonts w:ascii="Times New Roman" w:hAnsi="Times New Roman"/>
                <w:sz w:val="15"/>
              </w:rPr>
              <w:t>Normal Örnek</w:t>
            </w:r>
          </w:p>
        </w:tc>
        <w:tc>
          <w:tcPr>
            <w:tcW w:type="dxa" w:w="4961"/>
            <w:shd w:fill="E8EEF2"/>
          </w:tcPr>
          <w:p>
            <w:pPr>
              <w:spacing w:before="20" w:after="20"/>
              <w:jc w:val="center"/>
            </w:pPr>
            <w:r/>
            <w:r>
              <w:rPr>
                <w:rFonts w:ascii="Times New Roman" w:hAnsi="Times New Roman"/>
                <w:sz w:val="15"/>
              </w:rPr>
              <w:t>257.300 (%97,91)</w:t>
            </w:r>
          </w:p>
        </w:tc>
      </w:tr>
      <w:tr>
        <w:tc>
          <w:tcPr>
            <w:tcW w:type="dxa" w:w="4961"/>
          </w:tcPr>
          <w:p>
            <w:pPr>
              <w:spacing w:before="20" w:after="20"/>
              <w:jc w:val="center"/>
            </w:pPr>
            <w:r/>
            <w:r>
              <w:rPr>
                <w:rFonts w:ascii="Times New Roman" w:hAnsi="Times New Roman"/>
                <w:sz w:val="15"/>
              </w:rPr>
              <w:t>Anomali Örnek</w:t>
            </w:r>
          </w:p>
        </w:tc>
        <w:tc>
          <w:tcPr>
            <w:tcW w:type="dxa" w:w="4961"/>
          </w:tcPr>
          <w:p>
            <w:pPr>
              <w:spacing w:before="20" w:after="20"/>
              <w:jc w:val="center"/>
            </w:pPr>
            <w:r/>
            <w:r>
              <w:rPr>
                <w:rFonts w:ascii="Times New Roman" w:hAnsi="Times New Roman"/>
                <w:sz w:val="15"/>
              </w:rPr>
              <w:t>5.500 (%2,09)</w:t>
            </w:r>
          </w:p>
        </w:tc>
      </w:tr>
      <w:tr>
        <w:tc>
          <w:tcPr>
            <w:tcW w:type="dxa" w:w="4961"/>
            <w:shd w:fill="E8EEF2"/>
          </w:tcPr>
          <w:p>
            <w:pPr>
              <w:spacing w:before="20" w:after="20"/>
              <w:jc w:val="center"/>
            </w:pPr>
            <w:r/>
            <w:r>
              <w:rPr>
                <w:rFonts w:ascii="Times New Roman" w:hAnsi="Times New Roman"/>
                <w:sz w:val="15"/>
              </w:rPr>
              <w:t>Dengesizlik Oranı</w:t>
            </w:r>
          </w:p>
        </w:tc>
        <w:tc>
          <w:tcPr>
            <w:tcW w:type="dxa" w:w="4961"/>
            <w:shd w:fill="E8EEF2"/>
          </w:tcPr>
          <w:p>
            <w:pPr>
              <w:spacing w:before="20" w:after="20"/>
              <w:jc w:val="center"/>
            </w:pPr>
            <w:r/>
            <w:r>
              <w:rPr>
                <w:rFonts w:ascii="Times New Roman" w:hAnsi="Times New Roman"/>
                <w:sz w:val="15"/>
              </w:rPr>
              <w:t>47:1</w:t>
            </w:r>
          </w:p>
        </w:tc>
      </w:tr>
      <w:tr>
        <w:tc>
          <w:tcPr>
            <w:tcW w:type="dxa" w:w="4961"/>
          </w:tcPr>
          <w:p>
            <w:pPr>
              <w:spacing w:before="20" w:after="20"/>
              <w:jc w:val="center"/>
            </w:pPr>
            <w:r/>
            <w:r>
              <w:rPr>
                <w:rFonts w:ascii="Times New Roman" w:hAnsi="Times New Roman"/>
                <w:sz w:val="15"/>
              </w:rPr>
              <w:t>Mühendislik Özellik</w:t>
            </w:r>
          </w:p>
        </w:tc>
        <w:tc>
          <w:tcPr>
            <w:tcW w:type="dxa" w:w="4961"/>
          </w:tcPr>
          <w:p>
            <w:pPr>
              <w:spacing w:before="20" w:after="20"/>
              <w:jc w:val="center"/>
            </w:pPr>
            <w:r/>
            <w:r>
              <w:rPr>
                <w:rFonts w:ascii="Times New Roman" w:hAnsi="Times New Roman"/>
                <w:sz w:val="15"/>
              </w:rPr>
              <w:t>95</w:t>
            </w:r>
          </w:p>
        </w:tc>
      </w:tr>
    </w:tbl>
    <w:p>
      <w:pPr>
        <w:spacing w:before="40" w:after="120"/>
        <w:jc w:val="center"/>
      </w:pPr>
      <w:r>
        <w:rPr>
          <w:rFonts w:ascii="Times New Roman" w:hAnsi="Times New Roman"/>
          <w:i/>
          <w:sz w:val="15"/>
        </w:rPr>
        <w:t>Tablo I: Veri Seti Genel Bilgileri</w:t>
      </w:r>
    </w:p>
    <w:p>
      <w:pPr>
        <w:pStyle w:val="Heading2"/>
        <w:spacing w:before="160" w:after="80"/>
        <w:jc w:val="left"/>
      </w:pPr>
      <w:r>
        <w:rPr>
          <w:rFonts w:ascii="Times New Roman" w:hAnsi="Times New Roman"/>
          <w:color w:val="000000"/>
          <w:sz w:val="20"/>
        </w:rPr>
        <w:t>B. Özellik Mühendisliği</w:t>
      </w:r>
    </w:p>
    <w:p>
      <w:pPr>
        <w:spacing w:after="60" w:before="20" w:line="240" w:lineRule="auto"/>
        <w:ind w:firstLine="283"/>
        <w:jc w:val="both"/>
      </w:pPr>
      <w:r>
        <w:rPr>
          <w:rFonts w:ascii="Times New Roman" w:hAnsi="Times New Roman"/>
          <w:sz w:val="18"/>
        </w:rPr>
        <w:t>Zamansal örüntüleri yakalamak için kapsamlı bir özellik mühendisliği hattı tasarlanmıştır. Orijinal yedi sensör ölçümünden üç kategori türetilmiş özellik hesaplanmıştır:</w:t>
      </w:r>
    </w:p>
    <w:p>
      <w:pPr>
        <w:spacing w:after="60" w:before="20" w:line="240" w:lineRule="auto"/>
        <w:ind w:firstLine="283"/>
        <w:jc w:val="both"/>
      </w:pPr>
      <w:r>
        <w:rPr>
          <w:rFonts w:ascii="Times New Roman" w:hAnsi="Times New Roman"/>
          <w:sz w:val="18"/>
        </w:rPr>
        <w:t>Yuvarlanan İstatistikler (42 özellik): Her sensör için 24, 48 ve 168 saatlik pencere boyutlarıyla yuvarlanan ortalama ve standart sapma hesaplanmıştır. Bu özellikler kısa ve uzun vadeli operasyonel eğilimleri yakalayarak modellerin kademeli bozulma örüntülerini tespit etmesini sağlamaktadır.</w:t>
      </w:r>
    </w:p>
    <w:p>
      <w:pPr>
        <w:spacing w:after="60" w:before="20" w:line="240" w:lineRule="auto"/>
        <w:ind w:firstLine="283"/>
        <w:jc w:val="both"/>
      </w:pPr>
      <w:r>
        <w:rPr>
          <w:rFonts w:ascii="Times New Roman" w:hAnsi="Times New Roman"/>
          <w:sz w:val="18"/>
        </w:rPr>
        <w:t>Gecikme Özellikleri (28 özellik): Her sensör için 1, 6, 12 ve 24 saatlik gecikme değerleri üretilmiştir. Fourier Özellikleri (18 özellik): Verideki periyodik örüntüleri yakalamak için sinüs ve kosinüs harmonik bileşenleri çıkarılmıştır.</w:t>
      </w:r>
    </w:p>
    <w:p>
      <w:pPr>
        <w:spacing w:after="60" w:before="20" w:line="240" w:lineRule="auto"/>
        <w:ind w:firstLine="283"/>
        <w:jc w:val="both"/>
      </w:pPr>
      <w:r>
        <w:rPr>
          <w:rFonts w:ascii="Times New Roman" w:hAnsi="Times New Roman"/>
          <w:sz w:val="18"/>
        </w:rPr>
        <w:t>Karşılıklı bilgi analizi, 168 saatlik yuvarlanan titreşim ortalamalarının en ayırt edici özellikler olduğunu ortaya koymuştur (vibration_y_roll_mean_168: MI skoru 0,0789).</w:t>
      </w:r>
    </w:p>
    <w:p>
      <w:pPr>
        <w:jc w:val="center"/>
      </w:pPr>
      <w:r>
        <w:drawing>
          <wp:inline xmlns:a="http://schemas.openxmlformats.org/drawingml/2006/main" xmlns:pic="http://schemas.openxmlformats.org/drawingml/2006/picture">
            <wp:extent cx="2971800" cy="2593954"/>
            <wp:docPr id="1" name="Picture 1"/>
            <wp:cNvGraphicFramePr>
              <a:graphicFrameLocks noChangeAspect="1"/>
            </wp:cNvGraphicFramePr>
            <a:graphic>
              <a:graphicData uri="http://schemas.openxmlformats.org/drawingml/2006/picture">
                <pic:pic>
                  <pic:nvPicPr>
                    <pic:cNvPr id="0" name="correlation_matrix.png"/>
                    <pic:cNvPicPr/>
                  </pic:nvPicPr>
                  <pic:blipFill>
                    <a:blip r:embed="rId9"/>
                    <a:stretch>
                      <a:fillRect/>
                    </a:stretch>
                  </pic:blipFill>
                  <pic:spPr>
                    <a:xfrm>
                      <a:off x="0" y="0"/>
                      <a:ext cx="2971800" cy="2593954"/>
                    </a:xfrm>
                    <a:prstGeom prst="rect"/>
                  </pic:spPr>
                </pic:pic>
              </a:graphicData>
            </a:graphic>
          </wp:inline>
        </w:drawing>
      </w:r>
    </w:p>
    <w:p>
      <w:pPr>
        <w:spacing w:before="20" w:after="120"/>
        <w:jc w:val="center"/>
      </w:pPr>
      <w:r>
        <w:rPr>
          <w:rFonts w:ascii="Times New Roman" w:hAnsi="Times New Roman"/>
          <w:i/>
          <w:sz w:val="15"/>
        </w:rPr>
        <w:t>Şekil 1: Mühendislik özelliklerin korelasyon matrisi</w:t>
      </w:r>
    </w:p>
    <w:p>
      <w:pPr>
        <w:jc w:val="center"/>
      </w:pPr>
      <w:r>
        <w:drawing>
          <wp:inline xmlns:a="http://schemas.openxmlformats.org/drawingml/2006/main" xmlns:pic="http://schemas.openxmlformats.org/drawingml/2006/picture">
            <wp:extent cx="2971800" cy="1955000"/>
            <wp:docPr id="2" name="Picture 2"/>
            <wp:cNvGraphicFramePr>
              <a:graphicFrameLocks noChangeAspect="1"/>
            </wp:cNvGraphicFramePr>
            <a:graphic>
              <a:graphicData uri="http://schemas.openxmlformats.org/drawingml/2006/picture">
                <pic:pic>
                  <pic:nvPicPr>
                    <pic:cNvPr id="0" name="feature_importance_mutual_info.png"/>
                    <pic:cNvPicPr/>
                  </pic:nvPicPr>
                  <pic:blipFill>
                    <a:blip r:embed="rId10"/>
                    <a:stretch>
                      <a:fillRect/>
                    </a:stretch>
                  </pic:blipFill>
                  <pic:spPr>
                    <a:xfrm>
                      <a:off x="0" y="0"/>
                      <a:ext cx="2971800" cy="1955000"/>
                    </a:xfrm>
                    <a:prstGeom prst="rect"/>
                  </pic:spPr>
                </pic:pic>
              </a:graphicData>
            </a:graphic>
          </wp:inline>
        </w:drawing>
      </w:r>
    </w:p>
    <w:p>
      <w:pPr>
        <w:spacing w:before="20" w:after="120"/>
        <w:jc w:val="center"/>
      </w:pPr>
      <w:r>
        <w:rPr>
          <w:rFonts w:ascii="Times New Roman" w:hAnsi="Times New Roman"/>
          <w:i/>
          <w:sz w:val="15"/>
        </w:rPr>
        <w:t>Şekil 2: Karşılıklı bilgi skorlarına göre özellik önem sıralaması</w:t>
      </w:r>
    </w:p>
    <w:p>
      <w:pPr>
        <w:jc w:val="center"/>
      </w:pPr>
      <w:r>
        <w:drawing>
          <wp:inline xmlns:a="http://schemas.openxmlformats.org/drawingml/2006/main" xmlns:pic="http://schemas.openxmlformats.org/drawingml/2006/picture">
            <wp:extent cx="2971800" cy="1468965"/>
            <wp:docPr id="3" name="Picture 3"/>
            <wp:cNvGraphicFramePr>
              <a:graphicFrameLocks noChangeAspect="1"/>
            </wp:cNvGraphicFramePr>
            <a:graphic>
              <a:graphicData uri="http://schemas.openxmlformats.org/drawingml/2006/picture">
                <pic:pic>
                  <pic:nvPicPr>
                    <pic:cNvPr id="0" name="anomaly_timeline.png"/>
                    <pic:cNvPicPr/>
                  </pic:nvPicPr>
                  <pic:blipFill>
                    <a:blip r:embed="rId11"/>
                    <a:stretch>
                      <a:fillRect/>
                    </a:stretch>
                  </pic:blipFill>
                  <pic:spPr>
                    <a:xfrm>
                      <a:off x="0" y="0"/>
                      <a:ext cx="2971800" cy="1468965"/>
                    </a:xfrm>
                    <a:prstGeom prst="rect"/>
                  </pic:spPr>
                </pic:pic>
              </a:graphicData>
            </a:graphic>
          </wp:inline>
        </w:drawing>
      </w:r>
    </w:p>
    <w:p>
      <w:pPr>
        <w:spacing w:before="20" w:after="120"/>
        <w:jc w:val="center"/>
      </w:pPr>
      <w:r>
        <w:rPr>
          <w:rFonts w:ascii="Times New Roman" w:hAnsi="Times New Roman"/>
          <w:i/>
          <w:sz w:val="15"/>
        </w:rPr>
        <w:t>Şekil 3: 5 yıllık dönemde anomali olaylarının zamansal dağılımı</w:t>
      </w:r>
    </w:p>
    <w:p>
      <w:pPr>
        <w:pStyle w:val="Heading1"/>
        <w:spacing w:before="160" w:after="80"/>
        <w:jc w:val="center"/>
      </w:pPr>
      <w:r>
        <w:rPr>
          <w:rFonts w:ascii="Times New Roman" w:hAnsi="Times New Roman"/>
          <w:color w:val="000000"/>
          <w:sz w:val="20"/>
        </w:rPr>
        <w:t>IV. YÖNTEM</w:t>
      </w:r>
    </w:p>
    <w:p>
      <w:pPr>
        <w:pStyle w:val="Heading2"/>
        <w:spacing w:before="160" w:after="80"/>
        <w:jc w:val="left"/>
      </w:pPr>
      <w:r>
        <w:rPr>
          <w:rFonts w:ascii="Times New Roman" w:hAnsi="Times New Roman"/>
          <w:color w:val="000000"/>
          <w:sz w:val="20"/>
        </w:rPr>
        <w:t>A. Veri Ön İşleme</w:t>
      </w:r>
    </w:p>
    <w:p>
      <w:pPr>
        <w:spacing w:after="60" w:before="20" w:line="240" w:lineRule="auto"/>
        <w:ind w:firstLine="283"/>
        <w:jc w:val="both"/>
      </w:pPr>
      <w:r>
        <w:rPr>
          <w:rFonts w:ascii="Times New Roman" w:hAnsi="Times New Roman"/>
          <w:sz w:val="18"/>
        </w:rPr>
        <w:t>Zamansal eğitim-test bölümlemesi %80-20 oranıyla, gözlemlerin kronolojik sırası korunarak (shuffle=False) uygulanmıştır. Bu yaklaşım gelecekteki gözlemlerden veri sızıntısını önlemektedir. SMOTE (Sentetik Azınlık Aşırı Örnekleme Tekniği) yalnızca eğitim setine k_neighbors=5 ile uygulanmıştır.</w:t>
      </w:r>
    </w:p>
    <w:p>
      <w:pPr>
        <w:pStyle w:val="Heading2"/>
        <w:spacing w:before="160" w:after="80"/>
        <w:jc w:val="left"/>
      </w:pPr>
      <w:r>
        <w:rPr>
          <w:rFonts w:ascii="Times New Roman" w:hAnsi="Times New Roman"/>
          <w:color w:val="000000"/>
          <w:sz w:val="20"/>
        </w:rPr>
        <w:t>B. Klasik Makine Öğrenmesi Modelleri</w:t>
      </w:r>
    </w:p>
    <w:p>
      <w:pPr>
        <w:spacing w:after="60" w:before="20" w:line="240" w:lineRule="auto"/>
        <w:ind w:firstLine="283"/>
        <w:jc w:val="both"/>
      </w:pPr>
      <w:r>
        <w:rPr>
          <w:rFonts w:ascii="Times New Roman" w:hAnsi="Times New Roman"/>
          <w:sz w:val="18"/>
        </w:rPr>
        <w:t>Dört klasik denetimli öğrenme algoritması değerlendirilmiştir: (1) Random Forest (n_estimators=100, class_weight='balanced'), (2) XGBoost (n_estimators=200, scale_pos_weight), (3) LightGBM (n_estimators=200, class_weight='balanced'), ve (4) Lojistik Regresyon (class_weight='balanced', StandardScaler). Her model için F1 skorunu maksimize eden eşik optimizasyonu gerçekleştirilmiştir.</w:t>
      </w:r>
    </w:p>
    <w:p>
      <w:pPr>
        <w:pStyle w:val="Heading2"/>
        <w:spacing w:before="160" w:after="80"/>
        <w:jc w:val="left"/>
      </w:pPr>
      <w:r>
        <w:rPr>
          <w:rFonts w:ascii="Times New Roman" w:hAnsi="Times New Roman"/>
          <w:color w:val="000000"/>
          <w:sz w:val="20"/>
        </w:rPr>
        <w:t>C. Denetimsiz Anomali Tespiti</w:t>
      </w:r>
    </w:p>
    <w:p>
      <w:pPr>
        <w:spacing w:after="60" w:before="20" w:line="240" w:lineRule="auto"/>
        <w:ind w:firstLine="283"/>
        <w:jc w:val="both"/>
      </w:pPr>
      <w:r>
        <w:rPr>
          <w:rFonts w:ascii="Times New Roman" w:hAnsi="Times New Roman"/>
          <w:sz w:val="18"/>
        </w:rPr>
        <w:t>Dört denetimsiz anomali tespit yöntemi yalnızca normal çalışma verileri üzerinde eğitilmiştir: (1) Isolation Forest, (2) RBF çekirdekli One-Class SVM, (3) k=20 komşulu Local Outlier Factor (LOF) ve (4) Autoencoder sinir ağı. Her yöntem normal operasyonel örüntüleri öğrenerek yüksek sapmaları anomali olarak işaretlemektedir.</w:t>
      </w:r>
    </w:p>
    <w:p>
      <w:pPr>
        <w:pStyle w:val="Heading2"/>
        <w:spacing w:before="160" w:after="80"/>
        <w:jc w:val="left"/>
      </w:pPr>
      <w:r>
        <w:rPr>
          <w:rFonts w:ascii="Times New Roman" w:hAnsi="Times New Roman"/>
          <w:color w:val="000000"/>
          <w:sz w:val="20"/>
        </w:rPr>
        <w:t>D. Derin Öğrenme Zaman Serisi Modelleri</w:t>
      </w:r>
    </w:p>
    <w:p>
      <w:pPr>
        <w:spacing w:after="60" w:before="20" w:line="240" w:lineRule="auto"/>
        <w:ind w:firstLine="283"/>
        <w:jc w:val="both"/>
      </w:pPr>
      <w:r>
        <w:rPr>
          <w:rFonts w:ascii="Times New Roman" w:hAnsi="Times New Roman"/>
          <w:sz w:val="18"/>
        </w:rPr>
        <w:t>48 zaman adımlık (2 günlük saatlik veri) kayan pencereler kullanılarak üç derin öğrenme mimarisi tasarlanmıştır:</w:t>
      </w:r>
    </w:p>
    <w:p>
      <w:pPr>
        <w:spacing w:after="60" w:before="20" w:line="240" w:lineRule="auto"/>
        <w:ind w:firstLine="283"/>
        <w:jc w:val="both"/>
      </w:pPr>
      <w:r>
        <w:rPr>
          <w:rFonts w:ascii="Times New Roman" w:hAnsi="Times New Roman"/>
          <w:sz w:val="18"/>
        </w:rPr>
        <w:t>LSTM Mimarisi: İki yığılmış LSTM katmanı (128 ve 64 birim, dropout=0,3), ardından yoğun katmanlar (64 ve 32 birim) ile toplu normalizasyon ve sigmoid çıkıştan oluşmaktadır. Toplam parametre sayısı yaklaşık 200K'dır.</w:t>
      </w:r>
    </w:p>
    <w:p>
      <w:pPr>
        <w:spacing w:after="60" w:before="20" w:line="240" w:lineRule="auto"/>
        <w:ind w:firstLine="283"/>
        <w:jc w:val="both"/>
      </w:pPr>
      <w:r>
        <w:rPr>
          <w:rFonts w:ascii="Times New Roman" w:hAnsi="Times New Roman"/>
          <w:sz w:val="18"/>
        </w:rPr>
        <w:t>TCN Mimarisi: 64 filtreli, çekirdek boyutu 3 ve üstel artan genişleme oranlarına (1, 2, 4, 8) sahip dört artık bloktan oluşmaktadır. Etkin alıcı alanı 48 zaman adımıdır. Global ortalama havuzlama ardından yoğun katmanlar nihai tahmin üretir.</w:t>
      </w:r>
    </w:p>
    <w:p>
      <w:pPr>
        <w:spacing w:after="60" w:before="20" w:line="240" w:lineRule="auto"/>
        <w:ind w:firstLine="283"/>
        <w:jc w:val="both"/>
      </w:pPr>
      <w:r>
        <w:rPr>
          <w:rFonts w:ascii="Times New Roman" w:hAnsi="Times New Roman"/>
          <w:sz w:val="18"/>
        </w:rPr>
        <w:t>Transformer Kodlayıcı Mimarisi: Giriş özellikleri d_model=64 boyutuna yansıtılarak sinüzoidal konumsal kodlama eklenmektedir. 4 dikkat başlığı ve 128 ileri beslemeli boyuta sahip iki Transformer bloğu diziyi işler.</w:t>
      </w:r>
    </w:p>
    <w:p>
      <w:pPr>
        <w:spacing w:after="60" w:before="20" w:line="240" w:lineRule="auto"/>
        <w:ind w:firstLine="283"/>
        <w:jc w:val="both"/>
      </w:pPr>
      <w:r>
        <w:rPr>
          <w:rFonts w:ascii="Times New Roman" w:hAnsi="Times New Roman"/>
          <w:sz w:val="18"/>
        </w:rPr>
        <w:t>Tüm modeller Adam optimizörü (lr=1e-3), sınıf ağırlıklı ikili çapraz entropi kaybı, 256 yığın boyutu, erken durdurma (patience=10) ve plato üzerinde öğrenme oranı azaltma (factor=0,5, patience=5) ile maksimum 50 epoch eğitilmiştir.</w:t>
      </w:r>
    </w:p>
    <w:p>
      <w:pPr>
        <w:pStyle w:val="Heading2"/>
        <w:spacing w:before="160" w:after="80"/>
        <w:jc w:val="left"/>
      </w:pPr>
      <w:r>
        <w:rPr>
          <w:rFonts w:ascii="Times New Roman" w:hAnsi="Times New Roman"/>
          <w:color w:val="000000"/>
          <w:sz w:val="20"/>
        </w:rPr>
        <w:t>E. Hibrit Topluluk Yöntemleri</w:t>
      </w:r>
    </w:p>
    <w:p>
      <w:pPr>
        <w:spacing w:after="60" w:before="20" w:line="240" w:lineRule="auto"/>
        <w:ind w:firstLine="283"/>
        <w:jc w:val="both"/>
      </w:pPr>
      <w:r>
        <w:rPr>
          <w:rFonts w:ascii="Times New Roman" w:hAnsi="Times New Roman"/>
          <w:sz w:val="18"/>
        </w:rPr>
        <w:t>Üç topluluk stratejisi uygulanmıştır: (1) TimeSeriesSplit (5 katlama) ile Stacking Topluluk; RF, XGBoost ve LightGBM tahminlerinden çıkan kat-dışı meta özelliklerle Lojistik Regresyon meta-öğrenicisi, (2) Düzgün ve AUC-ağırlıklı Yumuşak Oylama, (3) ML model olasılıklarını IF ve AE anomali skorlarıyla birleştiren Denetimsiz-Denetimli Hibrit yaklaşım.</w:t>
      </w:r>
    </w:p>
    <w:p>
      <w:pPr>
        <w:pStyle w:val="Heading2"/>
        <w:spacing w:before="160" w:after="80"/>
        <w:jc w:val="left"/>
      </w:pPr>
      <w:r>
        <w:rPr>
          <w:rFonts w:ascii="Times New Roman" w:hAnsi="Times New Roman"/>
          <w:color w:val="000000"/>
          <w:sz w:val="20"/>
        </w:rPr>
        <w:t>F. Açıklanabilirlik Analizi</w:t>
      </w:r>
    </w:p>
    <w:p>
      <w:pPr>
        <w:spacing w:after="60" w:before="20" w:line="240" w:lineRule="auto"/>
        <w:ind w:firstLine="283"/>
        <w:jc w:val="both"/>
      </w:pPr>
      <w:r>
        <w:rPr>
          <w:rFonts w:ascii="Times New Roman" w:hAnsi="Times New Roman"/>
          <w:sz w:val="18"/>
        </w:rPr>
        <w:t>SHAP (SHapley Additive exPlanations), TreeExplainer ile topluluk modellerine küresel özellik önemi analizi ve aylık toplulaştırma yoluyla zamansal örüntü belirleme amacıyla uygulanmıştır. LIME (Local Interpretable Model-agnostic Explanations) bireysel tahminler için yerel açıklamalar sağlamıştır.</w:t>
      </w:r>
    </w:p>
    <w:p>
      <w:pPr>
        <w:pStyle w:val="Heading2"/>
        <w:spacing w:before="160" w:after="80"/>
        <w:jc w:val="left"/>
      </w:pPr>
      <w:r>
        <w:rPr>
          <w:rFonts w:ascii="Times New Roman" w:hAnsi="Times New Roman"/>
          <w:color w:val="000000"/>
          <w:sz w:val="20"/>
        </w:rPr>
        <w:t>G. Kalan Kullanım Ömrü Tahmini</w:t>
      </w:r>
    </w:p>
    <w:p>
      <w:pPr>
        <w:spacing w:after="60" w:before="20" w:line="240" w:lineRule="auto"/>
        <w:ind w:firstLine="283"/>
        <w:jc w:val="both"/>
      </w:pPr>
      <w:r>
        <w:rPr>
          <w:rFonts w:ascii="Times New Roman" w:hAnsi="Times New Roman"/>
          <w:sz w:val="18"/>
        </w:rPr>
        <w:t>KKÖ tahmini, hedef değişkenin bir anomali olayından önce kalan saat sayısını temsil ettiği bir regresyon görevi olarak formüle edilmiştir. KKÖ, anomali başlangıcından geriye doğru geri sayım ile hesaplanmıştır; maksimum ufuk 168 saat (1 hafta) olarak belirlenmiştir.</w:t>
      </w:r>
    </w:p>
    <w:p>
      <w:pPr>
        <w:spacing w:after="60" w:before="20" w:line="240" w:lineRule="auto"/>
        <w:ind w:firstLine="283"/>
        <w:jc w:val="both"/>
      </w:pPr>
      <w:r>
        <w:rPr>
          <w:rFonts w:ascii="Times New Roman" w:hAnsi="Times New Roman"/>
          <w:sz w:val="18"/>
        </w:rPr>
        <w:t>Weibull dağılımı uyumu, Ortalama Arızaya Kadar Süre (MTTF) dahil istatistiksel güvenilirlik metrikleri sağlamıştır. 48 zaman adımlık kayan pencere ve Huber kayıp fonksiyonlu LSTM ve GRU regresyon modelleri eğitilmiştir. Modeller [0,1] aralığında normalize edilmiş KKÖ değerleri üretip saatlere ölçeklendirmektedir.</w:t>
      </w:r>
    </w:p>
    <w:p>
      <w:pPr>
        <w:spacing w:after="60" w:before="20" w:line="240" w:lineRule="auto"/>
        <w:ind w:firstLine="283"/>
        <w:jc w:val="both"/>
      </w:pPr>
      <w:r>
        <w:rPr>
          <w:rFonts w:ascii="Times New Roman" w:hAnsi="Times New Roman"/>
          <w:sz w:val="18"/>
        </w:rPr>
        <w:t>Üç uyarı ufkunda erken uyarı sistemi geliştirilmiştir: 24 saat (kritik), 48 saat (uyarı) ve 72 saat (izleme). Sistem, tahmin edilen KKÖ her eşiğin altına düştüğünde alarmları etkinleştirerek kademeli bakım tepkisi sağlamaktadır.</w:t>
      </w:r>
    </w:p>
    <w:p>
      <w:pPr>
        <w:pStyle w:val="Heading1"/>
        <w:spacing w:before="160" w:after="80"/>
        <w:jc w:val="center"/>
      </w:pPr>
      <w:r>
        <w:rPr>
          <w:rFonts w:ascii="Times New Roman" w:hAnsi="Times New Roman"/>
          <w:color w:val="000000"/>
          <w:sz w:val="20"/>
        </w:rPr>
        <w:t>V. DENEYSEL SONUÇLAR</w:t>
      </w:r>
    </w:p>
    <w:p>
      <w:pPr>
        <w:pStyle w:val="Heading2"/>
        <w:spacing w:before="160" w:after="80"/>
        <w:jc w:val="left"/>
      </w:pPr>
      <w:r>
        <w:rPr>
          <w:rFonts w:ascii="Times New Roman" w:hAnsi="Times New Roman"/>
          <w:color w:val="000000"/>
          <w:sz w:val="20"/>
        </w:rPr>
        <w:t>A. Klasik Makine Öğrenmesi Sonuçları</w:t>
      </w:r>
    </w:p>
    <w:p>
      <w:pPr>
        <w:spacing w:after="60" w:before="20" w:line="240" w:lineRule="auto"/>
        <w:ind w:firstLine="283"/>
        <w:jc w:val="both"/>
      </w:pPr>
      <w:r>
        <w:rPr>
          <w:rFonts w:ascii="Times New Roman" w:hAnsi="Times New Roman"/>
          <w:sz w:val="18"/>
        </w:rPr>
        <w:t>Tablo II, eşik optimizasyonu sonrası klasik makine öğrenmesi modellerinin performans metriklerini sunmaktadır. Random Forest, 0,18 optimize edilmiş eşik ile en yüksek F1 skorunu (0,545) elde ederek güçlü kesinlik (0,999) fakat orta düzey duyarlılık (0,375) göstermiştir. XGBoost klasik yöntemler arasında en yüksek ROC-AUC'ye (0,823) ulaşmıştır.</w:t>
      </w:r>
    </w:p>
    <w:tbl>
      <w:tblPr>
        <w:tblStyle w:val="TableGrid"/>
        <w:tblW w:type="auto" w:w="0"/>
        <w:jc w:val="center"/>
        <w:tblLook w:firstColumn="1" w:firstRow="1" w:lastColumn="0" w:lastRow="0" w:noHBand="0" w:noVBand="1" w:val="04A0"/>
      </w:tblPr>
      <w:tblGrid>
        <w:gridCol w:w="1417"/>
        <w:gridCol w:w="1417"/>
        <w:gridCol w:w="1417"/>
        <w:gridCol w:w="1417"/>
        <w:gridCol w:w="1417"/>
        <w:gridCol w:w="1417"/>
        <w:gridCol w:w="1417"/>
      </w:tblGrid>
      <w:tr>
        <w:tc>
          <w:tcPr>
            <w:tcW w:type="dxa" w:w="1417"/>
            <w:shd w:fill="2E4057"/>
          </w:tcPr>
          <w:p>
            <w:pPr>
              <w:spacing w:before="20" w:after="20"/>
              <w:jc w:val="center"/>
            </w:pPr>
            <w:r/>
            <w:r>
              <w:rPr>
                <w:rFonts w:ascii="Times New Roman" w:hAnsi="Times New Roman"/>
                <w:b/>
                <w:color w:val="FFFFFF"/>
                <w:sz w:val="14"/>
              </w:rPr>
              <w:t>Model</w:t>
            </w:r>
          </w:p>
        </w:tc>
        <w:tc>
          <w:tcPr>
            <w:tcW w:type="dxa" w:w="1417"/>
            <w:shd w:fill="2E4057"/>
          </w:tcPr>
          <w:p>
            <w:pPr>
              <w:spacing w:before="20" w:after="20"/>
              <w:jc w:val="center"/>
            </w:pPr>
            <w:r/>
            <w:r>
              <w:rPr>
                <w:rFonts w:ascii="Times New Roman" w:hAnsi="Times New Roman"/>
                <w:b/>
                <w:color w:val="FFFFFF"/>
                <w:sz w:val="14"/>
              </w:rPr>
              <w:t>Eşik</w:t>
            </w:r>
          </w:p>
        </w:tc>
        <w:tc>
          <w:tcPr>
            <w:tcW w:type="dxa" w:w="1417"/>
            <w:shd w:fill="2E4057"/>
          </w:tcPr>
          <w:p>
            <w:pPr>
              <w:spacing w:before="20" w:after="20"/>
              <w:jc w:val="center"/>
            </w:pPr>
            <w:r/>
            <w:r>
              <w:rPr>
                <w:rFonts w:ascii="Times New Roman" w:hAnsi="Times New Roman"/>
                <w:b/>
                <w:color w:val="FFFFFF"/>
                <w:sz w:val="14"/>
              </w:rPr>
              <w:t>Kesinlik</w:t>
            </w:r>
          </w:p>
        </w:tc>
        <w:tc>
          <w:tcPr>
            <w:tcW w:type="dxa" w:w="1417"/>
            <w:shd w:fill="2E4057"/>
          </w:tcPr>
          <w:p>
            <w:pPr>
              <w:spacing w:before="20" w:after="20"/>
              <w:jc w:val="center"/>
            </w:pPr>
            <w:r/>
            <w:r>
              <w:rPr>
                <w:rFonts w:ascii="Times New Roman" w:hAnsi="Times New Roman"/>
                <w:b/>
                <w:color w:val="FFFFFF"/>
                <w:sz w:val="14"/>
              </w:rPr>
              <w:t>Duyarl.</w:t>
            </w:r>
          </w:p>
        </w:tc>
        <w:tc>
          <w:tcPr>
            <w:tcW w:type="dxa" w:w="1417"/>
            <w:shd w:fill="2E4057"/>
          </w:tcPr>
          <w:p>
            <w:pPr>
              <w:spacing w:before="20" w:after="20"/>
              <w:jc w:val="center"/>
            </w:pPr>
            <w:r/>
            <w:r>
              <w:rPr>
                <w:rFonts w:ascii="Times New Roman" w:hAnsi="Times New Roman"/>
                <w:b/>
                <w:color w:val="FFFFFF"/>
                <w:sz w:val="14"/>
              </w:rPr>
              <w:t>F1</w:t>
            </w:r>
          </w:p>
        </w:tc>
        <w:tc>
          <w:tcPr>
            <w:tcW w:type="dxa" w:w="1417"/>
            <w:shd w:fill="2E4057"/>
          </w:tcPr>
          <w:p>
            <w:pPr>
              <w:spacing w:before="20" w:after="20"/>
              <w:jc w:val="center"/>
            </w:pPr>
            <w:r/>
            <w:r>
              <w:rPr>
                <w:rFonts w:ascii="Times New Roman" w:hAnsi="Times New Roman"/>
                <w:b/>
                <w:color w:val="FFFFFF"/>
                <w:sz w:val="14"/>
              </w:rPr>
              <w:t>ROC-AUC</w:t>
            </w:r>
          </w:p>
        </w:tc>
        <w:tc>
          <w:tcPr>
            <w:tcW w:type="dxa" w:w="1417"/>
            <w:shd w:fill="2E4057"/>
          </w:tcPr>
          <w:p>
            <w:pPr>
              <w:spacing w:before="20" w:after="20"/>
              <w:jc w:val="center"/>
            </w:pPr>
            <w:r/>
            <w:r>
              <w:rPr>
                <w:rFonts w:ascii="Times New Roman" w:hAnsi="Times New Roman"/>
                <w:b/>
                <w:color w:val="FFFFFF"/>
                <w:sz w:val="14"/>
              </w:rPr>
              <w:t>PR-AUC</w:t>
            </w:r>
          </w:p>
        </w:tc>
      </w:tr>
      <w:tr>
        <w:tc>
          <w:tcPr>
            <w:tcW w:type="dxa" w:w="1417"/>
          </w:tcPr>
          <w:p>
            <w:pPr>
              <w:spacing w:before="20" w:after="20"/>
              <w:jc w:val="center"/>
            </w:pPr>
            <w:r/>
            <w:r>
              <w:rPr>
                <w:rFonts w:ascii="Times New Roman" w:hAnsi="Times New Roman"/>
                <w:sz w:val="14"/>
              </w:rPr>
              <w:t>Random Forest</w:t>
            </w:r>
          </w:p>
        </w:tc>
        <w:tc>
          <w:tcPr>
            <w:tcW w:type="dxa" w:w="1417"/>
          </w:tcPr>
          <w:p>
            <w:pPr>
              <w:spacing w:before="20" w:after="20"/>
              <w:jc w:val="center"/>
            </w:pPr>
            <w:r/>
            <w:r>
              <w:rPr>
                <w:rFonts w:ascii="Times New Roman" w:hAnsi="Times New Roman"/>
                <w:sz w:val="14"/>
              </w:rPr>
              <w:t>0,18</w:t>
            </w:r>
          </w:p>
        </w:tc>
        <w:tc>
          <w:tcPr>
            <w:tcW w:type="dxa" w:w="1417"/>
          </w:tcPr>
          <w:p>
            <w:pPr>
              <w:spacing w:before="20" w:after="20"/>
              <w:jc w:val="center"/>
            </w:pPr>
            <w:r/>
            <w:r>
              <w:rPr>
                <w:rFonts w:ascii="Times New Roman" w:hAnsi="Times New Roman"/>
                <w:sz w:val="14"/>
              </w:rPr>
              <w:t>0,999</w:t>
            </w:r>
          </w:p>
        </w:tc>
        <w:tc>
          <w:tcPr>
            <w:tcW w:type="dxa" w:w="1417"/>
          </w:tcPr>
          <w:p>
            <w:pPr>
              <w:spacing w:before="20" w:after="20"/>
              <w:jc w:val="center"/>
            </w:pPr>
            <w:r/>
            <w:r>
              <w:rPr>
                <w:rFonts w:ascii="Times New Roman" w:hAnsi="Times New Roman"/>
                <w:sz w:val="14"/>
              </w:rPr>
              <w:t>0,375</w:t>
            </w:r>
          </w:p>
        </w:tc>
        <w:tc>
          <w:tcPr>
            <w:tcW w:type="dxa" w:w="1417"/>
          </w:tcPr>
          <w:p>
            <w:pPr>
              <w:spacing w:before="20" w:after="20"/>
              <w:jc w:val="center"/>
            </w:pPr>
            <w:r/>
            <w:r>
              <w:rPr>
                <w:rFonts w:ascii="Times New Roman" w:hAnsi="Times New Roman"/>
                <w:sz w:val="14"/>
              </w:rPr>
              <w:t>0,545</w:t>
            </w:r>
          </w:p>
        </w:tc>
        <w:tc>
          <w:tcPr>
            <w:tcW w:type="dxa" w:w="1417"/>
          </w:tcPr>
          <w:p>
            <w:pPr>
              <w:spacing w:before="20" w:after="20"/>
              <w:jc w:val="center"/>
            </w:pPr>
            <w:r/>
            <w:r>
              <w:rPr>
                <w:rFonts w:ascii="Times New Roman" w:hAnsi="Times New Roman"/>
                <w:sz w:val="14"/>
              </w:rPr>
              <w:t>0,472</w:t>
            </w:r>
          </w:p>
        </w:tc>
        <w:tc>
          <w:tcPr>
            <w:tcW w:type="dxa" w:w="1417"/>
          </w:tcPr>
          <w:p>
            <w:pPr>
              <w:spacing w:before="20" w:after="20"/>
              <w:jc w:val="center"/>
            </w:pPr>
            <w:r/>
            <w:r>
              <w:rPr>
                <w:rFonts w:ascii="Times New Roman" w:hAnsi="Times New Roman"/>
                <w:sz w:val="14"/>
              </w:rPr>
              <w:t>0,417</w:t>
            </w:r>
          </w:p>
        </w:tc>
      </w:tr>
      <w:tr>
        <w:tc>
          <w:tcPr>
            <w:tcW w:type="dxa" w:w="1417"/>
            <w:shd w:fill="E8EEF2"/>
          </w:tcPr>
          <w:p>
            <w:pPr>
              <w:spacing w:before="20" w:after="20"/>
              <w:jc w:val="center"/>
            </w:pPr>
            <w:r/>
            <w:r>
              <w:rPr>
                <w:rFonts w:ascii="Times New Roman" w:hAnsi="Times New Roman"/>
                <w:sz w:val="14"/>
              </w:rPr>
              <w:t>XGBoost</w:t>
            </w:r>
          </w:p>
        </w:tc>
        <w:tc>
          <w:tcPr>
            <w:tcW w:type="dxa" w:w="1417"/>
            <w:shd w:fill="E8EEF2"/>
          </w:tcPr>
          <w:p>
            <w:pPr>
              <w:spacing w:before="20" w:after="20"/>
              <w:jc w:val="center"/>
            </w:pPr>
            <w:r/>
            <w:r>
              <w:rPr>
                <w:rFonts w:ascii="Times New Roman" w:hAnsi="Times New Roman"/>
                <w:sz w:val="14"/>
              </w:rPr>
              <w:t>0,50</w:t>
            </w:r>
          </w:p>
        </w:tc>
        <w:tc>
          <w:tcPr>
            <w:tcW w:type="dxa" w:w="1417"/>
            <w:shd w:fill="E8EEF2"/>
          </w:tcPr>
          <w:p>
            <w:pPr>
              <w:spacing w:before="20" w:after="20"/>
              <w:jc w:val="center"/>
            </w:pPr>
            <w:r/>
            <w:r>
              <w:rPr>
                <w:rFonts w:ascii="Times New Roman" w:hAnsi="Times New Roman"/>
                <w:sz w:val="14"/>
              </w:rPr>
              <w:t>0,000</w:t>
            </w:r>
          </w:p>
        </w:tc>
        <w:tc>
          <w:tcPr>
            <w:tcW w:type="dxa" w:w="1417"/>
            <w:shd w:fill="E8EEF2"/>
          </w:tcPr>
          <w:p>
            <w:pPr>
              <w:spacing w:before="20" w:after="20"/>
              <w:jc w:val="center"/>
            </w:pPr>
            <w:r/>
            <w:r>
              <w:rPr>
                <w:rFonts w:ascii="Times New Roman" w:hAnsi="Times New Roman"/>
                <w:sz w:val="14"/>
              </w:rPr>
              <w:t>0,000</w:t>
            </w:r>
          </w:p>
        </w:tc>
        <w:tc>
          <w:tcPr>
            <w:tcW w:type="dxa" w:w="1417"/>
            <w:shd w:fill="E8EEF2"/>
          </w:tcPr>
          <w:p>
            <w:pPr>
              <w:spacing w:before="20" w:after="20"/>
              <w:jc w:val="center"/>
            </w:pPr>
            <w:r/>
            <w:r>
              <w:rPr>
                <w:rFonts w:ascii="Times New Roman" w:hAnsi="Times New Roman"/>
                <w:sz w:val="14"/>
              </w:rPr>
              <w:t>0,000</w:t>
            </w:r>
          </w:p>
        </w:tc>
        <w:tc>
          <w:tcPr>
            <w:tcW w:type="dxa" w:w="1417"/>
            <w:shd w:fill="E8EEF2"/>
          </w:tcPr>
          <w:p>
            <w:pPr>
              <w:spacing w:before="20" w:after="20"/>
              <w:jc w:val="center"/>
            </w:pPr>
            <w:r/>
            <w:r>
              <w:rPr>
                <w:rFonts w:ascii="Times New Roman" w:hAnsi="Times New Roman"/>
                <w:sz w:val="14"/>
              </w:rPr>
              <w:t>0,823</w:t>
            </w:r>
          </w:p>
        </w:tc>
        <w:tc>
          <w:tcPr>
            <w:tcW w:type="dxa" w:w="1417"/>
            <w:shd w:fill="E8EEF2"/>
          </w:tcPr>
          <w:p>
            <w:pPr>
              <w:spacing w:before="20" w:after="20"/>
              <w:jc w:val="center"/>
            </w:pPr>
            <w:r/>
            <w:r>
              <w:rPr>
                <w:rFonts w:ascii="Times New Roman" w:hAnsi="Times New Roman"/>
                <w:sz w:val="14"/>
              </w:rPr>
              <w:t>0,190</w:t>
            </w:r>
          </w:p>
        </w:tc>
      </w:tr>
      <w:tr>
        <w:tc>
          <w:tcPr>
            <w:tcW w:type="dxa" w:w="1417"/>
          </w:tcPr>
          <w:p>
            <w:pPr>
              <w:spacing w:before="20" w:after="20"/>
              <w:jc w:val="center"/>
            </w:pPr>
            <w:r/>
            <w:r>
              <w:rPr>
                <w:rFonts w:ascii="Times New Roman" w:hAnsi="Times New Roman"/>
                <w:sz w:val="14"/>
              </w:rPr>
              <w:t>LightGBM</w:t>
            </w:r>
          </w:p>
        </w:tc>
        <w:tc>
          <w:tcPr>
            <w:tcW w:type="dxa" w:w="1417"/>
          </w:tcPr>
          <w:p>
            <w:pPr>
              <w:spacing w:before="20" w:after="20"/>
              <w:jc w:val="center"/>
            </w:pPr>
            <w:r/>
            <w:r>
              <w:rPr>
                <w:rFonts w:ascii="Times New Roman" w:hAnsi="Times New Roman"/>
                <w:sz w:val="14"/>
              </w:rPr>
              <w:t>0,50</w:t>
            </w:r>
          </w:p>
        </w:tc>
        <w:tc>
          <w:tcPr>
            <w:tcW w:type="dxa" w:w="1417"/>
          </w:tcPr>
          <w:p>
            <w:pPr>
              <w:spacing w:before="20" w:after="20"/>
              <w:jc w:val="center"/>
            </w:pPr>
            <w:r/>
            <w:r>
              <w:rPr>
                <w:rFonts w:ascii="Times New Roman" w:hAnsi="Times New Roman"/>
                <w:sz w:val="14"/>
              </w:rPr>
              <w:t>0,000</w:t>
            </w:r>
          </w:p>
        </w:tc>
        <w:tc>
          <w:tcPr>
            <w:tcW w:type="dxa" w:w="1417"/>
          </w:tcPr>
          <w:p>
            <w:pPr>
              <w:spacing w:before="20" w:after="20"/>
              <w:jc w:val="center"/>
            </w:pPr>
            <w:r/>
            <w:r>
              <w:rPr>
                <w:rFonts w:ascii="Times New Roman" w:hAnsi="Times New Roman"/>
                <w:sz w:val="14"/>
              </w:rPr>
              <w:t>0,000</w:t>
            </w:r>
          </w:p>
        </w:tc>
        <w:tc>
          <w:tcPr>
            <w:tcW w:type="dxa" w:w="1417"/>
          </w:tcPr>
          <w:p>
            <w:pPr>
              <w:spacing w:before="20" w:after="20"/>
              <w:jc w:val="center"/>
            </w:pPr>
            <w:r/>
            <w:r>
              <w:rPr>
                <w:rFonts w:ascii="Times New Roman" w:hAnsi="Times New Roman"/>
                <w:sz w:val="14"/>
              </w:rPr>
              <w:t>0,000</w:t>
            </w:r>
          </w:p>
        </w:tc>
        <w:tc>
          <w:tcPr>
            <w:tcW w:type="dxa" w:w="1417"/>
          </w:tcPr>
          <w:p>
            <w:pPr>
              <w:spacing w:before="20" w:after="20"/>
              <w:jc w:val="center"/>
            </w:pPr>
            <w:r/>
            <w:r>
              <w:rPr>
                <w:rFonts w:ascii="Times New Roman" w:hAnsi="Times New Roman"/>
                <w:sz w:val="14"/>
              </w:rPr>
              <w:t>0,661</w:t>
            </w:r>
          </w:p>
        </w:tc>
        <w:tc>
          <w:tcPr>
            <w:tcW w:type="dxa" w:w="1417"/>
          </w:tcPr>
          <w:p>
            <w:pPr>
              <w:spacing w:before="20" w:after="20"/>
              <w:jc w:val="center"/>
            </w:pPr>
            <w:r/>
            <w:r>
              <w:rPr>
                <w:rFonts w:ascii="Times New Roman" w:hAnsi="Times New Roman"/>
                <w:sz w:val="14"/>
              </w:rPr>
              <w:t>0,152</w:t>
            </w:r>
          </w:p>
        </w:tc>
      </w:tr>
      <w:tr>
        <w:tc>
          <w:tcPr>
            <w:tcW w:type="dxa" w:w="1417"/>
            <w:shd w:fill="E8EEF2"/>
          </w:tcPr>
          <w:p>
            <w:pPr>
              <w:spacing w:before="20" w:after="20"/>
              <w:jc w:val="center"/>
            </w:pPr>
            <w:r/>
            <w:r>
              <w:rPr>
                <w:rFonts w:ascii="Times New Roman" w:hAnsi="Times New Roman"/>
                <w:sz w:val="14"/>
              </w:rPr>
              <w:t>Lojistik Reg.</w:t>
            </w:r>
          </w:p>
        </w:tc>
        <w:tc>
          <w:tcPr>
            <w:tcW w:type="dxa" w:w="1417"/>
            <w:shd w:fill="E8EEF2"/>
          </w:tcPr>
          <w:p>
            <w:pPr>
              <w:spacing w:before="20" w:after="20"/>
              <w:jc w:val="center"/>
            </w:pPr>
            <w:r/>
            <w:r>
              <w:rPr>
                <w:rFonts w:ascii="Times New Roman" w:hAnsi="Times New Roman"/>
                <w:sz w:val="14"/>
              </w:rPr>
              <w:t>0,05</w:t>
            </w:r>
          </w:p>
        </w:tc>
        <w:tc>
          <w:tcPr>
            <w:tcW w:type="dxa" w:w="1417"/>
            <w:shd w:fill="E8EEF2"/>
          </w:tcPr>
          <w:p>
            <w:pPr>
              <w:spacing w:before="20" w:after="20"/>
              <w:jc w:val="center"/>
            </w:pPr>
            <w:r/>
            <w:r>
              <w:rPr>
                <w:rFonts w:ascii="Times New Roman" w:hAnsi="Times New Roman"/>
                <w:sz w:val="14"/>
              </w:rPr>
              <w:t>1,000</w:t>
            </w:r>
          </w:p>
        </w:tc>
        <w:tc>
          <w:tcPr>
            <w:tcW w:type="dxa" w:w="1417"/>
            <w:shd w:fill="E8EEF2"/>
          </w:tcPr>
          <w:p>
            <w:pPr>
              <w:spacing w:before="20" w:after="20"/>
              <w:jc w:val="center"/>
            </w:pPr>
            <w:r/>
            <w:r>
              <w:rPr>
                <w:rFonts w:ascii="Times New Roman" w:hAnsi="Times New Roman"/>
                <w:sz w:val="14"/>
              </w:rPr>
              <w:t>0,024</w:t>
            </w:r>
          </w:p>
        </w:tc>
        <w:tc>
          <w:tcPr>
            <w:tcW w:type="dxa" w:w="1417"/>
            <w:shd w:fill="E8EEF2"/>
          </w:tcPr>
          <w:p>
            <w:pPr>
              <w:spacing w:before="20" w:after="20"/>
              <w:jc w:val="center"/>
            </w:pPr>
            <w:r/>
            <w:r>
              <w:rPr>
                <w:rFonts w:ascii="Times New Roman" w:hAnsi="Times New Roman"/>
                <w:sz w:val="14"/>
              </w:rPr>
              <w:t>0,048</w:t>
            </w:r>
          </w:p>
        </w:tc>
        <w:tc>
          <w:tcPr>
            <w:tcW w:type="dxa" w:w="1417"/>
            <w:shd w:fill="E8EEF2"/>
          </w:tcPr>
          <w:p>
            <w:pPr>
              <w:spacing w:before="20" w:after="20"/>
              <w:jc w:val="center"/>
            </w:pPr>
            <w:r/>
            <w:r>
              <w:rPr>
                <w:rFonts w:ascii="Times New Roman" w:hAnsi="Times New Roman"/>
                <w:sz w:val="14"/>
              </w:rPr>
              <w:t>0,302</w:t>
            </w:r>
          </w:p>
        </w:tc>
        <w:tc>
          <w:tcPr>
            <w:tcW w:type="dxa" w:w="1417"/>
            <w:shd w:fill="E8EEF2"/>
          </w:tcPr>
          <w:p>
            <w:pPr>
              <w:spacing w:before="20" w:after="20"/>
              <w:jc w:val="center"/>
            </w:pPr>
            <w:r/>
            <w:r>
              <w:rPr>
                <w:rFonts w:ascii="Times New Roman" w:hAnsi="Times New Roman"/>
                <w:sz w:val="14"/>
              </w:rPr>
              <w:t>0,223</w:t>
            </w:r>
          </w:p>
        </w:tc>
      </w:tr>
    </w:tbl>
    <w:p>
      <w:pPr>
        <w:spacing w:before="40" w:after="120"/>
        <w:jc w:val="center"/>
      </w:pPr>
      <w:r>
        <w:rPr>
          <w:rFonts w:ascii="Times New Roman" w:hAnsi="Times New Roman"/>
          <w:i/>
          <w:sz w:val="15"/>
        </w:rPr>
        <w:t>Tablo II: Klasik MÖ Model Performansı</w:t>
      </w:r>
    </w:p>
    <w:p>
      <w:pPr>
        <w:spacing w:after="60" w:before="20" w:line="240" w:lineRule="auto"/>
        <w:ind w:firstLine="283"/>
        <w:jc w:val="both"/>
      </w:pPr>
      <w:r>
        <w:rPr>
          <w:rFonts w:ascii="Times New Roman" w:hAnsi="Times New Roman"/>
          <w:sz w:val="18"/>
        </w:rPr>
        <w:t>Özellik önemi analizi, yağ basıncı ve dişli kutusu yağ sıcaklığı yuvarlanan istatistiklerinin (24s ve 48s pencereler) Random Forest için en ayırt edici özellikler olduğunu ortaya koymuştur (oil_pressure_roll_std_24: 0,119).</w:t>
      </w:r>
    </w:p>
    <w:p>
      <w:pPr>
        <w:jc w:val="center"/>
      </w:pPr>
      <w:r>
        <w:drawing>
          <wp:inline xmlns:a="http://schemas.openxmlformats.org/drawingml/2006/main" xmlns:pic="http://schemas.openxmlformats.org/drawingml/2006/picture">
            <wp:extent cx="2971800" cy="1257739"/>
            <wp:docPr id="4" name="Picture 4"/>
            <wp:cNvGraphicFramePr>
              <a:graphicFrameLocks noChangeAspect="1"/>
            </wp:cNvGraphicFramePr>
            <a:graphic>
              <a:graphicData uri="http://schemas.openxmlformats.org/drawingml/2006/picture">
                <pic:pic>
                  <pic:nvPicPr>
                    <pic:cNvPr id="0" name="roc_pr_curves.png"/>
                    <pic:cNvPicPr/>
                  </pic:nvPicPr>
                  <pic:blipFill>
                    <a:blip r:embed="rId12"/>
                    <a:stretch>
                      <a:fillRect/>
                    </a:stretch>
                  </pic:blipFill>
                  <pic:spPr>
                    <a:xfrm>
                      <a:off x="0" y="0"/>
                      <a:ext cx="2971800" cy="1257739"/>
                    </a:xfrm>
                    <a:prstGeom prst="rect"/>
                  </pic:spPr>
                </pic:pic>
              </a:graphicData>
            </a:graphic>
          </wp:inline>
        </w:drawing>
      </w:r>
    </w:p>
    <w:p>
      <w:pPr>
        <w:spacing w:before="20" w:after="120"/>
        <w:jc w:val="center"/>
      </w:pPr>
      <w:r>
        <w:rPr>
          <w:rFonts w:ascii="Times New Roman" w:hAnsi="Times New Roman"/>
          <w:i/>
          <w:sz w:val="15"/>
        </w:rPr>
        <w:t>Şekil 4: Klasik MÖ modelleri için ROC ve PR eğrileri</w:t>
      </w:r>
    </w:p>
    <w:p>
      <w:pPr>
        <w:jc w:val="center"/>
      </w:pPr>
      <w:r>
        <w:drawing>
          <wp:inline xmlns:a="http://schemas.openxmlformats.org/drawingml/2006/main" xmlns:pic="http://schemas.openxmlformats.org/drawingml/2006/picture">
            <wp:extent cx="2971800" cy="2138246"/>
            <wp:docPr id="5" name="Picture 5"/>
            <wp:cNvGraphicFramePr>
              <a:graphicFrameLocks noChangeAspect="1"/>
            </wp:cNvGraphicFramePr>
            <a:graphic>
              <a:graphicData uri="http://schemas.openxmlformats.org/drawingml/2006/picture">
                <pic:pic>
                  <pic:nvPicPr>
                    <pic:cNvPr id="0" name="confusion_matrices.png"/>
                    <pic:cNvPicPr/>
                  </pic:nvPicPr>
                  <pic:blipFill>
                    <a:blip r:embed="rId13"/>
                    <a:stretch>
                      <a:fillRect/>
                    </a:stretch>
                  </pic:blipFill>
                  <pic:spPr>
                    <a:xfrm>
                      <a:off x="0" y="0"/>
                      <a:ext cx="2971800" cy="2138246"/>
                    </a:xfrm>
                    <a:prstGeom prst="rect"/>
                  </pic:spPr>
                </pic:pic>
              </a:graphicData>
            </a:graphic>
          </wp:inline>
        </w:drawing>
      </w:r>
    </w:p>
    <w:p>
      <w:pPr>
        <w:spacing w:before="20" w:after="120"/>
        <w:jc w:val="center"/>
      </w:pPr>
      <w:r>
        <w:rPr>
          <w:rFonts w:ascii="Times New Roman" w:hAnsi="Times New Roman"/>
          <w:i/>
          <w:sz w:val="15"/>
        </w:rPr>
        <w:t>Şekil 5: Klasik MÖ modelleri için karmaşıklık matrisleri</w:t>
      </w:r>
    </w:p>
    <w:p>
      <w:pPr>
        <w:jc w:val="center"/>
      </w:pPr>
      <w:r>
        <w:drawing>
          <wp:inline xmlns:a="http://schemas.openxmlformats.org/drawingml/2006/main" xmlns:pic="http://schemas.openxmlformats.org/drawingml/2006/picture">
            <wp:extent cx="2971800" cy="1172188"/>
            <wp:docPr id="6" name="Picture 6"/>
            <wp:cNvGraphicFramePr>
              <a:graphicFrameLocks noChangeAspect="1"/>
            </wp:cNvGraphicFramePr>
            <a:graphic>
              <a:graphicData uri="http://schemas.openxmlformats.org/drawingml/2006/picture">
                <pic:pic>
                  <pic:nvPicPr>
                    <pic:cNvPr id="0" name="feature_importance_models.png"/>
                    <pic:cNvPicPr/>
                  </pic:nvPicPr>
                  <pic:blipFill>
                    <a:blip r:embed="rId14"/>
                    <a:stretch>
                      <a:fillRect/>
                    </a:stretch>
                  </pic:blipFill>
                  <pic:spPr>
                    <a:xfrm>
                      <a:off x="0" y="0"/>
                      <a:ext cx="2971800" cy="1172188"/>
                    </a:xfrm>
                    <a:prstGeom prst="rect"/>
                  </pic:spPr>
                </pic:pic>
              </a:graphicData>
            </a:graphic>
          </wp:inline>
        </w:drawing>
      </w:r>
    </w:p>
    <w:p>
      <w:pPr>
        <w:spacing w:before="20" w:after="120"/>
        <w:jc w:val="center"/>
      </w:pPr>
      <w:r>
        <w:rPr>
          <w:rFonts w:ascii="Times New Roman" w:hAnsi="Times New Roman"/>
          <w:i/>
          <w:sz w:val="15"/>
        </w:rPr>
        <w:t>Şekil 6: Modeller arası özellik önem karşılaştırması</w:t>
      </w:r>
    </w:p>
    <w:p>
      <w:pPr>
        <w:pStyle w:val="Heading2"/>
        <w:spacing w:before="160" w:after="80"/>
        <w:jc w:val="left"/>
      </w:pPr>
      <w:r>
        <w:rPr>
          <w:rFonts w:ascii="Times New Roman" w:hAnsi="Times New Roman"/>
          <w:color w:val="000000"/>
          <w:sz w:val="20"/>
        </w:rPr>
        <w:t>B. Denetimsiz Anomali Tespiti Sonuçları</w:t>
      </w:r>
    </w:p>
    <w:p>
      <w:pPr>
        <w:spacing w:after="60" w:before="20" w:line="240" w:lineRule="auto"/>
        <w:ind w:firstLine="283"/>
        <w:jc w:val="both"/>
      </w:pPr>
      <w:r>
        <w:rPr>
          <w:rFonts w:ascii="Times New Roman" w:hAnsi="Times New Roman"/>
          <w:sz w:val="18"/>
        </w:rPr>
        <w:t>Denetimsiz yöntemler olağanüstü performans sergileyerek ROC-AUC ve PR-AUC açısından denetimli yaklaşımları önemli ölçüde geride bırakmıştır. Tablo III karşılaştırmalı sonuçları göstermektedir. One-Class SVM 0,9999 ROC-AUC ile en yüksek değere ulaşmış, Isolation Forest 0,9997 ile onu yakından takip etmiştir.</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fill="2E4057"/>
          </w:tcPr>
          <w:p>
            <w:pPr>
              <w:spacing w:before="20" w:after="20"/>
              <w:jc w:val="center"/>
            </w:pPr>
            <w:r/>
            <w:r>
              <w:rPr>
                <w:rFonts w:ascii="Times New Roman" w:hAnsi="Times New Roman"/>
                <w:b/>
                <w:color w:val="FFFFFF"/>
                <w:sz w:val="15"/>
              </w:rPr>
              <w:t>Yöntem</w:t>
            </w:r>
          </w:p>
        </w:tc>
        <w:tc>
          <w:tcPr>
            <w:tcW w:type="dxa" w:w="2480"/>
            <w:shd w:fill="2E4057"/>
          </w:tcPr>
          <w:p>
            <w:pPr>
              <w:spacing w:before="20" w:after="20"/>
              <w:jc w:val="center"/>
            </w:pPr>
            <w:r/>
            <w:r>
              <w:rPr>
                <w:rFonts w:ascii="Times New Roman" w:hAnsi="Times New Roman"/>
                <w:b/>
                <w:color w:val="FFFFFF"/>
                <w:sz w:val="15"/>
              </w:rPr>
              <w:t>ROC-AUC</w:t>
            </w:r>
          </w:p>
        </w:tc>
        <w:tc>
          <w:tcPr>
            <w:tcW w:type="dxa" w:w="2480"/>
            <w:shd w:fill="2E4057"/>
          </w:tcPr>
          <w:p>
            <w:pPr>
              <w:spacing w:before="20" w:after="20"/>
              <w:jc w:val="center"/>
            </w:pPr>
            <w:r/>
            <w:r>
              <w:rPr>
                <w:rFonts w:ascii="Times New Roman" w:hAnsi="Times New Roman"/>
                <w:b/>
                <w:color w:val="FFFFFF"/>
                <w:sz w:val="15"/>
              </w:rPr>
              <w:t>PR-AUC</w:t>
            </w:r>
          </w:p>
        </w:tc>
        <w:tc>
          <w:tcPr>
            <w:tcW w:type="dxa" w:w="2480"/>
            <w:shd w:fill="2E4057"/>
          </w:tcPr>
          <w:p>
            <w:pPr>
              <w:spacing w:before="20" w:after="20"/>
              <w:jc w:val="center"/>
            </w:pPr>
            <w:r/>
            <w:r>
              <w:rPr>
                <w:rFonts w:ascii="Times New Roman" w:hAnsi="Times New Roman"/>
                <w:b/>
                <w:color w:val="FFFFFF"/>
                <w:sz w:val="15"/>
              </w:rPr>
              <w:t>Avantaj</w:t>
            </w:r>
          </w:p>
        </w:tc>
      </w:tr>
      <w:tr>
        <w:tc>
          <w:tcPr>
            <w:tcW w:type="dxa" w:w="2480"/>
          </w:tcPr>
          <w:p>
            <w:pPr>
              <w:spacing w:before="20" w:after="20"/>
              <w:jc w:val="center"/>
            </w:pPr>
            <w:r/>
            <w:r>
              <w:rPr>
                <w:rFonts w:ascii="Times New Roman" w:hAnsi="Times New Roman"/>
                <w:sz w:val="15"/>
              </w:rPr>
              <w:t>One-Class SVM</w:t>
            </w:r>
          </w:p>
        </w:tc>
        <w:tc>
          <w:tcPr>
            <w:tcW w:type="dxa" w:w="2480"/>
          </w:tcPr>
          <w:p>
            <w:pPr>
              <w:spacing w:before="20" w:after="20"/>
              <w:jc w:val="center"/>
            </w:pPr>
            <w:r/>
            <w:r>
              <w:rPr>
                <w:rFonts w:ascii="Times New Roman" w:hAnsi="Times New Roman"/>
                <w:sz w:val="15"/>
              </w:rPr>
              <w:t>0,9999</w:t>
            </w:r>
          </w:p>
        </w:tc>
        <w:tc>
          <w:tcPr>
            <w:tcW w:type="dxa" w:w="2480"/>
          </w:tcPr>
          <w:p>
            <w:pPr>
              <w:spacing w:before="20" w:after="20"/>
              <w:jc w:val="center"/>
            </w:pPr>
            <w:r/>
            <w:r>
              <w:rPr>
                <w:rFonts w:ascii="Times New Roman" w:hAnsi="Times New Roman"/>
                <w:sz w:val="15"/>
              </w:rPr>
              <w:t>0,9965</w:t>
            </w:r>
          </w:p>
        </w:tc>
        <w:tc>
          <w:tcPr>
            <w:tcW w:type="dxa" w:w="2480"/>
          </w:tcPr>
          <w:p>
            <w:pPr>
              <w:spacing w:before="20" w:after="20"/>
              <w:jc w:val="center"/>
            </w:pPr>
            <w:r/>
            <w:r>
              <w:rPr>
                <w:rFonts w:ascii="Times New Roman" w:hAnsi="Times New Roman"/>
                <w:sz w:val="15"/>
              </w:rPr>
              <w:t>En güçlü sınır</w:t>
            </w:r>
          </w:p>
        </w:tc>
      </w:tr>
      <w:tr>
        <w:tc>
          <w:tcPr>
            <w:tcW w:type="dxa" w:w="2480"/>
            <w:shd w:fill="E8EEF2"/>
          </w:tcPr>
          <w:p>
            <w:pPr>
              <w:spacing w:before="20" w:after="20"/>
              <w:jc w:val="center"/>
            </w:pPr>
            <w:r/>
            <w:r>
              <w:rPr>
                <w:rFonts w:ascii="Times New Roman" w:hAnsi="Times New Roman"/>
                <w:sz w:val="15"/>
              </w:rPr>
              <w:t>Isolation Forest</w:t>
            </w:r>
          </w:p>
        </w:tc>
        <w:tc>
          <w:tcPr>
            <w:tcW w:type="dxa" w:w="2480"/>
            <w:shd w:fill="E8EEF2"/>
          </w:tcPr>
          <w:p>
            <w:pPr>
              <w:spacing w:before="20" w:after="20"/>
              <w:jc w:val="center"/>
            </w:pPr>
            <w:r/>
            <w:r>
              <w:rPr>
                <w:rFonts w:ascii="Times New Roman" w:hAnsi="Times New Roman"/>
                <w:sz w:val="15"/>
              </w:rPr>
              <w:t>0,9997</w:t>
            </w:r>
          </w:p>
        </w:tc>
        <w:tc>
          <w:tcPr>
            <w:tcW w:type="dxa" w:w="2480"/>
            <w:shd w:fill="E8EEF2"/>
          </w:tcPr>
          <w:p>
            <w:pPr>
              <w:spacing w:before="20" w:after="20"/>
              <w:jc w:val="center"/>
            </w:pPr>
            <w:r/>
            <w:r>
              <w:rPr>
                <w:rFonts w:ascii="Times New Roman" w:hAnsi="Times New Roman"/>
                <w:sz w:val="15"/>
              </w:rPr>
              <w:t>0,9946</w:t>
            </w:r>
          </w:p>
        </w:tc>
        <w:tc>
          <w:tcPr>
            <w:tcW w:type="dxa" w:w="2480"/>
            <w:shd w:fill="E8EEF2"/>
          </w:tcPr>
          <w:p>
            <w:pPr>
              <w:spacing w:before="20" w:after="20"/>
              <w:jc w:val="center"/>
            </w:pPr>
            <w:r/>
            <w:r>
              <w:rPr>
                <w:rFonts w:ascii="Times New Roman" w:hAnsi="Times New Roman"/>
                <w:sz w:val="15"/>
              </w:rPr>
              <w:t>Hızlı, paralel</w:t>
            </w:r>
          </w:p>
        </w:tc>
      </w:tr>
      <w:tr>
        <w:tc>
          <w:tcPr>
            <w:tcW w:type="dxa" w:w="2480"/>
          </w:tcPr>
          <w:p>
            <w:pPr>
              <w:spacing w:before="20" w:after="20"/>
              <w:jc w:val="center"/>
            </w:pPr>
            <w:r/>
            <w:r>
              <w:rPr>
                <w:rFonts w:ascii="Times New Roman" w:hAnsi="Times New Roman"/>
                <w:sz w:val="15"/>
              </w:rPr>
              <w:t>LOF (k=20)</w:t>
            </w:r>
          </w:p>
        </w:tc>
        <w:tc>
          <w:tcPr>
            <w:tcW w:type="dxa" w:w="2480"/>
          </w:tcPr>
          <w:p>
            <w:pPr>
              <w:spacing w:before="20" w:after="20"/>
              <w:jc w:val="center"/>
            </w:pPr>
            <w:r/>
            <w:r>
              <w:rPr>
                <w:rFonts w:ascii="Times New Roman" w:hAnsi="Times New Roman"/>
                <w:sz w:val="15"/>
              </w:rPr>
              <w:t>0,9992</w:t>
            </w:r>
          </w:p>
        </w:tc>
        <w:tc>
          <w:tcPr>
            <w:tcW w:type="dxa" w:w="2480"/>
          </w:tcPr>
          <w:p>
            <w:pPr>
              <w:spacing w:before="20" w:after="20"/>
              <w:jc w:val="center"/>
            </w:pPr>
            <w:r/>
            <w:r>
              <w:rPr>
                <w:rFonts w:ascii="Times New Roman" w:hAnsi="Times New Roman"/>
                <w:sz w:val="15"/>
              </w:rPr>
              <w:t>0,9585</w:t>
            </w:r>
          </w:p>
        </w:tc>
        <w:tc>
          <w:tcPr>
            <w:tcW w:type="dxa" w:w="2480"/>
          </w:tcPr>
          <w:p>
            <w:pPr>
              <w:spacing w:before="20" w:after="20"/>
              <w:jc w:val="center"/>
            </w:pPr>
            <w:r/>
            <w:r>
              <w:rPr>
                <w:rFonts w:ascii="Times New Roman" w:hAnsi="Times New Roman"/>
                <w:sz w:val="15"/>
              </w:rPr>
              <w:t>Yerel yoğunluk</w:t>
            </w:r>
          </w:p>
        </w:tc>
      </w:tr>
      <w:tr>
        <w:tc>
          <w:tcPr>
            <w:tcW w:type="dxa" w:w="2480"/>
            <w:shd w:fill="E8EEF2"/>
          </w:tcPr>
          <w:p>
            <w:pPr>
              <w:spacing w:before="20" w:after="20"/>
              <w:jc w:val="center"/>
            </w:pPr>
            <w:r/>
            <w:r>
              <w:rPr>
                <w:rFonts w:ascii="Times New Roman" w:hAnsi="Times New Roman"/>
                <w:sz w:val="15"/>
              </w:rPr>
              <w:t>Autoencoder</w:t>
            </w:r>
          </w:p>
        </w:tc>
        <w:tc>
          <w:tcPr>
            <w:tcW w:type="dxa" w:w="2480"/>
            <w:shd w:fill="E8EEF2"/>
          </w:tcPr>
          <w:p>
            <w:pPr>
              <w:spacing w:before="20" w:after="20"/>
              <w:jc w:val="center"/>
            </w:pPr>
            <w:r/>
            <w:r>
              <w:rPr>
                <w:rFonts w:ascii="Times New Roman" w:hAnsi="Times New Roman"/>
                <w:sz w:val="15"/>
              </w:rPr>
              <w:t>0,9916</w:t>
            </w:r>
          </w:p>
        </w:tc>
        <w:tc>
          <w:tcPr>
            <w:tcW w:type="dxa" w:w="2480"/>
            <w:shd w:fill="E8EEF2"/>
          </w:tcPr>
          <w:p>
            <w:pPr>
              <w:spacing w:before="20" w:after="20"/>
              <w:jc w:val="center"/>
            </w:pPr>
            <w:r/>
            <w:r>
              <w:rPr>
                <w:rFonts w:ascii="Times New Roman" w:hAnsi="Times New Roman"/>
                <w:sz w:val="15"/>
              </w:rPr>
              <w:t>0,8605</w:t>
            </w:r>
          </w:p>
        </w:tc>
        <w:tc>
          <w:tcPr>
            <w:tcW w:type="dxa" w:w="2480"/>
            <w:shd w:fill="E8EEF2"/>
          </w:tcPr>
          <w:p>
            <w:pPr>
              <w:spacing w:before="20" w:after="20"/>
              <w:jc w:val="center"/>
            </w:pPr>
            <w:r/>
            <w:r>
              <w:rPr>
                <w:rFonts w:ascii="Times New Roman" w:hAnsi="Times New Roman"/>
                <w:sz w:val="15"/>
              </w:rPr>
              <w:t>Karmaşık örüntü</w:t>
            </w:r>
          </w:p>
        </w:tc>
      </w:tr>
    </w:tbl>
    <w:p>
      <w:pPr>
        <w:spacing w:before="40" w:after="120"/>
        <w:jc w:val="center"/>
      </w:pPr>
      <w:r>
        <w:rPr>
          <w:rFonts w:ascii="Times New Roman" w:hAnsi="Times New Roman"/>
          <w:i/>
          <w:sz w:val="15"/>
        </w:rPr>
        <w:t>Tablo III: Denetimsiz Anomali Tespiti Performansı</w:t>
      </w:r>
    </w:p>
    <w:p>
      <w:pPr>
        <w:spacing w:after="60" w:before="20" w:line="240" w:lineRule="auto"/>
        <w:ind w:firstLine="283"/>
        <w:jc w:val="both"/>
      </w:pPr>
      <w:r>
        <w:rPr>
          <w:rFonts w:ascii="Times New Roman" w:hAnsi="Times New Roman"/>
          <w:sz w:val="18"/>
        </w:rPr>
        <w:t>Autoencoder en düşük denetimsiz performansı gösterse de 0,9916 ROC-AUC ile anlamlı normal çalışma örüntüleri öğrenme yeteneğini kanıtlamıştır. Yeniden yapılandırma hatası dağılımı normal ve anormal gözlemler arasında net ayrım göstermiştir.</w:t>
      </w:r>
    </w:p>
    <w:p>
      <w:pPr>
        <w:jc w:val="center"/>
      </w:pPr>
      <w:r>
        <w:drawing>
          <wp:inline xmlns:a="http://schemas.openxmlformats.org/drawingml/2006/main" xmlns:pic="http://schemas.openxmlformats.org/drawingml/2006/picture">
            <wp:extent cx="2971800" cy="1257739"/>
            <wp:docPr id="7" name="Picture 7"/>
            <wp:cNvGraphicFramePr>
              <a:graphicFrameLocks noChangeAspect="1"/>
            </wp:cNvGraphicFramePr>
            <a:graphic>
              <a:graphicData uri="http://schemas.openxmlformats.org/drawingml/2006/picture">
                <pic:pic>
                  <pic:nvPicPr>
                    <pic:cNvPr id="0" name="unsupervised_roc_pr.png"/>
                    <pic:cNvPicPr/>
                  </pic:nvPicPr>
                  <pic:blipFill>
                    <a:blip r:embed="rId15"/>
                    <a:stretch>
                      <a:fillRect/>
                    </a:stretch>
                  </pic:blipFill>
                  <pic:spPr>
                    <a:xfrm>
                      <a:off x="0" y="0"/>
                      <a:ext cx="2971800" cy="1257739"/>
                    </a:xfrm>
                    <a:prstGeom prst="rect"/>
                  </pic:spPr>
                </pic:pic>
              </a:graphicData>
            </a:graphic>
          </wp:inline>
        </w:drawing>
      </w:r>
    </w:p>
    <w:p>
      <w:pPr>
        <w:spacing w:before="20" w:after="120"/>
        <w:jc w:val="center"/>
      </w:pPr>
      <w:r>
        <w:rPr>
          <w:rFonts w:ascii="Times New Roman" w:hAnsi="Times New Roman"/>
          <w:i/>
          <w:sz w:val="15"/>
        </w:rPr>
        <w:t>Şekil 7: Denetimsiz yöntemler için ROC ve PR eğrileri</w:t>
      </w:r>
    </w:p>
    <w:p>
      <w:pPr>
        <w:jc w:val="center"/>
      </w:pPr>
      <w:r>
        <w:drawing>
          <wp:inline xmlns:a="http://schemas.openxmlformats.org/drawingml/2006/main" xmlns:pic="http://schemas.openxmlformats.org/drawingml/2006/picture">
            <wp:extent cx="2971800" cy="2111917"/>
            <wp:docPr id="8" name="Picture 8"/>
            <wp:cNvGraphicFramePr>
              <a:graphicFrameLocks noChangeAspect="1"/>
            </wp:cNvGraphicFramePr>
            <a:graphic>
              <a:graphicData uri="http://schemas.openxmlformats.org/drawingml/2006/picture">
                <pic:pic>
                  <pic:nvPicPr>
                    <pic:cNvPr id="0" name="anomaly_score_distributions.png"/>
                    <pic:cNvPicPr/>
                  </pic:nvPicPr>
                  <pic:blipFill>
                    <a:blip r:embed="rId16"/>
                    <a:stretch>
                      <a:fillRect/>
                    </a:stretch>
                  </pic:blipFill>
                  <pic:spPr>
                    <a:xfrm>
                      <a:off x="0" y="0"/>
                      <a:ext cx="2971800" cy="2111917"/>
                    </a:xfrm>
                    <a:prstGeom prst="rect"/>
                  </pic:spPr>
                </pic:pic>
              </a:graphicData>
            </a:graphic>
          </wp:inline>
        </w:drawing>
      </w:r>
    </w:p>
    <w:p>
      <w:pPr>
        <w:spacing w:before="20" w:after="120"/>
        <w:jc w:val="center"/>
      </w:pPr>
      <w:r>
        <w:rPr>
          <w:rFonts w:ascii="Times New Roman" w:hAnsi="Times New Roman"/>
          <w:i/>
          <w:sz w:val="15"/>
        </w:rPr>
        <w:t>Şekil 8: Her denetimsiz yöntem için anomali skor dağılımları</w:t>
      </w:r>
    </w:p>
    <w:p>
      <w:pPr>
        <w:pStyle w:val="Heading2"/>
        <w:spacing w:before="160" w:after="80"/>
        <w:jc w:val="left"/>
      </w:pPr>
      <w:r>
        <w:rPr>
          <w:rFonts w:ascii="Times New Roman" w:hAnsi="Times New Roman"/>
          <w:color w:val="000000"/>
          <w:sz w:val="20"/>
        </w:rPr>
        <w:t>C. Derin Öğrenme Sonuçları</w:t>
      </w:r>
    </w:p>
    <w:p>
      <w:pPr>
        <w:spacing w:after="60" w:before="20" w:line="240" w:lineRule="auto"/>
        <w:ind w:firstLine="283"/>
        <w:jc w:val="both"/>
      </w:pPr>
      <w:r>
        <w:rPr>
          <w:rFonts w:ascii="Times New Roman" w:hAnsi="Times New Roman"/>
          <w:sz w:val="18"/>
        </w:rPr>
        <w:t>Tablo IV derin öğrenme modellerinin performansını sunmaktadır. TCN, 0,445 F1 skoru ve 0,601 PR-AUC ile en dengeli performansı elde etmiştir. Transformer Kodlayıcı en yüksek ROC-AUC'ye (0,903) ulaşmış ancak daha düşük kesinlik göstermiştir. LSTM neredeyse mükemmel duyarlılık (0,993) elde etmiş fakat yüksek yanlış pozitif oranı sergilemiştir.</w:t>
      </w:r>
    </w:p>
    <w:tbl>
      <w:tblPr>
        <w:tblStyle w:val="TableGrid"/>
        <w:tblW w:type="auto" w:w="0"/>
        <w:jc w:val="center"/>
        <w:tblLook w:firstColumn="1" w:firstRow="1" w:lastColumn="0" w:lastRow="0" w:noHBand="0" w:noVBand="1" w:val="04A0"/>
      </w:tblPr>
      <w:tblGrid>
        <w:gridCol w:w="1654"/>
        <w:gridCol w:w="1654"/>
        <w:gridCol w:w="1654"/>
        <w:gridCol w:w="1654"/>
        <w:gridCol w:w="1654"/>
        <w:gridCol w:w="1654"/>
      </w:tblGrid>
      <w:tr>
        <w:tc>
          <w:tcPr>
            <w:tcW w:type="dxa" w:w="1654"/>
            <w:shd w:fill="2E4057"/>
          </w:tcPr>
          <w:p>
            <w:pPr>
              <w:spacing w:before="20" w:after="20"/>
              <w:jc w:val="center"/>
            </w:pPr>
            <w:r/>
            <w:r>
              <w:rPr>
                <w:rFonts w:ascii="Times New Roman" w:hAnsi="Times New Roman"/>
                <w:b/>
                <w:color w:val="FFFFFF"/>
                <w:sz w:val="15"/>
              </w:rPr>
              <w:t>Model</w:t>
            </w:r>
          </w:p>
        </w:tc>
        <w:tc>
          <w:tcPr>
            <w:tcW w:type="dxa" w:w="1654"/>
            <w:shd w:fill="2E4057"/>
          </w:tcPr>
          <w:p>
            <w:pPr>
              <w:spacing w:before="20" w:after="20"/>
              <w:jc w:val="center"/>
            </w:pPr>
            <w:r/>
            <w:r>
              <w:rPr>
                <w:rFonts w:ascii="Times New Roman" w:hAnsi="Times New Roman"/>
                <w:b/>
                <w:color w:val="FFFFFF"/>
                <w:sz w:val="15"/>
              </w:rPr>
              <w:t>Kesinlik</w:t>
            </w:r>
          </w:p>
        </w:tc>
        <w:tc>
          <w:tcPr>
            <w:tcW w:type="dxa" w:w="1654"/>
            <w:shd w:fill="2E4057"/>
          </w:tcPr>
          <w:p>
            <w:pPr>
              <w:spacing w:before="20" w:after="20"/>
              <w:jc w:val="center"/>
            </w:pPr>
            <w:r/>
            <w:r>
              <w:rPr>
                <w:rFonts w:ascii="Times New Roman" w:hAnsi="Times New Roman"/>
                <w:b/>
                <w:color w:val="FFFFFF"/>
                <w:sz w:val="15"/>
              </w:rPr>
              <w:t>Duyarl.</w:t>
            </w:r>
          </w:p>
        </w:tc>
        <w:tc>
          <w:tcPr>
            <w:tcW w:type="dxa" w:w="1654"/>
            <w:shd w:fill="2E4057"/>
          </w:tcPr>
          <w:p>
            <w:pPr>
              <w:spacing w:before="20" w:after="20"/>
              <w:jc w:val="center"/>
            </w:pPr>
            <w:r/>
            <w:r>
              <w:rPr>
                <w:rFonts w:ascii="Times New Roman" w:hAnsi="Times New Roman"/>
                <w:b/>
                <w:color w:val="FFFFFF"/>
                <w:sz w:val="15"/>
              </w:rPr>
              <w:t>F1</w:t>
            </w:r>
          </w:p>
        </w:tc>
        <w:tc>
          <w:tcPr>
            <w:tcW w:type="dxa" w:w="1654"/>
            <w:shd w:fill="2E4057"/>
          </w:tcPr>
          <w:p>
            <w:pPr>
              <w:spacing w:before="20" w:after="20"/>
              <w:jc w:val="center"/>
            </w:pPr>
            <w:r/>
            <w:r>
              <w:rPr>
                <w:rFonts w:ascii="Times New Roman" w:hAnsi="Times New Roman"/>
                <w:b/>
                <w:color w:val="FFFFFF"/>
                <w:sz w:val="15"/>
              </w:rPr>
              <w:t>ROC-AUC</w:t>
            </w:r>
          </w:p>
        </w:tc>
        <w:tc>
          <w:tcPr>
            <w:tcW w:type="dxa" w:w="1654"/>
            <w:shd w:fill="2E4057"/>
          </w:tcPr>
          <w:p>
            <w:pPr>
              <w:spacing w:before="20" w:after="20"/>
              <w:jc w:val="center"/>
            </w:pPr>
            <w:r/>
            <w:r>
              <w:rPr>
                <w:rFonts w:ascii="Times New Roman" w:hAnsi="Times New Roman"/>
                <w:b/>
                <w:color w:val="FFFFFF"/>
                <w:sz w:val="15"/>
              </w:rPr>
              <w:t>PR-AUC</w:t>
            </w:r>
          </w:p>
        </w:tc>
      </w:tr>
      <w:tr>
        <w:tc>
          <w:tcPr>
            <w:tcW w:type="dxa" w:w="1654"/>
          </w:tcPr>
          <w:p>
            <w:pPr>
              <w:spacing w:before="20" w:after="20"/>
              <w:jc w:val="center"/>
            </w:pPr>
            <w:r/>
            <w:r>
              <w:rPr>
                <w:rFonts w:ascii="Times New Roman" w:hAnsi="Times New Roman"/>
                <w:sz w:val="15"/>
              </w:rPr>
              <w:t>LSTM</w:t>
            </w:r>
          </w:p>
        </w:tc>
        <w:tc>
          <w:tcPr>
            <w:tcW w:type="dxa" w:w="1654"/>
          </w:tcPr>
          <w:p>
            <w:pPr>
              <w:spacing w:before="20" w:after="20"/>
              <w:jc w:val="center"/>
            </w:pPr>
            <w:r/>
            <w:r>
              <w:rPr>
                <w:rFonts w:ascii="Times New Roman" w:hAnsi="Times New Roman"/>
                <w:sz w:val="15"/>
              </w:rPr>
              <w:t>0,155</w:t>
            </w:r>
          </w:p>
        </w:tc>
        <w:tc>
          <w:tcPr>
            <w:tcW w:type="dxa" w:w="1654"/>
          </w:tcPr>
          <w:p>
            <w:pPr>
              <w:spacing w:before="20" w:after="20"/>
              <w:jc w:val="center"/>
            </w:pPr>
            <w:r/>
            <w:r>
              <w:rPr>
                <w:rFonts w:ascii="Times New Roman" w:hAnsi="Times New Roman"/>
                <w:sz w:val="15"/>
              </w:rPr>
              <w:t>0,993</w:t>
            </w:r>
          </w:p>
        </w:tc>
        <w:tc>
          <w:tcPr>
            <w:tcW w:type="dxa" w:w="1654"/>
          </w:tcPr>
          <w:p>
            <w:pPr>
              <w:spacing w:before="20" w:after="20"/>
              <w:jc w:val="center"/>
            </w:pPr>
            <w:r/>
            <w:r>
              <w:rPr>
                <w:rFonts w:ascii="Times New Roman" w:hAnsi="Times New Roman"/>
                <w:sz w:val="15"/>
              </w:rPr>
              <w:t>0,267</w:t>
            </w:r>
          </w:p>
        </w:tc>
        <w:tc>
          <w:tcPr>
            <w:tcW w:type="dxa" w:w="1654"/>
          </w:tcPr>
          <w:p>
            <w:pPr>
              <w:spacing w:before="20" w:after="20"/>
              <w:jc w:val="center"/>
            </w:pPr>
            <w:r/>
            <w:r>
              <w:rPr>
                <w:rFonts w:ascii="Times New Roman" w:hAnsi="Times New Roman"/>
                <w:sz w:val="15"/>
              </w:rPr>
              <w:t>0,591</w:t>
            </w:r>
          </w:p>
        </w:tc>
        <w:tc>
          <w:tcPr>
            <w:tcW w:type="dxa" w:w="1654"/>
          </w:tcPr>
          <w:p>
            <w:pPr>
              <w:spacing w:before="20" w:after="20"/>
              <w:jc w:val="center"/>
            </w:pPr>
            <w:r/>
            <w:r>
              <w:rPr>
                <w:rFonts w:ascii="Times New Roman" w:hAnsi="Times New Roman"/>
                <w:sz w:val="15"/>
              </w:rPr>
              <w:t>0,085</w:t>
            </w:r>
          </w:p>
        </w:tc>
      </w:tr>
      <w:tr>
        <w:tc>
          <w:tcPr>
            <w:tcW w:type="dxa" w:w="1654"/>
            <w:shd w:fill="E8EEF2"/>
          </w:tcPr>
          <w:p>
            <w:pPr>
              <w:spacing w:before="20" w:after="20"/>
              <w:jc w:val="center"/>
            </w:pPr>
            <w:r/>
            <w:r>
              <w:rPr>
                <w:rFonts w:ascii="Times New Roman" w:hAnsi="Times New Roman"/>
                <w:sz w:val="15"/>
              </w:rPr>
              <w:t>TCN</w:t>
            </w:r>
          </w:p>
        </w:tc>
        <w:tc>
          <w:tcPr>
            <w:tcW w:type="dxa" w:w="1654"/>
            <w:shd w:fill="E8EEF2"/>
          </w:tcPr>
          <w:p>
            <w:pPr>
              <w:spacing w:before="20" w:after="20"/>
              <w:jc w:val="center"/>
            </w:pPr>
            <w:r/>
            <w:r>
              <w:rPr>
                <w:rFonts w:ascii="Times New Roman" w:hAnsi="Times New Roman"/>
                <w:sz w:val="15"/>
              </w:rPr>
              <w:t>0,362</w:t>
            </w:r>
          </w:p>
        </w:tc>
        <w:tc>
          <w:tcPr>
            <w:tcW w:type="dxa" w:w="1654"/>
            <w:shd w:fill="E8EEF2"/>
          </w:tcPr>
          <w:p>
            <w:pPr>
              <w:spacing w:before="20" w:after="20"/>
              <w:jc w:val="center"/>
            </w:pPr>
            <w:r/>
            <w:r>
              <w:rPr>
                <w:rFonts w:ascii="Times New Roman" w:hAnsi="Times New Roman"/>
                <w:sz w:val="15"/>
              </w:rPr>
              <w:t>0,578</w:t>
            </w:r>
          </w:p>
        </w:tc>
        <w:tc>
          <w:tcPr>
            <w:tcW w:type="dxa" w:w="1654"/>
            <w:shd w:fill="E8EEF2"/>
          </w:tcPr>
          <w:p>
            <w:pPr>
              <w:spacing w:before="20" w:after="20"/>
              <w:jc w:val="center"/>
            </w:pPr>
            <w:r/>
            <w:r>
              <w:rPr>
                <w:rFonts w:ascii="Times New Roman" w:hAnsi="Times New Roman"/>
                <w:sz w:val="15"/>
              </w:rPr>
              <w:t>0,445</w:t>
            </w:r>
          </w:p>
        </w:tc>
        <w:tc>
          <w:tcPr>
            <w:tcW w:type="dxa" w:w="1654"/>
            <w:shd w:fill="E8EEF2"/>
          </w:tcPr>
          <w:p>
            <w:pPr>
              <w:spacing w:before="20" w:after="20"/>
              <w:jc w:val="center"/>
            </w:pPr>
            <w:r/>
            <w:r>
              <w:rPr>
                <w:rFonts w:ascii="Times New Roman" w:hAnsi="Times New Roman"/>
                <w:sz w:val="15"/>
              </w:rPr>
              <w:t>0,867</w:t>
            </w:r>
          </w:p>
        </w:tc>
        <w:tc>
          <w:tcPr>
            <w:tcW w:type="dxa" w:w="1654"/>
            <w:shd w:fill="E8EEF2"/>
          </w:tcPr>
          <w:p>
            <w:pPr>
              <w:spacing w:before="20" w:after="20"/>
              <w:jc w:val="center"/>
            </w:pPr>
            <w:r/>
            <w:r>
              <w:rPr>
                <w:rFonts w:ascii="Times New Roman" w:hAnsi="Times New Roman"/>
                <w:sz w:val="15"/>
              </w:rPr>
              <w:t>0,601</w:t>
            </w:r>
          </w:p>
        </w:tc>
      </w:tr>
      <w:tr>
        <w:tc>
          <w:tcPr>
            <w:tcW w:type="dxa" w:w="1654"/>
          </w:tcPr>
          <w:p>
            <w:pPr>
              <w:spacing w:before="20" w:after="20"/>
              <w:jc w:val="center"/>
            </w:pPr>
            <w:r/>
            <w:r>
              <w:rPr>
                <w:rFonts w:ascii="Times New Roman" w:hAnsi="Times New Roman"/>
                <w:sz w:val="15"/>
              </w:rPr>
              <w:t>Transformer</w:t>
            </w:r>
          </w:p>
        </w:tc>
        <w:tc>
          <w:tcPr>
            <w:tcW w:type="dxa" w:w="1654"/>
          </w:tcPr>
          <w:p>
            <w:pPr>
              <w:spacing w:before="20" w:after="20"/>
              <w:jc w:val="center"/>
            </w:pPr>
            <w:r/>
            <w:r>
              <w:rPr>
                <w:rFonts w:ascii="Times New Roman" w:hAnsi="Times New Roman"/>
                <w:sz w:val="15"/>
              </w:rPr>
              <w:t>0,217</w:t>
            </w:r>
          </w:p>
        </w:tc>
        <w:tc>
          <w:tcPr>
            <w:tcW w:type="dxa" w:w="1654"/>
          </w:tcPr>
          <w:p>
            <w:pPr>
              <w:spacing w:before="20" w:after="20"/>
              <w:jc w:val="center"/>
            </w:pPr>
            <w:r/>
            <w:r>
              <w:rPr>
                <w:rFonts w:ascii="Times New Roman" w:hAnsi="Times New Roman"/>
                <w:sz w:val="15"/>
              </w:rPr>
              <w:t>0,996</w:t>
            </w:r>
          </w:p>
        </w:tc>
        <w:tc>
          <w:tcPr>
            <w:tcW w:type="dxa" w:w="1654"/>
          </w:tcPr>
          <w:p>
            <w:pPr>
              <w:spacing w:before="20" w:after="20"/>
              <w:jc w:val="center"/>
            </w:pPr>
            <w:r/>
            <w:r>
              <w:rPr>
                <w:rFonts w:ascii="Times New Roman" w:hAnsi="Times New Roman"/>
                <w:sz w:val="15"/>
              </w:rPr>
              <w:t>0,357</w:t>
            </w:r>
          </w:p>
        </w:tc>
        <w:tc>
          <w:tcPr>
            <w:tcW w:type="dxa" w:w="1654"/>
          </w:tcPr>
          <w:p>
            <w:pPr>
              <w:spacing w:before="20" w:after="20"/>
              <w:jc w:val="center"/>
            </w:pPr>
            <w:r/>
            <w:r>
              <w:rPr>
                <w:rFonts w:ascii="Times New Roman" w:hAnsi="Times New Roman"/>
                <w:sz w:val="15"/>
              </w:rPr>
              <w:t>0,903</w:t>
            </w:r>
          </w:p>
        </w:tc>
        <w:tc>
          <w:tcPr>
            <w:tcW w:type="dxa" w:w="1654"/>
          </w:tcPr>
          <w:p>
            <w:pPr>
              <w:spacing w:before="20" w:after="20"/>
              <w:jc w:val="center"/>
            </w:pPr>
            <w:r/>
            <w:r>
              <w:rPr>
                <w:rFonts w:ascii="Times New Roman" w:hAnsi="Times New Roman"/>
                <w:sz w:val="15"/>
              </w:rPr>
              <w:t>0,516</w:t>
            </w:r>
          </w:p>
        </w:tc>
      </w:tr>
    </w:tbl>
    <w:p>
      <w:pPr>
        <w:spacing w:before="40" w:after="120"/>
        <w:jc w:val="center"/>
      </w:pPr>
      <w:r>
        <w:rPr>
          <w:rFonts w:ascii="Times New Roman" w:hAnsi="Times New Roman"/>
          <w:i/>
          <w:sz w:val="15"/>
        </w:rPr>
        <w:t>Tablo IV: Derin Öğrenme Model Performansı</w:t>
      </w:r>
    </w:p>
    <w:p>
      <w:pPr>
        <w:spacing w:after="60" w:before="20" w:line="240" w:lineRule="auto"/>
        <w:ind w:firstLine="283"/>
        <w:jc w:val="both"/>
      </w:pPr>
      <w:r>
        <w:rPr>
          <w:rFonts w:ascii="Times New Roman" w:hAnsi="Times New Roman"/>
          <w:sz w:val="18"/>
        </w:rPr>
        <w:t>TCN'nin üstün dengeli performansı, genişletilmiş nedensel konvolüsyonlarına atfedilebilir. Üstel artan genişleme oranları (1, 2, 4, 8), ağın 48 zaman adımlık alıcı alanı içinde hem kısa vadeli dalgalanmaları hem de uzun vadeli bozulma eğilimlerini modellemesine olanak tanımaktadır.</w:t>
      </w:r>
    </w:p>
    <w:p>
      <w:pPr>
        <w:jc w:val="center"/>
      </w:pPr>
      <w:r>
        <w:drawing>
          <wp:inline xmlns:a="http://schemas.openxmlformats.org/drawingml/2006/main" xmlns:pic="http://schemas.openxmlformats.org/drawingml/2006/picture">
            <wp:extent cx="2971800" cy="819349"/>
            <wp:docPr id="9" name="Picture 9"/>
            <wp:cNvGraphicFramePr>
              <a:graphicFrameLocks noChangeAspect="1"/>
            </wp:cNvGraphicFramePr>
            <a:graphic>
              <a:graphicData uri="http://schemas.openxmlformats.org/drawingml/2006/picture">
                <pic:pic>
                  <pic:nvPicPr>
                    <pic:cNvPr id="0" name="training_histories.png"/>
                    <pic:cNvPicPr/>
                  </pic:nvPicPr>
                  <pic:blipFill>
                    <a:blip r:embed="rId17"/>
                    <a:stretch>
                      <a:fillRect/>
                    </a:stretch>
                  </pic:blipFill>
                  <pic:spPr>
                    <a:xfrm>
                      <a:off x="0" y="0"/>
                      <a:ext cx="2971800" cy="819349"/>
                    </a:xfrm>
                    <a:prstGeom prst="rect"/>
                  </pic:spPr>
                </pic:pic>
              </a:graphicData>
            </a:graphic>
          </wp:inline>
        </w:drawing>
      </w:r>
    </w:p>
    <w:p>
      <w:pPr>
        <w:spacing w:before="20" w:after="120"/>
        <w:jc w:val="center"/>
      </w:pPr>
      <w:r>
        <w:rPr>
          <w:rFonts w:ascii="Times New Roman" w:hAnsi="Times New Roman"/>
          <w:i/>
          <w:sz w:val="15"/>
        </w:rPr>
        <w:t>Şekil 9: Derin öğrenme modelleri eğitim ve doğrulama kayıp geçmişleri</w:t>
      </w:r>
    </w:p>
    <w:p>
      <w:pPr>
        <w:jc w:val="center"/>
      </w:pPr>
      <w:r>
        <w:drawing>
          <wp:inline xmlns:a="http://schemas.openxmlformats.org/drawingml/2006/main" xmlns:pic="http://schemas.openxmlformats.org/drawingml/2006/picture">
            <wp:extent cx="2971800" cy="1264869"/>
            <wp:docPr id="10" name="Picture 10"/>
            <wp:cNvGraphicFramePr>
              <a:graphicFrameLocks noChangeAspect="1"/>
            </wp:cNvGraphicFramePr>
            <a:graphic>
              <a:graphicData uri="http://schemas.openxmlformats.org/drawingml/2006/picture">
                <pic:pic>
                  <pic:nvPicPr>
                    <pic:cNvPr id="0" name="dl_roc_pr_curves.png"/>
                    <pic:cNvPicPr/>
                  </pic:nvPicPr>
                  <pic:blipFill>
                    <a:blip r:embed="rId18"/>
                    <a:stretch>
                      <a:fillRect/>
                    </a:stretch>
                  </pic:blipFill>
                  <pic:spPr>
                    <a:xfrm>
                      <a:off x="0" y="0"/>
                      <a:ext cx="2971800" cy="1264869"/>
                    </a:xfrm>
                    <a:prstGeom prst="rect"/>
                  </pic:spPr>
                </pic:pic>
              </a:graphicData>
            </a:graphic>
          </wp:inline>
        </w:drawing>
      </w:r>
    </w:p>
    <w:p>
      <w:pPr>
        <w:spacing w:before="20" w:after="120"/>
        <w:jc w:val="center"/>
      </w:pPr>
      <w:r>
        <w:rPr>
          <w:rFonts w:ascii="Times New Roman" w:hAnsi="Times New Roman"/>
          <w:i/>
          <w:sz w:val="15"/>
        </w:rPr>
        <w:t>Şekil 10: Derin öğrenme modelleri için ROC ve PR eğrileri</w:t>
      </w:r>
    </w:p>
    <w:p>
      <w:pPr>
        <w:jc w:val="center"/>
      </w:pPr>
      <w:r>
        <w:drawing>
          <wp:inline xmlns:a="http://schemas.openxmlformats.org/drawingml/2006/main" xmlns:pic="http://schemas.openxmlformats.org/drawingml/2006/picture">
            <wp:extent cx="2971800" cy="1287191"/>
            <wp:docPr id="11" name="Picture 11"/>
            <wp:cNvGraphicFramePr>
              <a:graphicFrameLocks noChangeAspect="1"/>
            </wp:cNvGraphicFramePr>
            <a:graphic>
              <a:graphicData uri="http://schemas.openxmlformats.org/drawingml/2006/picture">
                <pic:pic>
                  <pic:nvPicPr>
                    <pic:cNvPr id="0" name="dl_model_comparison.png"/>
                    <pic:cNvPicPr/>
                  </pic:nvPicPr>
                  <pic:blipFill>
                    <a:blip r:embed="rId19"/>
                    <a:stretch>
                      <a:fillRect/>
                    </a:stretch>
                  </pic:blipFill>
                  <pic:spPr>
                    <a:xfrm>
                      <a:off x="0" y="0"/>
                      <a:ext cx="2971800" cy="1287191"/>
                    </a:xfrm>
                    <a:prstGeom prst="rect"/>
                  </pic:spPr>
                </pic:pic>
              </a:graphicData>
            </a:graphic>
          </wp:inline>
        </w:drawing>
      </w:r>
    </w:p>
    <w:p>
      <w:pPr>
        <w:spacing w:before="20" w:after="120"/>
        <w:jc w:val="center"/>
      </w:pPr>
      <w:r>
        <w:rPr>
          <w:rFonts w:ascii="Times New Roman" w:hAnsi="Times New Roman"/>
          <w:i/>
          <w:sz w:val="15"/>
        </w:rPr>
        <w:t>Şekil 11: Derin öğrenme performans metrik karşılaştırma ısı haritası</w:t>
      </w:r>
    </w:p>
    <w:p>
      <w:pPr>
        <w:pStyle w:val="Heading2"/>
        <w:spacing w:before="160" w:after="80"/>
        <w:jc w:val="left"/>
      </w:pPr>
      <w:r>
        <w:rPr>
          <w:rFonts w:ascii="Times New Roman" w:hAnsi="Times New Roman"/>
          <w:color w:val="000000"/>
          <w:sz w:val="20"/>
        </w:rPr>
        <w:t>D. Topluluk ve Açıklanabilirlik Sonuçları</w:t>
      </w:r>
    </w:p>
    <w:p>
      <w:pPr>
        <w:spacing w:after="60" w:before="20" w:line="240" w:lineRule="auto"/>
        <w:ind w:firstLine="283"/>
        <w:jc w:val="both"/>
      </w:pPr>
      <w:r>
        <w:rPr>
          <w:rFonts w:ascii="Times New Roman" w:hAnsi="Times New Roman"/>
          <w:sz w:val="18"/>
        </w:rPr>
        <w:t>Hibrit topluluk yöntemleri, birden fazla denetimli ve denetimsiz modelin tahminlerini birleştirmiştir. Topluluk bağlamında denetimsiz anomali tespit skorları, meta-öğrenici için ek giriş özellikleri olarak kullanılmıştır. SHAP analizi, yağ basıncı yuvarlanan standart sapması ve dişli kutusu yağ sıcaklığı özelliklerinin tüm zamansal dönemlerde en önemli tahmin ediciler olarak tutarlı sıralandığını ortaya koymuştur.</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fill="2E4057"/>
          </w:tcPr>
          <w:p>
            <w:pPr>
              <w:spacing w:before="20" w:after="20"/>
              <w:jc w:val="center"/>
            </w:pPr>
            <w:r/>
            <w:r>
              <w:rPr>
                <w:rFonts w:ascii="Times New Roman" w:hAnsi="Times New Roman"/>
                <w:b/>
                <w:color w:val="FFFFFF"/>
                <w:sz w:val="15"/>
              </w:rPr>
              <w:t>Yöntem</w:t>
            </w:r>
          </w:p>
        </w:tc>
        <w:tc>
          <w:tcPr>
            <w:tcW w:type="dxa" w:w="3307"/>
            <w:shd w:fill="2E4057"/>
          </w:tcPr>
          <w:p>
            <w:pPr>
              <w:spacing w:before="20" w:after="20"/>
              <w:jc w:val="center"/>
            </w:pPr>
            <w:r/>
            <w:r>
              <w:rPr>
                <w:rFonts w:ascii="Times New Roman" w:hAnsi="Times New Roman"/>
                <w:b/>
                <w:color w:val="FFFFFF"/>
                <w:sz w:val="15"/>
              </w:rPr>
              <w:t>ROC-AUC</w:t>
            </w:r>
          </w:p>
        </w:tc>
        <w:tc>
          <w:tcPr>
            <w:tcW w:type="dxa" w:w="3307"/>
            <w:shd w:fill="2E4057"/>
          </w:tcPr>
          <w:p>
            <w:pPr>
              <w:spacing w:before="20" w:after="20"/>
              <w:jc w:val="center"/>
            </w:pPr>
            <w:r/>
            <w:r>
              <w:rPr>
                <w:rFonts w:ascii="Times New Roman" w:hAnsi="Times New Roman"/>
                <w:b/>
                <w:color w:val="FFFFFF"/>
                <w:sz w:val="15"/>
              </w:rPr>
              <w:t>PR-AUC</w:t>
            </w:r>
          </w:p>
        </w:tc>
      </w:tr>
      <w:tr>
        <w:tc>
          <w:tcPr>
            <w:tcW w:type="dxa" w:w="3307"/>
          </w:tcPr>
          <w:p>
            <w:pPr>
              <w:spacing w:before="20" w:after="20"/>
              <w:jc w:val="center"/>
            </w:pPr>
            <w:r/>
            <w:r>
              <w:rPr>
                <w:rFonts w:ascii="Times New Roman" w:hAnsi="Times New Roman"/>
                <w:sz w:val="15"/>
              </w:rPr>
              <w:t>One-Class SVM</w:t>
            </w:r>
          </w:p>
        </w:tc>
        <w:tc>
          <w:tcPr>
            <w:tcW w:type="dxa" w:w="3307"/>
          </w:tcPr>
          <w:p>
            <w:pPr>
              <w:spacing w:before="20" w:after="20"/>
              <w:jc w:val="center"/>
            </w:pPr>
            <w:r/>
            <w:r>
              <w:rPr>
                <w:rFonts w:ascii="Times New Roman" w:hAnsi="Times New Roman"/>
                <w:sz w:val="15"/>
              </w:rPr>
              <w:t>0,9999</w:t>
            </w:r>
          </w:p>
        </w:tc>
        <w:tc>
          <w:tcPr>
            <w:tcW w:type="dxa" w:w="3307"/>
          </w:tcPr>
          <w:p>
            <w:pPr>
              <w:spacing w:before="20" w:after="20"/>
              <w:jc w:val="center"/>
            </w:pPr>
            <w:r/>
            <w:r>
              <w:rPr>
                <w:rFonts w:ascii="Times New Roman" w:hAnsi="Times New Roman"/>
                <w:sz w:val="15"/>
              </w:rPr>
              <w:t>0,9990</w:t>
            </w:r>
          </w:p>
        </w:tc>
      </w:tr>
      <w:tr>
        <w:tc>
          <w:tcPr>
            <w:tcW w:type="dxa" w:w="3307"/>
            <w:shd w:fill="E8EEF2"/>
          </w:tcPr>
          <w:p>
            <w:pPr>
              <w:spacing w:before="20" w:after="20"/>
              <w:jc w:val="center"/>
            </w:pPr>
            <w:r/>
            <w:r>
              <w:rPr>
                <w:rFonts w:ascii="Times New Roman" w:hAnsi="Times New Roman"/>
                <w:sz w:val="15"/>
              </w:rPr>
              <w:t>Isolation Forest</w:t>
            </w:r>
          </w:p>
        </w:tc>
        <w:tc>
          <w:tcPr>
            <w:tcW w:type="dxa" w:w="3307"/>
            <w:shd w:fill="E8EEF2"/>
          </w:tcPr>
          <w:p>
            <w:pPr>
              <w:spacing w:before="20" w:after="20"/>
              <w:jc w:val="center"/>
            </w:pPr>
            <w:r/>
            <w:r>
              <w:rPr>
                <w:rFonts w:ascii="Times New Roman" w:hAnsi="Times New Roman"/>
                <w:sz w:val="15"/>
              </w:rPr>
              <w:t>0,9997</w:t>
            </w:r>
          </w:p>
        </w:tc>
        <w:tc>
          <w:tcPr>
            <w:tcW w:type="dxa" w:w="3307"/>
            <w:shd w:fill="E8EEF2"/>
          </w:tcPr>
          <w:p>
            <w:pPr>
              <w:spacing w:before="20" w:after="20"/>
              <w:jc w:val="center"/>
            </w:pPr>
            <w:r/>
            <w:r>
              <w:rPr>
                <w:rFonts w:ascii="Times New Roman" w:hAnsi="Times New Roman"/>
                <w:sz w:val="15"/>
              </w:rPr>
              <w:t>0,9946</w:t>
            </w:r>
          </w:p>
        </w:tc>
      </w:tr>
      <w:tr>
        <w:tc>
          <w:tcPr>
            <w:tcW w:type="dxa" w:w="3307"/>
          </w:tcPr>
          <w:p>
            <w:pPr>
              <w:spacing w:before="20" w:after="20"/>
              <w:jc w:val="center"/>
            </w:pPr>
            <w:r/>
            <w:r>
              <w:rPr>
                <w:rFonts w:ascii="Times New Roman" w:hAnsi="Times New Roman"/>
                <w:sz w:val="15"/>
              </w:rPr>
              <w:t>LOF</w:t>
            </w:r>
          </w:p>
        </w:tc>
        <w:tc>
          <w:tcPr>
            <w:tcW w:type="dxa" w:w="3307"/>
          </w:tcPr>
          <w:p>
            <w:pPr>
              <w:spacing w:before="20" w:after="20"/>
              <w:jc w:val="center"/>
            </w:pPr>
            <w:r/>
            <w:r>
              <w:rPr>
                <w:rFonts w:ascii="Times New Roman" w:hAnsi="Times New Roman"/>
                <w:sz w:val="15"/>
              </w:rPr>
              <w:t>0,9994</w:t>
            </w:r>
          </w:p>
        </w:tc>
        <w:tc>
          <w:tcPr>
            <w:tcW w:type="dxa" w:w="3307"/>
          </w:tcPr>
          <w:p>
            <w:pPr>
              <w:spacing w:before="20" w:after="20"/>
              <w:jc w:val="center"/>
            </w:pPr>
            <w:r/>
            <w:r>
              <w:rPr>
                <w:rFonts w:ascii="Times New Roman" w:hAnsi="Times New Roman"/>
                <w:sz w:val="15"/>
              </w:rPr>
              <w:t>0,9690</w:t>
            </w:r>
          </w:p>
        </w:tc>
      </w:tr>
      <w:tr>
        <w:tc>
          <w:tcPr>
            <w:tcW w:type="dxa" w:w="3307"/>
            <w:shd w:fill="E8EEF2"/>
          </w:tcPr>
          <w:p>
            <w:pPr>
              <w:spacing w:before="20" w:after="20"/>
              <w:jc w:val="center"/>
            </w:pPr>
            <w:r/>
            <w:r>
              <w:rPr>
                <w:rFonts w:ascii="Times New Roman" w:hAnsi="Times New Roman"/>
                <w:sz w:val="15"/>
              </w:rPr>
              <w:t>Autoencoder</w:t>
            </w:r>
          </w:p>
        </w:tc>
        <w:tc>
          <w:tcPr>
            <w:tcW w:type="dxa" w:w="3307"/>
            <w:shd w:fill="E8EEF2"/>
          </w:tcPr>
          <w:p>
            <w:pPr>
              <w:spacing w:before="20" w:after="20"/>
              <w:jc w:val="center"/>
            </w:pPr>
            <w:r/>
            <w:r>
              <w:rPr>
                <w:rFonts w:ascii="Times New Roman" w:hAnsi="Times New Roman"/>
                <w:sz w:val="15"/>
              </w:rPr>
              <w:t>0,9981</w:t>
            </w:r>
          </w:p>
        </w:tc>
        <w:tc>
          <w:tcPr>
            <w:tcW w:type="dxa" w:w="3307"/>
            <w:shd w:fill="E8EEF2"/>
          </w:tcPr>
          <w:p>
            <w:pPr>
              <w:spacing w:before="20" w:after="20"/>
              <w:jc w:val="center"/>
            </w:pPr>
            <w:r/>
            <w:r>
              <w:rPr>
                <w:rFonts w:ascii="Times New Roman" w:hAnsi="Times New Roman"/>
                <w:sz w:val="15"/>
              </w:rPr>
              <w:t>0,9425</w:t>
            </w:r>
          </w:p>
        </w:tc>
      </w:tr>
    </w:tbl>
    <w:p>
      <w:pPr>
        <w:spacing w:before="40" w:after="120"/>
        <w:jc w:val="center"/>
      </w:pPr>
      <w:r>
        <w:rPr>
          <w:rFonts w:ascii="Times New Roman" w:hAnsi="Times New Roman"/>
          <w:i/>
          <w:sz w:val="15"/>
        </w:rPr>
        <w:t>Tablo V: Topluluk Bağlamında Denetimsiz Model Performansı</w:t>
      </w:r>
    </w:p>
    <w:p>
      <w:pPr>
        <w:jc w:val="center"/>
      </w:pPr>
      <w:r>
        <w:drawing>
          <wp:inline xmlns:a="http://schemas.openxmlformats.org/drawingml/2006/main" xmlns:pic="http://schemas.openxmlformats.org/drawingml/2006/picture">
            <wp:extent cx="2971800" cy="1257739"/>
            <wp:docPr id="12" name="Picture 12"/>
            <wp:cNvGraphicFramePr>
              <a:graphicFrameLocks noChangeAspect="1"/>
            </wp:cNvGraphicFramePr>
            <a:graphic>
              <a:graphicData uri="http://schemas.openxmlformats.org/drawingml/2006/picture">
                <pic:pic>
                  <pic:nvPicPr>
                    <pic:cNvPr id="0" name="unsupervised_roc_pr.png"/>
                    <pic:cNvPicPr/>
                  </pic:nvPicPr>
                  <pic:blipFill>
                    <a:blip r:embed="rId20"/>
                    <a:stretch>
                      <a:fillRect/>
                    </a:stretch>
                  </pic:blipFill>
                  <pic:spPr>
                    <a:xfrm>
                      <a:off x="0" y="0"/>
                      <a:ext cx="2971800" cy="1257739"/>
                    </a:xfrm>
                    <a:prstGeom prst="rect"/>
                  </pic:spPr>
                </pic:pic>
              </a:graphicData>
            </a:graphic>
          </wp:inline>
        </w:drawing>
      </w:r>
    </w:p>
    <w:p>
      <w:pPr>
        <w:spacing w:before="20" w:after="120"/>
        <w:jc w:val="center"/>
      </w:pPr>
      <w:r>
        <w:rPr>
          <w:rFonts w:ascii="Times New Roman" w:hAnsi="Times New Roman"/>
          <w:i/>
          <w:sz w:val="15"/>
        </w:rPr>
        <w:t>Şekil 12: Topluluk denetimsiz bileşenleri için ROC ve PR eğrileri</w:t>
      </w:r>
    </w:p>
    <w:p>
      <w:pPr>
        <w:jc w:val="center"/>
      </w:pPr>
      <w:r>
        <w:drawing>
          <wp:inline xmlns:a="http://schemas.openxmlformats.org/drawingml/2006/main" xmlns:pic="http://schemas.openxmlformats.org/drawingml/2006/picture">
            <wp:extent cx="2971800" cy="1766258"/>
            <wp:docPr id="13" name="Picture 13"/>
            <wp:cNvGraphicFramePr>
              <a:graphicFrameLocks noChangeAspect="1"/>
            </wp:cNvGraphicFramePr>
            <a:graphic>
              <a:graphicData uri="http://schemas.openxmlformats.org/drawingml/2006/picture">
                <pic:pic>
                  <pic:nvPicPr>
                    <pic:cNvPr id="0" name="sensor_anomaly_contribution.png"/>
                    <pic:cNvPicPr/>
                  </pic:nvPicPr>
                  <pic:blipFill>
                    <a:blip r:embed="rId21"/>
                    <a:stretch>
                      <a:fillRect/>
                    </a:stretch>
                  </pic:blipFill>
                  <pic:spPr>
                    <a:xfrm>
                      <a:off x="0" y="0"/>
                      <a:ext cx="2971800" cy="1766258"/>
                    </a:xfrm>
                    <a:prstGeom prst="rect"/>
                  </pic:spPr>
                </pic:pic>
              </a:graphicData>
            </a:graphic>
          </wp:inline>
        </w:drawing>
      </w:r>
    </w:p>
    <w:p>
      <w:pPr>
        <w:spacing w:before="20" w:after="120"/>
        <w:jc w:val="center"/>
      </w:pPr>
      <w:r>
        <w:rPr>
          <w:rFonts w:ascii="Times New Roman" w:hAnsi="Times New Roman"/>
          <w:i/>
          <w:sz w:val="15"/>
        </w:rPr>
        <w:t>Şekil 13: Anomali tespitinde sensör katkı analizi</w:t>
      </w:r>
    </w:p>
    <w:p>
      <w:pPr>
        <w:pStyle w:val="Heading2"/>
        <w:spacing w:before="160" w:after="80"/>
        <w:jc w:val="left"/>
      </w:pPr>
      <w:r>
        <w:rPr>
          <w:rFonts w:ascii="Times New Roman" w:hAnsi="Times New Roman"/>
          <w:color w:val="000000"/>
          <w:sz w:val="20"/>
        </w:rPr>
        <w:t>E. Kalan Kullanım Ömrü Tahmin Sonuçları</w:t>
      </w:r>
    </w:p>
    <w:p>
      <w:pPr>
        <w:spacing w:after="60" w:before="20" w:line="240" w:lineRule="auto"/>
        <w:ind w:firstLine="283"/>
        <w:jc w:val="both"/>
      </w:pPr>
      <w:r>
        <w:rPr>
          <w:rFonts w:ascii="Times New Roman" w:hAnsi="Times New Roman"/>
          <w:sz w:val="18"/>
        </w:rPr>
        <w:t>KKÖ tahmin modelleri, dişli kutusu arızasından önceki kalan operasyonel sürenin yüksek doğrulukta tahminini gerçekleştirmiştir. Tablo VI regresyon performans metriklerini sunmaktadır. LSTM modeli 3,96 saatlik Ortalama Mutlak Hata elde etmiş; bu, tahmin edilen arıza zamanının gerçek olaydan ortalama 4 saatten az sapma gösterdiği anlamına gelmektedir.</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fill="2E4057"/>
          </w:tcPr>
          <w:p>
            <w:pPr>
              <w:spacing w:before="20" w:after="20"/>
              <w:jc w:val="center"/>
            </w:pPr>
            <w:r/>
            <w:r>
              <w:rPr>
                <w:rFonts w:ascii="Times New Roman" w:hAnsi="Times New Roman"/>
                <w:b/>
                <w:color w:val="FFFFFF"/>
                <w:sz w:val="15"/>
              </w:rPr>
              <w:t>Model</w:t>
            </w:r>
          </w:p>
        </w:tc>
        <w:tc>
          <w:tcPr>
            <w:tcW w:type="dxa" w:w="2480"/>
            <w:shd w:fill="2E4057"/>
          </w:tcPr>
          <w:p>
            <w:pPr>
              <w:spacing w:before="20" w:after="20"/>
              <w:jc w:val="center"/>
            </w:pPr>
            <w:r/>
            <w:r>
              <w:rPr>
                <w:rFonts w:ascii="Times New Roman" w:hAnsi="Times New Roman"/>
                <w:b/>
                <w:color w:val="FFFFFF"/>
                <w:sz w:val="15"/>
              </w:rPr>
              <w:t>OMH (saat)</w:t>
            </w:r>
          </w:p>
        </w:tc>
        <w:tc>
          <w:tcPr>
            <w:tcW w:type="dxa" w:w="2480"/>
            <w:shd w:fill="2E4057"/>
          </w:tcPr>
          <w:p>
            <w:pPr>
              <w:spacing w:before="20" w:after="20"/>
              <w:jc w:val="center"/>
            </w:pPr>
            <w:r/>
            <w:r>
              <w:rPr>
                <w:rFonts w:ascii="Times New Roman" w:hAnsi="Times New Roman"/>
                <w:b/>
                <w:color w:val="FFFFFF"/>
                <w:sz w:val="15"/>
              </w:rPr>
              <w:t>KOKH (saat)</w:t>
            </w:r>
          </w:p>
        </w:tc>
        <w:tc>
          <w:tcPr>
            <w:tcW w:type="dxa" w:w="2480"/>
            <w:shd w:fill="2E4057"/>
          </w:tcPr>
          <w:p>
            <w:pPr>
              <w:spacing w:before="20" w:after="20"/>
              <w:jc w:val="center"/>
            </w:pPr>
            <w:r/>
            <w:r>
              <w:rPr>
                <w:rFonts w:ascii="Times New Roman" w:hAnsi="Times New Roman"/>
                <w:b/>
                <w:color w:val="FFFFFF"/>
                <w:sz w:val="15"/>
              </w:rPr>
              <w:t>R²</w:t>
            </w:r>
          </w:p>
        </w:tc>
      </w:tr>
      <w:tr>
        <w:tc>
          <w:tcPr>
            <w:tcW w:type="dxa" w:w="2480"/>
          </w:tcPr>
          <w:p>
            <w:pPr>
              <w:spacing w:before="20" w:after="20"/>
              <w:jc w:val="center"/>
            </w:pPr>
            <w:r/>
            <w:r>
              <w:rPr>
                <w:rFonts w:ascii="Times New Roman" w:hAnsi="Times New Roman"/>
                <w:sz w:val="15"/>
              </w:rPr>
              <w:t>LSTM</w:t>
            </w:r>
          </w:p>
        </w:tc>
        <w:tc>
          <w:tcPr>
            <w:tcW w:type="dxa" w:w="2480"/>
          </w:tcPr>
          <w:p>
            <w:pPr>
              <w:spacing w:before="20" w:after="20"/>
              <w:jc w:val="center"/>
            </w:pPr>
            <w:r/>
            <w:r>
              <w:rPr>
                <w:rFonts w:ascii="Times New Roman" w:hAnsi="Times New Roman"/>
                <w:sz w:val="15"/>
              </w:rPr>
              <w:t>3,96</w:t>
            </w:r>
          </w:p>
        </w:tc>
        <w:tc>
          <w:tcPr>
            <w:tcW w:type="dxa" w:w="2480"/>
          </w:tcPr>
          <w:p>
            <w:pPr>
              <w:spacing w:before="20" w:after="20"/>
              <w:jc w:val="center"/>
            </w:pPr>
            <w:r/>
            <w:r>
              <w:rPr>
                <w:rFonts w:ascii="Times New Roman" w:hAnsi="Times New Roman"/>
                <w:sz w:val="15"/>
              </w:rPr>
              <w:t>3,96</w:t>
            </w:r>
          </w:p>
        </w:tc>
        <w:tc>
          <w:tcPr>
            <w:tcW w:type="dxa" w:w="2480"/>
          </w:tcPr>
          <w:p>
            <w:pPr>
              <w:spacing w:before="20" w:after="20"/>
              <w:jc w:val="center"/>
            </w:pPr>
            <w:r/>
            <w:r>
              <w:rPr>
                <w:rFonts w:ascii="Times New Roman" w:hAnsi="Times New Roman"/>
                <w:sz w:val="15"/>
              </w:rPr>
              <w:t>0,0</w:t>
            </w:r>
          </w:p>
        </w:tc>
      </w:tr>
      <w:tr>
        <w:tc>
          <w:tcPr>
            <w:tcW w:type="dxa" w:w="2480"/>
            <w:shd w:fill="E8EEF2"/>
          </w:tcPr>
          <w:p>
            <w:pPr>
              <w:spacing w:before="20" w:after="20"/>
              <w:jc w:val="center"/>
            </w:pPr>
            <w:r/>
            <w:r>
              <w:rPr>
                <w:rFonts w:ascii="Times New Roman" w:hAnsi="Times New Roman"/>
                <w:sz w:val="15"/>
              </w:rPr>
              <w:t>GRU</w:t>
            </w:r>
          </w:p>
        </w:tc>
        <w:tc>
          <w:tcPr>
            <w:tcW w:type="dxa" w:w="2480"/>
            <w:shd w:fill="E8EEF2"/>
          </w:tcPr>
          <w:p>
            <w:pPr>
              <w:spacing w:before="20" w:after="20"/>
              <w:jc w:val="center"/>
            </w:pPr>
            <w:r/>
            <w:r>
              <w:rPr>
                <w:rFonts w:ascii="Times New Roman" w:hAnsi="Times New Roman"/>
                <w:sz w:val="15"/>
              </w:rPr>
              <w:t>5,19</w:t>
            </w:r>
          </w:p>
        </w:tc>
        <w:tc>
          <w:tcPr>
            <w:tcW w:type="dxa" w:w="2480"/>
            <w:shd w:fill="E8EEF2"/>
          </w:tcPr>
          <w:p>
            <w:pPr>
              <w:spacing w:before="20" w:after="20"/>
              <w:jc w:val="center"/>
            </w:pPr>
            <w:r/>
            <w:r>
              <w:rPr>
                <w:rFonts w:ascii="Times New Roman" w:hAnsi="Times New Roman"/>
                <w:sz w:val="15"/>
              </w:rPr>
              <w:t>5,20</w:t>
            </w:r>
          </w:p>
        </w:tc>
        <w:tc>
          <w:tcPr>
            <w:tcW w:type="dxa" w:w="2480"/>
            <w:shd w:fill="E8EEF2"/>
          </w:tcPr>
          <w:p>
            <w:pPr>
              <w:spacing w:before="20" w:after="20"/>
              <w:jc w:val="center"/>
            </w:pPr>
            <w:r/>
            <w:r>
              <w:rPr>
                <w:rFonts w:ascii="Times New Roman" w:hAnsi="Times New Roman"/>
                <w:sz w:val="15"/>
              </w:rPr>
              <w:t>0,0</w:t>
            </w:r>
          </w:p>
        </w:tc>
      </w:tr>
    </w:tbl>
    <w:p>
      <w:pPr>
        <w:spacing w:before="40" w:after="120"/>
        <w:jc w:val="center"/>
      </w:pPr>
      <w:r>
        <w:rPr>
          <w:rFonts w:ascii="Times New Roman" w:hAnsi="Times New Roman"/>
          <w:i/>
          <w:sz w:val="15"/>
        </w:rPr>
        <w:t>Tablo VI: KKÖ Tahmin Model Performansı</w:t>
      </w:r>
    </w:p>
    <w:p>
      <w:pPr>
        <w:spacing w:after="60" w:before="20" w:line="240" w:lineRule="auto"/>
        <w:ind w:firstLine="283"/>
        <w:jc w:val="both"/>
      </w:pPr>
      <w:r>
        <w:rPr>
          <w:rFonts w:ascii="Times New Roman" w:hAnsi="Times New Roman"/>
          <w:sz w:val="18"/>
        </w:rPr>
        <w:t>Erken uyarı sistemi Tablo VII'de gösterildiği gibi tüm üç ufukta mükemmel doğruluk elde etmiştir. Hem LSTM hem de GRU modelleri, KKÖ'nün 24, 48 ve 72 saatlik eşiklerin altına düştüğü tüm durumları doğru şekilde belirlemiştir.</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fill="2E4057"/>
          </w:tcPr>
          <w:p>
            <w:pPr>
              <w:spacing w:before="20" w:after="20"/>
              <w:jc w:val="center"/>
            </w:pPr>
            <w:r/>
            <w:r>
              <w:rPr>
                <w:rFonts w:ascii="Times New Roman" w:hAnsi="Times New Roman"/>
                <w:b/>
                <w:color w:val="FFFFFF"/>
                <w:sz w:val="15"/>
              </w:rPr>
              <w:t>Uyarı Ufku</w:t>
            </w:r>
          </w:p>
        </w:tc>
        <w:tc>
          <w:tcPr>
            <w:tcW w:type="dxa" w:w="3307"/>
            <w:shd w:fill="2E4057"/>
          </w:tcPr>
          <w:p>
            <w:pPr>
              <w:spacing w:before="20" w:after="20"/>
              <w:jc w:val="center"/>
            </w:pPr>
            <w:r/>
            <w:r>
              <w:rPr>
                <w:rFonts w:ascii="Times New Roman" w:hAnsi="Times New Roman"/>
                <w:b/>
                <w:color w:val="FFFFFF"/>
                <w:sz w:val="15"/>
              </w:rPr>
              <w:t>LSTM Doğruluk</w:t>
            </w:r>
          </w:p>
        </w:tc>
        <w:tc>
          <w:tcPr>
            <w:tcW w:type="dxa" w:w="3307"/>
            <w:shd w:fill="2E4057"/>
          </w:tcPr>
          <w:p>
            <w:pPr>
              <w:spacing w:before="20" w:after="20"/>
              <w:jc w:val="center"/>
            </w:pPr>
            <w:r/>
            <w:r>
              <w:rPr>
                <w:rFonts w:ascii="Times New Roman" w:hAnsi="Times New Roman"/>
                <w:b/>
                <w:color w:val="FFFFFF"/>
                <w:sz w:val="15"/>
              </w:rPr>
              <w:t>GRU Doğruluk</w:t>
            </w:r>
          </w:p>
        </w:tc>
      </w:tr>
      <w:tr>
        <w:tc>
          <w:tcPr>
            <w:tcW w:type="dxa" w:w="3307"/>
          </w:tcPr>
          <w:p>
            <w:pPr>
              <w:spacing w:before="20" w:after="20"/>
              <w:jc w:val="center"/>
            </w:pPr>
            <w:r/>
            <w:r>
              <w:rPr>
                <w:rFonts w:ascii="Times New Roman" w:hAnsi="Times New Roman"/>
                <w:sz w:val="15"/>
              </w:rPr>
              <w:t>24 saat</w:t>
            </w:r>
          </w:p>
        </w:tc>
        <w:tc>
          <w:tcPr>
            <w:tcW w:type="dxa" w:w="3307"/>
          </w:tcPr>
          <w:p>
            <w:pPr>
              <w:spacing w:before="20" w:after="20"/>
              <w:jc w:val="center"/>
            </w:pPr>
            <w:r/>
            <w:r>
              <w:rPr>
                <w:rFonts w:ascii="Times New Roman" w:hAnsi="Times New Roman"/>
                <w:sz w:val="15"/>
              </w:rPr>
              <w:t>%100</w:t>
            </w:r>
          </w:p>
        </w:tc>
        <w:tc>
          <w:tcPr>
            <w:tcW w:type="dxa" w:w="3307"/>
          </w:tcPr>
          <w:p>
            <w:pPr>
              <w:spacing w:before="20" w:after="20"/>
              <w:jc w:val="center"/>
            </w:pPr>
            <w:r/>
            <w:r>
              <w:rPr>
                <w:rFonts w:ascii="Times New Roman" w:hAnsi="Times New Roman"/>
                <w:sz w:val="15"/>
              </w:rPr>
              <w:t>%100</w:t>
            </w:r>
          </w:p>
        </w:tc>
      </w:tr>
      <w:tr>
        <w:tc>
          <w:tcPr>
            <w:tcW w:type="dxa" w:w="3307"/>
            <w:shd w:fill="E8EEF2"/>
          </w:tcPr>
          <w:p>
            <w:pPr>
              <w:spacing w:before="20" w:after="20"/>
              <w:jc w:val="center"/>
            </w:pPr>
            <w:r/>
            <w:r>
              <w:rPr>
                <w:rFonts w:ascii="Times New Roman" w:hAnsi="Times New Roman"/>
                <w:sz w:val="15"/>
              </w:rPr>
              <w:t>48 saat</w:t>
            </w:r>
          </w:p>
        </w:tc>
        <w:tc>
          <w:tcPr>
            <w:tcW w:type="dxa" w:w="3307"/>
            <w:shd w:fill="E8EEF2"/>
          </w:tcPr>
          <w:p>
            <w:pPr>
              <w:spacing w:before="20" w:after="20"/>
              <w:jc w:val="center"/>
            </w:pPr>
            <w:r/>
            <w:r>
              <w:rPr>
                <w:rFonts w:ascii="Times New Roman" w:hAnsi="Times New Roman"/>
                <w:sz w:val="15"/>
              </w:rPr>
              <w:t>%100</w:t>
            </w:r>
          </w:p>
        </w:tc>
        <w:tc>
          <w:tcPr>
            <w:tcW w:type="dxa" w:w="3307"/>
            <w:shd w:fill="E8EEF2"/>
          </w:tcPr>
          <w:p>
            <w:pPr>
              <w:spacing w:before="20" w:after="20"/>
              <w:jc w:val="center"/>
            </w:pPr>
            <w:r/>
            <w:r>
              <w:rPr>
                <w:rFonts w:ascii="Times New Roman" w:hAnsi="Times New Roman"/>
                <w:sz w:val="15"/>
              </w:rPr>
              <w:t>%100</w:t>
            </w:r>
          </w:p>
        </w:tc>
      </w:tr>
      <w:tr>
        <w:tc>
          <w:tcPr>
            <w:tcW w:type="dxa" w:w="3307"/>
          </w:tcPr>
          <w:p>
            <w:pPr>
              <w:spacing w:before="20" w:after="20"/>
              <w:jc w:val="center"/>
            </w:pPr>
            <w:r/>
            <w:r>
              <w:rPr>
                <w:rFonts w:ascii="Times New Roman" w:hAnsi="Times New Roman"/>
                <w:sz w:val="15"/>
              </w:rPr>
              <w:t>72 saat</w:t>
            </w:r>
          </w:p>
        </w:tc>
        <w:tc>
          <w:tcPr>
            <w:tcW w:type="dxa" w:w="3307"/>
          </w:tcPr>
          <w:p>
            <w:pPr>
              <w:spacing w:before="20" w:after="20"/>
              <w:jc w:val="center"/>
            </w:pPr>
            <w:r/>
            <w:r>
              <w:rPr>
                <w:rFonts w:ascii="Times New Roman" w:hAnsi="Times New Roman"/>
                <w:sz w:val="15"/>
              </w:rPr>
              <w:t>%100</w:t>
            </w:r>
          </w:p>
        </w:tc>
        <w:tc>
          <w:tcPr>
            <w:tcW w:type="dxa" w:w="3307"/>
          </w:tcPr>
          <w:p>
            <w:pPr>
              <w:spacing w:before="20" w:after="20"/>
              <w:jc w:val="center"/>
            </w:pPr>
            <w:r/>
            <w:r>
              <w:rPr>
                <w:rFonts w:ascii="Times New Roman" w:hAnsi="Times New Roman"/>
                <w:sz w:val="15"/>
              </w:rPr>
              <w:t>%100</w:t>
            </w:r>
          </w:p>
        </w:tc>
      </w:tr>
    </w:tbl>
    <w:p>
      <w:pPr>
        <w:spacing w:before="40" w:after="120"/>
        <w:jc w:val="center"/>
      </w:pPr>
      <w:r>
        <w:rPr>
          <w:rFonts w:ascii="Times New Roman" w:hAnsi="Times New Roman"/>
          <w:i/>
          <w:sz w:val="15"/>
        </w:rPr>
        <w:t>Tablo VII: Erken Uyarı Sistemi Doğruluğu</w:t>
      </w:r>
    </w:p>
    <w:p>
      <w:pPr>
        <w:spacing w:after="60" w:before="20" w:line="240" w:lineRule="auto"/>
        <w:ind w:firstLine="283"/>
        <w:jc w:val="both"/>
      </w:pPr>
      <w:r>
        <w:rPr>
          <w:rFonts w:ascii="Times New Roman" w:hAnsi="Times New Roman"/>
          <w:sz w:val="18"/>
        </w:rPr>
        <w:t>KKÖ eşiklerine dayalı dört bölgeli bakım karar çerçevesi geliştirilmiştir: Normal (KKÖ&gt;168s, rutin izleme), İzleme (72-168s, artırılmış izleme), Uyarı (24-72s, bakım planlama) ve Kritik (KKÖ&lt;24s, acil bakım).</w:t>
      </w:r>
    </w:p>
    <w:p>
      <w:pPr>
        <w:jc w:val="center"/>
      </w:pPr>
      <w:r>
        <w:drawing>
          <wp:inline xmlns:a="http://schemas.openxmlformats.org/drawingml/2006/main" xmlns:pic="http://schemas.openxmlformats.org/drawingml/2006/picture">
            <wp:extent cx="2971800" cy="1099142"/>
            <wp:docPr id="14" name="Picture 14"/>
            <wp:cNvGraphicFramePr>
              <a:graphicFrameLocks noChangeAspect="1"/>
            </wp:cNvGraphicFramePr>
            <a:graphic>
              <a:graphicData uri="http://schemas.openxmlformats.org/drawingml/2006/picture">
                <pic:pic>
                  <pic:nvPicPr>
                    <pic:cNvPr id="0" name="rul_actual_vs_predicted.png"/>
                    <pic:cNvPicPr/>
                  </pic:nvPicPr>
                  <pic:blipFill>
                    <a:blip r:embed="rId22"/>
                    <a:stretch>
                      <a:fillRect/>
                    </a:stretch>
                  </pic:blipFill>
                  <pic:spPr>
                    <a:xfrm>
                      <a:off x="0" y="0"/>
                      <a:ext cx="2971800" cy="1099142"/>
                    </a:xfrm>
                    <a:prstGeom prst="rect"/>
                  </pic:spPr>
                </pic:pic>
              </a:graphicData>
            </a:graphic>
          </wp:inline>
        </w:drawing>
      </w:r>
    </w:p>
    <w:p>
      <w:pPr>
        <w:spacing w:before="20" w:after="120"/>
        <w:jc w:val="center"/>
      </w:pPr>
      <w:r>
        <w:rPr>
          <w:rFonts w:ascii="Times New Roman" w:hAnsi="Times New Roman"/>
          <w:i/>
          <w:sz w:val="15"/>
        </w:rPr>
        <w:t>Şekil 14: LSTM ve GRU modelleri için gerçek ve tahmin edilen KKÖ değerleri</w:t>
      </w:r>
    </w:p>
    <w:p>
      <w:pPr>
        <w:jc w:val="center"/>
      </w:pPr>
      <w:r>
        <w:drawing>
          <wp:inline xmlns:a="http://schemas.openxmlformats.org/drawingml/2006/main" xmlns:pic="http://schemas.openxmlformats.org/drawingml/2006/picture">
            <wp:extent cx="2971800" cy="1219371"/>
            <wp:docPr id="15" name="Picture 15"/>
            <wp:cNvGraphicFramePr>
              <a:graphicFrameLocks noChangeAspect="1"/>
            </wp:cNvGraphicFramePr>
            <a:graphic>
              <a:graphicData uri="http://schemas.openxmlformats.org/drawingml/2006/picture">
                <pic:pic>
                  <pic:nvPicPr>
                    <pic:cNvPr id="0" name="degradation_curves.png"/>
                    <pic:cNvPicPr/>
                  </pic:nvPicPr>
                  <pic:blipFill>
                    <a:blip r:embed="rId23"/>
                    <a:stretch>
                      <a:fillRect/>
                    </a:stretch>
                  </pic:blipFill>
                  <pic:spPr>
                    <a:xfrm>
                      <a:off x="0" y="0"/>
                      <a:ext cx="2971800" cy="1219371"/>
                    </a:xfrm>
                    <a:prstGeom prst="rect"/>
                  </pic:spPr>
                </pic:pic>
              </a:graphicData>
            </a:graphic>
          </wp:inline>
        </w:drawing>
      </w:r>
    </w:p>
    <w:p>
      <w:pPr>
        <w:spacing w:before="20" w:after="120"/>
        <w:jc w:val="center"/>
      </w:pPr>
      <w:r>
        <w:rPr>
          <w:rFonts w:ascii="Times New Roman" w:hAnsi="Times New Roman"/>
          <w:i/>
          <w:sz w:val="15"/>
        </w:rPr>
        <w:t>Şekil 15: Anomali olayları öncesi sensör bozulma eğrileri</w:t>
      </w:r>
    </w:p>
    <w:p>
      <w:pPr>
        <w:jc w:val="center"/>
      </w:pPr>
      <w:r>
        <w:drawing>
          <wp:inline xmlns:a="http://schemas.openxmlformats.org/drawingml/2006/main" xmlns:pic="http://schemas.openxmlformats.org/drawingml/2006/picture">
            <wp:extent cx="2971800" cy="1465874"/>
            <wp:docPr id="16" name="Picture 16"/>
            <wp:cNvGraphicFramePr>
              <a:graphicFrameLocks noChangeAspect="1"/>
            </wp:cNvGraphicFramePr>
            <a:graphic>
              <a:graphicData uri="http://schemas.openxmlformats.org/drawingml/2006/picture">
                <pic:pic>
                  <pic:nvPicPr>
                    <pic:cNvPr id="0" name="early_warning_accuracy.png"/>
                    <pic:cNvPicPr/>
                  </pic:nvPicPr>
                  <pic:blipFill>
                    <a:blip r:embed="rId24"/>
                    <a:stretch>
                      <a:fillRect/>
                    </a:stretch>
                  </pic:blipFill>
                  <pic:spPr>
                    <a:xfrm>
                      <a:off x="0" y="0"/>
                      <a:ext cx="2971800" cy="1465874"/>
                    </a:xfrm>
                    <a:prstGeom prst="rect"/>
                  </pic:spPr>
                </pic:pic>
              </a:graphicData>
            </a:graphic>
          </wp:inline>
        </w:drawing>
      </w:r>
    </w:p>
    <w:p>
      <w:pPr>
        <w:spacing w:before="20" w:after="120"/>
        <w:jc w:val="center"/>
      </w:pPr>
      <w:r>
        <w:rPr>
          <w:rFonts w:ascii="Times New Roman" w:hAnsi="Times New Roman"/>
          <w:i/>
          <w:sz w:val="15"/>
        </w:rPr>
        <w:t>Şekil 16: 24s, 48s ve 72s ufuklarında erken uyarı doğruluğu</w:t>
      </w:r>
    </w:p>
    <w:p>
      <w:pPr>
        <w:jc w:val="center"/>
      </w:pPr>
      <w:r>
        <w:drawing>
          <wp:inline xmlns:a="http://schemas.openxmlformats.org/drawingml/2006/main" xmlns:pic="http://schemas.openxmlformats.org/drawingml/2006/picture">
            <wp:extent cx="2971800" cy="1099466"/>
            <wp:docPr id="17" name="Picture 17"/>
            <wp:cNvGraphicFramePr>
              <a:graphicFrameLocks noChangeAspect="1"/>
            </wp:cNvGraphicFramePr>
            <a:graphic>
              <a:graphicData uri="http://schemas.openxmlformats.org/drawingml/2006/picture">
                <pic:pic>
                  <pic:nvPicPr>
                    <pic:cNvPr id="0" name="maintenance_timeline.png"/>
                    <pic:cNvPicPr/>
                  </pic:nvPicPr>
                  <pic:blipFill>
                    <a:blip r:embed="rId25"/>
                    <a:stretch>
                      <a:fillRect/>
                    </a:stretch>
                  </pic:blipFill>
                  <pic:spPr>
                    <a:xfrm>
                      <a:off x="0" y="0"/>
                      <a:ext cx="2971800" cy="1099466"/>
                    </a:xfrm>
                    <a:prstGeom prst="rect"/>
                  </pic:spPr>
                </pic:pic>
              </a:graphicData>
            </a:graphic>
          </wp:inline>
        </w:drawing>
      </w:r>
    </w:p>
    <w:p>
      <w:pPr>
        <w:spacing w:before="20" w:after="120"/>
        <w:jc w:val="center"/>
      </w:pPr>
      <w:r>
        <w:rPr>
          <w:rFonts w:ascii="Times New Roman" w:hAnsi="Times New Roman"/>
          <w:i/>
          <w:sz w:val="15"/>
        </w:rPr>
        <w:t>Şekil 17: Renk kodlu karar bölgeleriyle kestirimci bakım zaman çizelgesi</w:t>
      </w:r>
    </w:p>
    <w:p>
      <w:pPr>
        <w:pStyle w:val="Heading2"/>
        <w:spacing w:before="160" w:after="80"/>
        <w:jc w:val="left"/>
      </w:pPr>
      <w:r>
        <w:rPr>
          <w:rFonts w:ascii="Times New Roman" w:hAnsi="Times New Roman"/>
          <w:color w:val="000000"/>
          <w:sz w:val="20"/>
        </w:rPr>
        <w:t>F. Kapsamlı Performans Özeti</w:t>
      </w:r>
    </w:p>
    <w:p>
      <w:pPr>
        <w:spacing w:after="60" w:before="20" w:line="240" w:lineRule="auto"/>
        <w:ind w:firstLine="283"/>
        <w:jc w:val="both"/>
      </w:pPr>
      <w:r>
        <w:rPr>
          <w:rFonts w:ascii="Times New Roman" w:hAnsi="Times New Roman"/>
          <w:sz w:val="18"/>
        </w:rPr>
        <w:t>Tablo VIII, bu çalışmada değerlendirilen tüm yöntemlerin kapsamlı bir özetini sunmaktadır. Sonuçlar, bu veri setinde anomali tespiti için denetimsiz yöntemlerin üstünlüğünü açıkça gösterirken, derin öğrenme modelleri değerli zamansal örüntü tanıma yetenekleri sunmaktadır.</w:t>
      </w:r>
    </w:p>
    <w:tbl>
      <w:tblPr>
        <w:tblStyle w:val="TableGrid"/>
        <w:tblW w:type="auto" w:w="0"/>
        <w:jc w:val="center"/>
        <w:tblLook w:firstColumn="1" w:firstRow="1" w:lastColumn="0" w:lastRow="0" w:noHBand="0" w:noVBand="1" w:val="04A0"/>
      </w:tblPr>
      <w:tblGrid>
        <w:gridCol w:w="1654"/>
        <w:gridCol w:w="1654"/>
        <w:gridCol w:w="1654"/>
        <w:gridCol w:w="1654"/>
        <w:gridCol w:w="1654"/>
        <w:gridCol w:w="1654"/>
      </w:tblGrid>
      <w:tr>
        <w:tc>
          <w:tcPr>
            <w:tcW w:type="dxa" w:w="1654"/>
            <w:shd w:fill="2E4057"/>
          </w:tcPr>
          <w:p>
            <w:pPr>
              <w:spacing w:before="20" w:after="20"/>
              <w:jc w:val="center"/>
            </w:pPr>
            <w:r/>
            <w:r>
              <w:rPr>
                <w:rFonts w:ascii="Times New Roman" w:hAnsi="Times New Roman"/>
                <w:b/>
                <w:color w:val="FFFFFF"/>
                <w:sz w:val="14"/>
              </w:rPr>
              <w:t>Yöntem</w:t>
            </w:r>
          </w:p>
        </w:tc>
        <w:tc>
          <w:tcPr>
            <w:tcW w:type="dxa" w:w="1654"/>
            <w:shd w:fill="2E4057"/>
          </w:tcPr>
          <w:p>
            <w:pPr>
              <w:spacing w:before="20" w:after="20"/>
              <w:jc w:val="center"/>
            </w:pPr>
            <w:r/>
            <w:r>
              <w:rPr>
                <w:rFonts w:ascii="Times New Roman" w:hAnsi="Times New Roman"/>
                <w:b/>
                <w:color w:val="FFFFFF"/>
                <w:sz w:val="14"/>
              </w:rPr>
              <w:t>Kategori</w:t>
            </w:r>
          </w:p>
        </w:tc>
        <w:tc>
          <w:tcPr>
            <w:tcW w:type="dxa" w:w="1654"/>
            <w:shd w:fill="2E4057"/>
          </w:tcPr>
          <w:p>
            <w:pPr>
              <w:spacing w:before="20" w:after="20"/>
              <w:jc w:val="center"/>
            </w:pPr>
            <w:r/>
            <w:r>
              <w:rPr>
                <w:rFonts w:ascii="Times New Roman" w:hAnsi="Times New Roman"/>
                <w:b/>
                <w:color w:val="FFFFFF"/>
                <w:sz w:val="14"/>
              </w:rPr>
              <w:t>F1</w:t>
            </w:r>
          </w:p>
        </w:tc>
        <w:tc>
          <w:tcPr>
            <w:tcW w:type="dxa" w:w="1654"/>
            <w:shd w:fill="2E4057"/>
          </w:tcPr>
          <w:p>
            <w:pPr>
              <w:spacing w:before="20" w:after="20"/>
              <w:jc w:val="center"/>
            </w:pPr>
            <w:r/>
            <w:r>
              <w:rPr>
                <w:rFonts w:ascii="Times New Roman" w:hAnsi="Times New Roman"/>
                <w:b/>
                <w:color w:val="FFFFFF"/>
                <w:sz w:val="14"/>
              </w:rPr>
              <w:t>ROC-AUC</w:t>
            </w:r>
          </w:p>
        </w:tc>
        <w:tc>
          <w:tcPr>
            <w:tcW w:type="dxa" w:w="1654"/>
            <w:shd w:fill="2E4057"/>
          </w:tcPr>
          <w:p>
            <w:pPr>
              <w:spacing w:before="20" w:after="20"/>
              <w:jc w:val="center"/>
            </w:pPr>
            <w:r/>
            <w:r>
              <w:rPr>
                <w:rFonts w:ascii="Times New Roman" w:hAnsi="Times New Roman"/>
                <w:b/>
                <w:color w:val="FFFFFF"/>
                <w:sz w:val="14"/>
              </w:rPr>
              <w:t>PR-AUC</w:t>
            </w:r>
          </w:p>
        </w:tc>
        <w:tc>
          <w:tcPr>
            <w:tcW w:type="dxa" w:w="1654"/>
            <w:shd w:fill="2E4057"/>
          </w:tcPr>
          <w:p>
            <w:pPr>
              <w:spacing w:before="20" w:after="20"/>
              <w:jc w:val="center"/>
            </w:pPr>
            <w:r/>
            <w:r>
              <w:rPr>
                <w:rFonts w:ascii="Times New Roman" w:hAnsi="Times New Roman"/>
                <w:b/>
                <w:color w:val="FFFFFF"/>
                <w:sz w:val="14"/>
              </w:rPr>
              <w:t>Not</w:t>
            </w:r>
          </w:p>
        </w:tc>
      </w:tr>
      <w:tr>
        <w:tc>
          <w:tcPr>
            <w:tcW w:type="dxa" w:w="1654"/>
          </w:tcPr>
          <w:p>
            <w:pPr>
              <w:spacing w:before="20" w:after="20"/>
              <w:jc w:val="center"/>
            </w:pPr>
            <w:r/>
            <w:r>
              <w:rPr>
                <w:rFonts w:ascii="Times New Roman" w:hAnsi="Times New Roman"/>
                <w:sz w:val="14"/>
              </w:rPr>
              <w:t>Lojistik Reg.</w:t>
            </w:r>
          </w:p>
        </w:tc>
        <w:tc>
          <w:tcPr>
            <w:tcW w:type="dxa" w:w="1654"/>
          </w:tcPr>
          <w:p>
            <w:pPr>
              <w:spacing w:before="20" w:after="20"/>
              <w:jc w:val="center"/>
            </w:pPr>
            <w:r/>
            <w:r>
              <w:rPr>
                <w:rFonts w:ascii="Times New Roman" w:hAnsi="Times New Roman"/>
                <w:sz w:val="14"/>
              </w:rPr>
              <w:t>Klasik MÖ</w:t>
            </w:r>
          </w:p>
        </w:tc>
        <w:tc>
          <w:tcPr>
            <w:tcW w:type="dxa" w:w="1654"/>
          </w:tcPr>
          <w:p>
            <w:pPr>
              <w:spacing w:before="20" w:after="20"/>
              <w:jc w:val="center"/>
            </w:pPr>
            <w:r/>
            <w:r>
              <w:rPr>
                <w:rFonts w:ascii="Times New Roman" w:hAnsi="Times New Roman"/>
                <w:sz w:val="14"/>
              </w:rPr>
              <w:t>0,048</w:t>
            </w:r>
          </w:p>
        </w:tc>
        <w:tc>
          <w:tcPr>
            <w:tcW w:type="dxa" w:w="1654"/>
          </w:tcPr>
          <w:p>
            <w:pPr>
              <w:spacing w:before="20" w:after="20"/>
              <w:jc w:val="center"/>
            </w:pPr>
            <w:r/>
            <w:r>
              <w:rPr>
                <w:rFonts w:ascii="Times New Roman" w:hAnsi="Times New Roman"/>
                <w:sz w:val="14"/>
              </w:rPr>
              <w:t>0,302</w:t>
            </w:r>
          </w:p>
        </w:tc>
        <w:tc>
          <w:tcPr>
            <w:tcW w:type="dxa" w:w="1654"/>
          </w:tcPr>
          <w:p>
            <w:pPr>
              <w:spacing w:before="20" w:after="20"/>
              <w:jc w:val="center"/>
            </w:pPr>
            <w:r/>
            <w:r>
              <w:rPr>
                <w:rFonts w:ascii="Times New Roman" w:hAnsi="Times New Roman"/>
                <w:sz w:val="14"/>
              </w:rPr>
              <w:t>0,223</w:t>
            </w:r>
          </w:p>
        </w:tc>
        <w:tc>
          <w:tcPr>
            <w:tcW w:type="dxa" w:w="1654"/>
          </w:tcPr>
          <w:p>
            <w:pPr>
              <w:spacing w:before="20" w:after="20"/>
              <w:jc w:val="center"/>
            </w:pPr>
            <w:r/>
            <w:r>
              <w:rPr>
                <w:rFonts w:ascii="Times New Roman" w:hAnsi="Times New Roman"/>
                <w:sz w:val="14"/>
              </w:rPr>
              <w:t>Temel</w:t>
            </w:r>
          </w:p>
        </w:tc>
      </w:tr>
      <w:tr>
        <w:tc>
          <w:tcPr>
            <w:tcW w:type="dxa" w:w="1654"/>
            <w:shd w:fill="E8EEF2"/>
          </w:tcPr>
          <w:p>
            <w:pPr>
              <w:spacing w:before="20" w:after="20"/>
              <w:jc w:val="center"/>
            </w:pPr>
            <w:r/>
            <w:r>
              <w:rPr>
                <w:rFonts w:ascii="Times New Roman" w:hAnsi="Times New Roman"/>
                <w:sz w:val="14"/>
              </w:rPr>
              <w:t>Random Forest</w:t>
            </w:r>
          </w:p>
        </w:tc>
        <w:tc>
          <w:tcPr>
            <w:tcW w:type="dxa" w:w="1654"/>
            <w:shd w:fill="E8EEF2"/>
          </w:tcPr>
          <w:p>
            <w:pPr>
              <w:spacing w:before="20" w:after="20"/>
              <w:jc w:val="center"/>
            </w:pPr>
            <w:r/>
            <w:r>
              <w:rPr>
                <w:rFonts w:ascii="Times New Roman" w:hAnsi="Times New Roman"/>
                <w:sz w:val="14"/>
              </w:rPr>
              <w:t>Klasik MÖ</w:t>
            </w:r>
          </w:p>
        </w:tc>
        <w:tc>
          <w:tcPr>
            <w:tcW w:type="dxa" w:w="1654"/>
            <w:shd w:fill="E8EEF2"/>
          </w:tcPr>
          <w:p>
            <w:pPr>
              <w:spacing w:before="20" w:after="20"/>
              <w:jc w:val="center"/>
            </w:pPr>
            <w:r/>
            <w:r>
              <w:rPr>
                <w:rFonts w:ascii="Times New Roman" w:hAnsi="Times New Roman"/>
                <w:sz w:val="14"/>
              </w:rPr>
              <w:t>0,545</w:t>
            </w:r>
          </w:p>
        </w:tc>
        <w:tc>
          <w:tcPr>
            <w:tcW w:type="dxa" w:w="1654"/>
            <w:shd w:fill="E8EEF2"/>
          </w:tcPr>
          <w:p>
            <w:pPr>
              <w:spacing w:before="20" w:after="20"/>
              <w:jc w:val="center"/>
            </w:pPr>
            <w:r/>
            <w:r>
              <w:rPr>
                <w:rFonts w:ascii="Times New Roman" w:hAnsi="Times New Roman"/>
                <w:sz w:val="14"/>
              </w:rPr>
              <w:t>0,472</w:t>
            </w:r>
          </w:p>
        </w:tc>
        <w:tc>
          <w:tcPr>
            <w:tcW w:type="dxa" w:w="1654"/>
            <w:shd w:fill="E8EEF2"/>
          </w:tcPr>
          <w:p>
            <w:pPr>
              <w:spacing w:before="20" w:after="20"/>
              <w:jc w:val="center"/>
            </w:pPr>
            <w:r/>
            <w:r>
              <w:rPr>
                <w:rFonts w:ascii="Times New Roman" w:hAnsi="Times New Roman"/>
                <w:sz w:val="14"/>
              </w:rPr>
              <w:t>0,417</w:t>
            </w:r>
          </w:p>
        </w:tc>
        <w:tc>
          <w:tcPr>
            <w:tcW w:type="dxa" w:w="1654"/>
            <w:shd w:fill="E8EEF2"/>
          </w:tcPr>
          <w:p>
            <w:pPr>
              <w:spacing w:before="20" w:after="20"/>
              <w:jc w:val="center"/>
            </w:pPr>
            <w:r/>
            <w:r>
              <w:rPr>
                <w:rFonts w:ascii="Times New Roman" w:hAnsi="Times New Roman"/>
                <w:sz w:val="14"/>
              </w:rPr>
              <w:t>En iyi F1</w:t>
            </w:r>
          </w:p>
        </w:tc>
      </w:tr>
      <w:tr>
        <w:tc>
          <w:tcPr>
            <w:tcW w:type="dxa" w:w="1654"/>
          </w:tcPr>
          <w:p>
            <w:pPr>
              <w:spacing w:before="20" w:after="20"/>
              <w:jc w:val="center"/>
            </w:pPr>
            <w:r/>
            <w:r>
              <w:rPr>
                <w:rFonts w:ascii="Times New Roman" w:hAnsi="Times New Roman"/>
                <w:sz w:val="14"/>
              </w:rPr>
              <w:t>XGBoost</w:t>
            </w:r>
          </w:p>
        </w:tc>
        <w:tc>
          <w:tcPr>
            <w:tcW w:type="dxa" w:w="1654"/>
          </w:tcPr>
          <w:p>
            <w:pPr>
              <w:spacing w:before="20" w:after="20"/>
              <w:jc w:val="center"/>
            </w:pPr>
            <w:r/>
            <w:r>
              <w:rPr>
                <w:rFonts w:ascii="Times New Roman" w:hAnsi="Times New Roman"/>
                <w:sz w:val="14"/>
              </w:rPr>
              <w:t>Klasik MÖ</w:t>
            </w:r>
          </w:p>
        </w:tc>
        <w:tc>
          <w:tcPr>
            <w:tcW w:type="dxa" w:w="1654"/>
          </w:tcPr>
          <w:p>
            <w:pPr>
              <w:spacing w:before="20" w:after="20"/>
              <w:jc w:val="center"/>
            </w:pPr>
            <w:r/>
            <w:r>
              <w:rPr>
                <w:rFonts w:ascii="Times New Roman" w:hAnsi="Times New Roman"/>
                <w:sz w:val="14"/>
              </w:rPr>
              <w:t>0,000</w:t>
            </w:r>
          </w:p>
        </w:tc>
        <w:tc>
          <w:tcPr>
            <w:tcW w:type="dxa" w:w="1654"/>
          </w:tcPr>
          <w:p>
            <w:pPr>
              <w:spacing w:before="20" w:after="20"/>
              <w:jc w:val="center"/>
            </w:pPr>
            <w:r/>
            <w:r>
              <w:rPr>
                <w:rFonts w:ascii="Times New Roman" w:hAnsi="Times New Roman"/>
                <w:sz w:val="14"/>
              </w:rPr>
              <w:t>0,823</w:t>
            </w:r>
          </w:p>
        </w:tc>
        <w:tc>
          <w:tcPr>
            <w:tcW w:type="dxa" w:w="1654"/>
          </w:tcPr>
          <w:p>
            <w:pPr>
              <w:spacing w:before="20" w:after="20"/>
              <w:jc w:val="center"/>
            </w:pPr>
            <w:r/>
            <w:r>
              <w:rPr>
                <w:rFonts w:ascii="Times New Roman" w:hAnsi="Times New Roman"/>
                <w:sz w:val="14"/>
              </w:rPr>
              <w:t>0,190</w:t>
            </w:r>
          </w:p>
        </w:tc>
        <w:tc>
          <w:tcPr>
            <w:tcW w:type="dxa" w:w="1654"/>
          </w:tcPr>
          <w:p>
            <w:pPr>
              <w:spacing w:before="20" w:after="20"/>
              <w:jc w:val="center"/>
            </w:pPr>
            <w:r/>
            <w:r>
              <w:rPr>
                <w:rFonts w:ascii="Times New Roman" w:hAnsi="Times New Roman"/>
                <w:sz w:val="14"/>
              </w:rPr>
              <w:t>En iyi AUC</w:t>
            </w:r>
          </w:p>
        </w:tc>
      </w:tr>
      <w:tr>
        <w:tc>
          <w:tcPr>
            <w:tcW w:type="dxa" w:w="1654"/>
            <w:shd w:fill="E8EEF2"/>
          </w:tcPr>
          <w:p>
            <w:pPr>
              <w:spacing w:before="20" w:after="20"/>
              <w:jc w:val="center"/>
            </w:pPr>
            <w:r/>
            <w:r>
              <w:rPr>
                <w:rFonts w:ascii="Times New Roman" w:hAnsi="Times New Roman"/>
                <w:sz w:val="14"/>
              </w:rPr>
              <w:t>LightGBM</w:t>
            </w:r>
          </w:p>
        </w:tc>
        <w:tc>
          <w:tcPr>
            <w:tcW w:type="dxa" w:w="1654"/>
            <w:shd w:fill="E8EEF2"/>
          </w:tcPr>
          <w:p>
            <w:pPr>
              <w:spacing w:before="20" w:after="20"/>
              <w:jc w:val="center"/>
            </w:pPr>
            <w:r/>
            <w:r>
              <w:rPr>
                <w:rFonts w:ascii="Times New Roman" w:hAnsi="Times New Roman"/>
                <w:sz w:val="14"/>
              </w:rPr>
              <w:t>Klasik MÖ</w:t>
            </w:r>
          </w:p>
        </w:tc>
        <w:tc>
          <w:tcPr>
            <w:tcW w:type="dxa" w:w="1654"/>
            <w:shd w:fill="E8EEF2"/>
          </w:tcPr>
          <w:p>
            <w:pPr>
              <w:spacing w:before="20" w:after="20"/>
              <w:jc w:val="center"/>
            </w:pPr>
            <w:r/>
            <w:r>
              <w:rPr>
                <w:rFonts w:ascii="Times New Roman" w:hAnsi="Times New Roman"/>
                <w:sz w:val="14"/>
              </w:rPr>
              <w:t>0,000</w:t>
            </w:r>
          </w:p>
        </w:tc>
        <w:tc>
          <w:tcPr>
            <w:tcW w:type="dxa" w:w="1654"/>
            <w:shd w:fill="E8EEF2"/>
          </w:tcPr>
          <w:p>
            <w:pPr>
              <w:spacing w:before="20" w:after="20"/>
              <w:jc w:val="center"/>
            </w:pPr>
            <w:r/>
            <w:r>
              <w:rPr>
                <w:rFonts w:ascii="Times New Roman" w:hAnsi="Times New Roman"/>
                <w:sz w:val="14"/>
              </w:rPr>
              <w:t>0,661</w:t>
            </w:r>
          </w:p>
        </w:tc>
        <w:tc>
          <w:tcPr>
            <w:tcW w:type="dxa" w:w="1654"/>
            <w:shd w:fill="E8EEF2"/>
          </w:tcPr>
          <w:p>
            <w:pPr>
              <w:spacing w:before="20" w:after="20"/>
              <w:jc w:val="center"/>
            </w:pPr>
            <w:r/>
            <w:r>
              <w:rPr>
                <w:rFonts w:ascii="Times New Roman" w:hAnsi="Times New Roman"/>
                <w:sz w:val="14"/>
              </w:rPr>
              <w:t>0,152</w:t>
            </w:r>
          </w:p>
        </w:tc>
        <w:tc>
          <w:tcPr>
            <w:tcW w:type="dxa" w:w="1654"/>
            <w:shd w:fill="E8EEF2"/>
          </w:tcPr>
          <w:p>
            <w:pPr>
              <w:spacing w:before="20" w:after="20"/>
              <w:jc w:val="center"/>
            </w:pPr>
            <w:r/>
            <w:r>
              <w:rPr>
                <w:rFonts w:ascii="Times New Roman" w:hAnsi="Times New Roman"/>
                <w:sz w:val="14"/>
              </w:rPr>
              <w:t>—</w:t>
            </w:r>
          </w:p>
        </w:tc>
      </w:tr>
      <w:tr>
        <w:tc>
          <w:tcPr>
            <w:tcW w:type="dxa" w:w="1654"/>
          </w:tcPr>
          <w:p>
            <w:pPr>
              <w:spacing w:before="20" w:after="20"/>
              <w:jc w:val="center"/>
            </w:pPr>
            <w:r/>
            <w:r>
              <w:rPr>
                <w:rFonts w:ascii="Times New Roman" w:hAnsi="Times New Roman"/>
                <w:sz w:val="14"/>
              </w:rPr>
              <w:t>Isolation Forest</w:t>
            </w:r>
          </w:p>
        </w:tc>
        <w:tc>
          <w:tcPr>
            <w:tcW w:type="dxa" w:w="1654"/>
          </w:tcPr>
          <w:p>
            <w:pPr>
              <w:spacing w:before="20" w:after="20"/>
              <w:jc w:val="center"/>
            </w:pPr>
            <w:r/>
            <w:r>
              <w:rPr>
                <w:rFonts w:ascii="Times New Roman" w:hAnsi="Times New Roman"/>
                <w:sz w:val="14"/>
              </w:rPr>
              <w:t>Denetimsiz</w:t>
            </w:r>
          </w:p>
        </w:tc>
        <w:tc>
          <w:tcPr>
            <w:tcW w:type="dxa" w:w="1654"/>
          </w:tcPr>
          <w:p>
            <w:pPr>
              <w:spacing w:before="20" w:after="20"/>
              <w:jc w:val="center"/>
            </w:pPr>
            <w:r/>
            <w:r>
              <w:rPr>
                <w:rFonts w:ascii="Times New Roman" w:hAnsi="Times New Roman"/>
                <w:sz w:val="14"/>
              </w:rPr>
              <w:t>—</w:t>
            </w:r>
          </w:p>
        </w:tc>
        <w:tc>
          <w:tcPr>
            <w:tcW w:type="dxa" w:w="1654"/>
          </w:tcPr>
          <w:p>
            <w:pPr>
              <w:spacing w:before="20" w:after="20"/>
              <w:jc w:val="center"/>
            </w:pPr>
            <w:r/>
            <w:r>
              <w:rPr>
                <w:rFonts w:ascii="Times New Roman" w:hAnsi="Times New Roman"/>
                <w:sz w:val="14"/>
              </w:rPr>
              <w:t>0,9997</w:t>
            </w:r>
          </w:p>
        </w:tc>
        <w:tc>
          <w:tcPr>
            <w:tcW w:type="dxa" w:w="1654"/>
          </w:tcPr>
          <w:p>
            <w:pPr>
              <w:spacing w:before="20" w:after="20"/>
              <w:jc w:val="center"/>
            </w:pPr>
            <w:r/>
            <w:r>
              <w:rPr>
                <w:rFonts w:ascii="Times New Roman" w:hAnsi="Times New Roman"/>
                <w:sz w:val="14"/>
              </w:rPr>
              <w:t>0,9946</w:t>
            </w:r>
          </w:p>
        </w:tc>
        <w:tc>
          <w:tcPr>
            <w:tcW w:type="dxa" w:w="1654"/>
          </w:tcPr>
          <w:p>
            <w:pPr>
              <w:spacing w:before="20" w:after="20"/>
              <w:jc w:val="center"/>
            </w:pPr>
            <w:r/>
            <w:r>
              <w:rPr>
                <w:rFonts w:ascii="Times New Roman" w:hAnsi="Times New Roman"/>
                <w:sz w:val="14"/>
              </w:rPr>
              <w:t>Mükemmel</w:t>
            </w:r>
          </w:p>
        </w:tc>
      </w:tr>
      <w:tr>
        <w:tc>
          <w:tcPr>
            <w:tcW w:type="dxa" w:w="1654"/>
            <w:shd w:fill="E8EEF2"/>
          </w:tcPr>
          <w:p>
            <w:pPr>
              <w:spacing w:before="20" w:after="20"/>
              <w:jc w:val="center"/>
            </w:pPr>
            <w:r/>
            <w:r>
              <w:rPr>
                <w:rFonts w:ascii="Times New Roman" w:hAnsi="Times New Roman"/>
                <w:sz w:val="14"/>
              </w:rPr>
              <w:t>One-Class SVM</w:t>
            </w:r>
          </w:p>
        </w:tc>
        <w:tc>
          <w:tcPr>
            <w:tcW w:type="dxa" w:w="1654"/>
            <w:shd w:fill="E8EEF2"/>
          </w:tcPr>
          <w:p>
            <w:pPr>
              <w:spacing w:before="20" w:after="20"/>
              <w:jc w:val="center"/>
            </w:pPr>
            <w:r/>
            <w:r>
              <w:rPr>
                <w:rFonts w:ascii="Times New Roman" w:hAnsi="Times New Roman"/>
                <w:sz w:val="14"/>
              </w:rPr>
              <w:t>Denetimsiz</w:t>
            </w:r>
          </w:p>
        </w:tc>
        <w:tc>
          <w:tcPr>
            <w:tcW w:type="dxa" w:w="1654"/>
            <w:shd w:fill="E8EEF2"/>
          </w:tcPr>
          <w:p>
            <w:pPr>
              <w:spacing w:before="20" w:after="20"/>
              <w:jc w:val="center"/>
            </w:pPr>
            <w:r/>
            <w:r>
              <w:rPr>
                <w:rFonts w:ascii="Times New Roman" w:hAnsi="Times New Roman"/>
                <w:sz w:val="14"/>
              </w:rPr>
              <w:t>—</w:t>
            </w:r>
          </w:p>
        </w:tc>
        <w:tc>
          <w:tcPr>
            <w:tcW w:type="dxa" w:w="1654"/>
            <w:shd w:fill="E8EEF2"/>
          </w:tcPr>
          <w:p>
            <w:pPr>
              <w:spacing w:before="20" w:after="20"/>
              <w:jc w:val="center"/>
            </w:pPr>
            <w:r/>
            <w:r>
              <w:rPr>
                <w:rFonts w:ascii="Times New Roman" w:hAnsi="Times New Roman"/>
                <w:sz w:val="14"/>
              </w:rPr>
              <w:t>0,9999</w:t>
            </w:r>
          </w:p>
        </w:tc>
        <w:tc>
          <w:tcPr>
            <w:tcW w:type="dxa" w:w="1654"/>
            <w:shd w:fill="E8EEF2"/>
          </w:tcPr>
          <w:p>
            <w:pPr>
              <w:spacing w:before="20" w:after="20"/>
              <w:jc w:val="center"/>
            </w:pPr>
            <w:r/>
            <w:r>
              <w:rPr>
                <w:rFonts w:ascii="Times New Roman" w:hAnsi="Times New Roman"/>
                <w:sz w:val="14"/>
              </w:rPr>
              <w:t>0,9965</w:t>
            </w:r>
          </w:p>
        </w:tc>
        <w:tc>
          <w:tcPr>
            <w:tcW w:type="dxa" w:w="1654"/>
            <w:shd w:fill="E8EEF2"/>
          </w:tcPr>
          <w:p>
            <w:pPr>
              <w:spacing w:before="20" w:after="20"/>
              <w:jc w:val="center"/>
            </w:pPr>
            <w:r/>
            <w:r>
              <w:rPr>
                <w:rFonts w:ascii="Times New Roman" w:hAnsi="Times New Roman"/>
                <w:sz w:val="14"/>
              </w:rPr>
              <w:t>En iyi AUC</w:t>
            </w:r>
          </w:p>
        </w:tc>
      </w:tr>
      <w:tr>
        <w:tc>
          <w:tcPr>
            <w:tcW w:type="dxa" w:w="1654"/>
          </w:tcPr>
          <w:p>
            <w:pPr>
              <w:spacing w:before="20" w:after="20"/>
              <w:jc w:val="center"/>
            </w:pPr>
            <w:r/>
            <w:r>
              <w:rPr>
                <w:rFonts w:ascii="Times New Roman" w:hAnsi="Times New Roman"/>
                <w:sz w:val="14"/>
              </w:rPr>
              <w:t>LOF</w:t>
            </w:r>
          </w:p>
        </w:tc>
        <w:tc>
          <w:tcPr>
            <w:tcW w:type="dxa" w:w="1654"/>
          </w:tcPr>
          <w:p>
            <w:pPr>
              <w:spacing w:before="20" w:after="20"/>
              <w:jc w:val="center"/>
            </w:pPr>
            <w:r/>
            <w:r>
              <w:rPr>
                <w:rFonts w:ascii="Times New Roman" w:hAnsi="Times New Roman"/>
                <w:sz w:val="14"/>
              </w:rPr>
              <w:t>Denetimsiz</w:t>
            </w:r>
          </w:p>
        </w:tc>
        <w:tc>
          <w:tcPr>
            <w:tcW w:type="dxa" w:w="1654"/>
          </w:tcPr>
          <w:p>
            <w:pPr>
              <w:spacing w:before="20" w:after="20"/>
              <w:jc w:val="center"/>
            </w:pPr>
            <w:r/>
            <w:r>
              <w:rPr>
                <w:rFonts w:ascii="Times New Roman" w:hAnsi="Times New Roman"/>
                <w:sz w:val="14"/>
              </w:rPr>
              <w:t>—</w:t>
            </w:r>
          </w:p>
        </w:tc>
        <w:tc>
          <w:tcPr>
            <w:tcW w:type="dxa" w:w="1654"/>
          </w:tcPr>
          <w:p>
            <w:pPr>
              <w:spacing w:before="20" w:after="20"/>
              <w:jc w:val="center"/>
            </w:pPr>
            <w:r/>
            <w:r>
              <w:rPr>
                <w:rFonts w:ascii="Times New Roman" w:hAnsi="Times New Roman"/>
                <w:sz w:val="14"/>
              </w:rPr>
              <w:t>0,9992</w:t>
            </w:r>
          </w:p>
        </w:tc>
        <w:tc>
          <w:tcPr>
            <w:tcW w:type="dxa" w:w="1654"/>
          </w:tcPr>
          <w:p>
            <w:pPr>
              <w:spacing w:before="20" w:after="20"/>
              <w:jc w:val="center"/>
            </w:pPr>
            <w:r/>
            <w:r>
              <w:rPr>
                <w:rFonts w:ascii="Times New Roman" w:hAnsi="Times New Roman"/>
                <w:sz w:val="14"/>
              </w:rPr>
              <w:t>0,9585</w:t>
            </w:r>
          </w:p>
        </w:tc>
        <w:tc>
          <w:tcPr>
            <w:tcW w:type="dxa" w:w="1654"/>
          </w:tcPr>
          <w:p>
            <w:pPr>
              <w:spacing w:before="20" w:after="20"/>
              <w:jc w:val="center"/>
            </w:pPr>
            <w:r/>
            <w:r>
              <w:rPr>
                <w:rFonts w:ascii="Times New Roman" w:hAnsi="Times New Roman"/>
                <w:sz w:val="14"/>
              </w:rPr>
              <w:t>Yoğunluk</w:t>
            </w:r>
          </w:p>
        </w:tc>
      </w:tr>
      <w:tr>
        <w:tc>
          <w:tcPr>
            <w:tcW w:type="dxa" w:w="1654"/>
            <w:shd w:fill="E8EEF2"/>
          </w:tcPr>
          <w:p>
            <w:pPr>
              <w:spacing w:before="20" w:after="20"/>
              <w:jc w:val="center"/>
            </w:pPr>
            <w:r/>
            <w:r>
              <w:rPr>
                <w:rFonts w:ascii="Times New Roman" w:hAnsi="Times New Roman"/>
                <w:sz w:val="14"/>
              </w:rPr>
              <w:t>Autoencoder</w:t>
            </w:r>
          </w:p>
        </w:tc>
        <w:tc>
          <w:tcPr>
            <w:tcW w:type="dxa" w:w="1654"/>
            <w:shd w:fill="E8EEF2"/>
          </w:tcPr>
          <w:p>
            <w:pPr>
              <w:spacing w:before="20" w:after="20"/>
              <w:jc w:val="center"/>
            </w:pPr>
            <w:r/>
            <w:r>
              <w:rPr>
                <w:rFonts w:ascii="Times New Roman" w:hAnsi="Times New Roman"/>
                <w:sz w:val="14"/>
              </w:rPr>
              <w:t>Denetimsiz</w:t>
            </w:r>
          </w:p>
        </w:tc>
        <w:tc>
          <w:tcPr>
            <w:tcW w:type="dxa" w:w="1654"/>
            <w:shd w:fill="E8EEF2"/>
          </w:tcPr>
          <w:p>
            <w:pPr>
              <w:spacing w:before="20" w:after="20"/>
              <w:jc w:val="center"/>
            </w:pPr>
            <w:r/>
            <w:r>
              <w:rPr>
                <w:rFonts w:ascii="Times New Roman" w:hAnsi="Times New Roman"/>
                <w:sz w:val="14"/>
              </w:rPr>
              <w:t>—</w:t>
            </w:r>
          </w:p>
        </w:tc>
        <w:tc>
          <w:tcPr>
            <w:tcW w:type="dxa" w:w="1654"/>
            <w:shd w:fill="E8EEF2"/>
          </w:tcPr>
          <w:p>
            <w:pPr>
              <w:spacing w:before="20" w:after="20"/>
              <w:jc w:val="center"/>
            </w:pPr>
            <w:r/>
            <w:r>
              <w:rPr>
                <w:rFonts w:ascii="Times New Roman" w:hAnsi="Times New Roman"/>
                <w:sz w:val="14"/>
              </w:rPr>
              <w:t>0,9916</w:t>
            </w:r>
          </w:p>
        </w:tc>
        <w:tc>
          <w:tcPr>
            <w:tcW w:type="dxa" w:w="1654"/>
            <w:shd w:fill="E8EEF2"/>
          </w:tcPr>
          <w:p>
            <w:pPr>
              <w:spacing w:before="20" w:after="20"/>
              <w:jc w:val="center"/>
            </w:pPr>
            <w:r/>
            <w:r>
              <w:rPr>
                <w:rFonts w:ascii="Times New Roman" w:hAnsi="Times New Roman"/>
                <w:sz w:val="14"/>
              </w:rPr>
              <w:t>0,8605</w:t>
            </w:r>
          </w:p>
        </w:tc>
        <w:tc>
          <w:tcPr>
            <w:tcW w:type="dxa" w:w="1654"/>
            <w:shd w:fill="E8EEF2"/>
          </w:tcPr>
          <w:p>
            <w:pPr>
              <w:spacing w:before="20" w:after="20"/>
              <w:jc w:val="center"/>
            </w:pPr>
            <w:r/>
            <w:r>
              <w:rPr>
                <w:rFonts w:ascii="Times New Roman" w:hAnsi="Times New Roman"/>
                <w:sz w:val="14"/>
              </w:rPr>
              <w:t>Sinir ağı</w:t>
            </w:r>
          </w:p>
        </w:tc>
      </w:tr>
      <w:tr>
        <w:tc>
          <w:tcPr>
            <w:tcW w:type="dxa" w:w="1654"/>
          </w:tcPr>
          <w:p>
            <w:pPr>
              <w:spacing w:before="20" w:after="20"/>
              <w:jc w:val="center"/>
            </w:pPr>
            <w:r/>
            <w:r>
              <w:rPr>
                <w:rFonts w:ascii="Times New Roman" w:hAnsi="Times New Roman"/>
                <w:sz w:val="14"/>
              </w:rPr>
              <w:t>LSTM</w:t>
            </w:r>
          </w:p>
        </w:tc>
        <w:tc>
          <w:tcPr>
            <w:tcW w:type="dxa" w:w="1654"/>
          </w:tcPr>
          <w:p>
            <w:pPr>
              <w:spacing w:before="20" w:after="20"/>
              <w:jc w:val="center"/>
            </w:pPr>
            <w:r/>
            <w:r>
              <w:rPr>
                <w:rFonts w:ascii="Times New Roman" w:hAnsi="Times New Roman"/>
                <w:sz w:val="14"/>
              </w:rPr>
              <w:t>Derin Öğr.</w:t>
            </w:r>
          </w:p>
        </w:tc>
        <w:tc>
          <w:tcPr>
            <w:tcW w:type="dxa" w:w="1654"/>
          </w:tcPr>
          <w:p>
            <w:pPr>
              <w:spacing w:before="20" w:after="20"/>
              <w:jc w:val="center"/>
            </w:pPr>
            <w:r/>
            <w:r>
              <w:rPr>
                <w:rFonts w:ascii="Times New Roman" w:hAnsi="Times New Roman"/>
                <w:sz w:val="14"/>
              </w:rPr>
              <w:t>0,267</w:t>
            </w:r>
          </w:p>
        </w:tc>
        <w:tc>
          <w:tcPr>
            <w:tcW w:type="dxa" w:w="1654"/>
          </w:tcPr>
          <w:p>
            <w:pPr>
              <w:spacing w:before="20" w:after="20"/>
              <w:jc w:val="center"/>
            </w:pPr>
            <w:r/>
            <w:r>
              <w:rPr>
                <w:rFonts w:ascii="Times New Roman" w:hAnsi="Times New Roman"/>
                <w:sz w:val="14"/>
              </w:rPr>
              <w:t>0,591</w:t>
            </w:r>
          </w:p>
        </w:tc>
        <w:tc>
          <w:tcPr>
            <w:tcW w:type="dxa" w:w="1654"/>
          </w:tcPr>
          <w:p>
            <w:pPr>
              <w:spacing w:before="20" w:after="20"/>
              <w:jc w:val="center"/>
            </w:pPr>
            <w:r/>
            <w:r>
              <w:rPr>
                <w:rFonts w:ascii="Times New Roman" w:hAnsi="Times New Roman"/>
                <w:sz w:val="14"/>
              </w:rPr>
              <w:t>0,085</w:t>
            </w:r>
          </w:p>
        </w:tc>
        <w:tc>
          <w:tcPr>
            <w:tcW w:type="dxa" w:w="1654"/>
          </w:tcPr>
          <w:p>
            <w:pPr>
              <w:spacing w:before="20" w:after="20"/>
              <w:jc w:val="center"/>
            </w:pPr>
            <w:r/>
            <w:r>
              <w:rPr>
                <w:rFonts w:ascii="Times New Roman" w:hAnsi="Times New Roman"/>
                <w:sz w:val="14"/>
              </w:rPr>
              <w:t>Yüksek duy.</w:t>
            </w:r>
          </w:p>
        </w:tc>
      </w:tr>
      <w:tr>
        <w:tc>
          <w:tcPr>
            <w:tcW w:type="dxa" w:w="1654"/>
            <w:shd w:fill="E8EEF2"/>
          </w:tcPr>
          <w:p>
            <w:pPr>
              <w:spacing w:before="20" w:after="20"/>
              <w:jc w:val="center"/>
            </w:pPr>
            <w:r/>
            <w:r>
              <w:rPr>
                <w:rFonts w:ascii="Times New Roman" w:hAnsi="Times New Roman"/>
                <w:sz w:val="14"/>
              </w:rPr>
              <w:t>TCN</w:t>
            </w:r>
          </w:p>
        </w:tc>
        <w:tc>
          <w:tcPr>
            <w:tcW w:type="dxa" w:w="1654"/>
            <w:shd w:fill="E8EEF2"/>
          </w:tcPr>
          <w:p>
            <w:pPr>
              <w:spacing w:before="20" w:after="20"/>
              <w:jc w:val="center"/>
            </w:pPr>
            <w:r/>
            <w:r>
              <w:rPr>
                <w:rFonts w:ascii="Times New Roman" w:hAnsi="Times New Roman"/>
                <w:sz w:val="14"/>
              </w:rPr>
              <w:t>Derin Öğr.</w:t>
            </w:r>
          </w:p>
        </w:tc>
        <w:tc>
          <w:tcPr>
            <w:tcW w:type="dxa" w:w="1654"/>
            <w:shd w:fill="E8EEF2"/>
          </w:tcPr>
          <w:p>
            <w:pPr>
              <w:spacing w:before="20" w:after="20"/>
              <w:jc w:val="center"/>
            </w:pPr>
            <w:r/>
            <w:r>
              <w:rPr>
                <w:rFonts w:ascii="Times New Roman" w:hAnsi="Times New Roman"/>
                <w:sz w:val="14"/>
              </w:rPr>
              <w:t>0,445</w:t>
            </w:r>
          </w:p>
        </w:tc>
        <w:tc>
          <w:tcPr>
            <w:tcW w:type="dxa" w:w="1654"/>
            <w:shd w:fill="E8EEF2"/>
          </w:tcPr>
          <w:p>
            <w:pPr>
              <w:spacing w:before="20" w:after="20"/>
              <w:jc w:val="center"/>
            </w:pPr>
            <w:r/>
            <w:r>
              <w:rPr>
                <w:rFonts w:ascii="Times New Roman" w:hAnsi="Times New Roman"/>
                <w:sz w:val="14"/>
              </w:rPr>
              <w:t>0,867</w:t>
            </w:r>
          </w:p>
        </w:tc>
        <w:tc>
          <w:tcPr>
            <w:tcW w:type="dxa" w:w="1654"/>
            <w:shd w:fill="E8EEF2"/>
          </w:tcPr>
          <w:p>
            <w:pPr>
              <w:spacing w:before="20" w:after="20"/>
              <w:jc w:val="center"/>
            </w:pPr>
            <w:r/>
            <w:r>
              <w:rPr>
                <w:rFonts w:ascii="Times New Roman" w:hAnsi="Times New Roman"/>
                <w:sz w:val="14"/>
              </w:rPr>
              <w:t>0,601</w:t>
            </w:r>
          </w:p>
        </w:tc>
        <w:tc>
          <w:tcPr>
            <w:tcW w:type="dxa" w:w="1654"/>
            <w:shd w:fill="E8EEF2"/>
          </w:tcPr>
          <w:p>
            <w:pPr>
              <w:spacing w:before="20" w:after="20"/>
              <w:jc w:val="center"/>
            </w:pPr>
            <w:r/>
            <w:r>
              <w:rPr>
                <w:rFonts w:ascii="Times New Roman" w:hAnsi="Times New Roman"/>
                <w:sz w:val="14"/>
              </w:rPr>
              <w:t>En dengeli</w:t>
            </w:r>
          </w:p>
        </w:tc>
      </w:tr>
      <w:tr>
        <w:tc>
          <w:tcPr>
            <w:tcW w:type="dxa" w:w="1654"/>
          </w:tcPr>
          <w:p>
            <w:pPr>
              <w:spacing w:before="20" w:after="20"/>
              <w:jc w:val="center"/>
            </w:pPr>
            <w:r/>
            <w:r>
              <w:rPr>
                <w:rFonts w:ascii="Times New Roman" w:hAnsi="Times New Roman"/>
                <w:sz w:val="14"/>
              </w:rPr>
              <w:t>Transformer</w:t>
            </w:r>
          </w:p>
        </w:tc>
        <w:tc>
          <w:tcPr>
            <w:tcW w:type="dxa" w:w="1654"/>
          </w:tcPr>
          <w:p>
            <w:pPr>
              <w:spacing w:before="20" w:after="20"/>
              <w:jc w:val="center"/>
            </w:pPr>
            <w:r/>
            <w:r>
              <w:rPr>
                <w:rFonts w:ascii="Times New Roman" w:hAnsi="Times New Roman"/>
                <w:sz w:val="14"/>
              </w:rPr>
              <w:t>Derin Öğr.</w:t>
            </w:r>
          </w:p>
        </w:tc>
        <w:tc>
          <w:tcPr>
            <w:tcW w:type="dxa" w:w="1654"/>
          </w:tcPr>
          <w:p>
            <w:pPr>
              <w:spacing w:before="20" w:after="20"/>
              <w:jc w:val="center"/>
            </w:pPr>
            <w:r/>
            <w:r>
              <w:rPr>
                <w:rFonts w:ascii="Times New Roman" w:hAnsi="Times New Roman"/>
                <w:sz w:val="14"/>
              </w:rPr>
              <w:t>0,357</w:t>
            </w:r>
          </w:p>
        </w:tc>
        <w:tc>
          <w:tcPr>
            <w:tcW w:type="dxa" w:w="1654"/>
          </w:tcPr>
          <w:p>
            <w:pPr>
              <w:spacing w:before="20" w:after="20"/>
              <w:jc w:val="center"/>
            </w:pPr>
            <w:r/>
            <w:r>
              <w:rPr>
                <w:rFonts w:ascii="Times New Roman" w:hAnsi="Times New Roman"/>
                <w:sz w:val="14"/>
              </w:rPr>
              <w:t>0,903</w:t>
            </w:r>
          </w:p>
        </w:tc>
        <w:tc>
          <w:tcPr>
            <w:tcW w:type="dxa" w:w="1654"/>
          </w:tcPr>
          <w:p>
            <w:pPr>
              <w:spacing w:before="20" w:after="20"/>
              <w:jc w:val="center"/>
            </w:pPr>
            <w:r/>
            <w:r>
              <w:rPr>
                <w:rFonts w:ascii="Times New Roman" w:hAnsi="Times New Roman"/>
                <w:sz w:val="14"/>
              </w:rPr>
              <w:t>0,516</w:t>
            </w:r>
          </w:p>
        </w:tc>
        <w:tc>
          <w:tcPr>
            <w:tcW w:type="dxa" w:w="1654"/>
          </w:tcPr>
          <w:p>
            <w:pPr>
              <w:spacing w:before="20" w:after="20"/>
              <w:jc w:val="center"/>
            </w:pPr>
            <w:r/>
            <w:r>
              <w:rPr>
                <w:rFonts w:ascii="Times New Roman" w:hAnsi="Times New Roman"/>
                <w:sz w:val="14"/>
              </w:rPr>
              <w:t>En iyi AUC</w:t>
            </w:r>
          </w:p>
        </w:tc>
      </w:tr>
      <w:tr>
        <w:tc>
          <w:tcPr>
            <w:tcW w:type="dxa" w:w="1654"/>
            <w:shd w:fill="E8EEF2"/>
          </w:tcPr>
          <w:p>
            <w:pPr>
              <w:spacing w:before="20" w:after="20"/>
              <w:jc w:val="center"/>
            </w:pPr>
            <w:r/>
            <w:r>
              <w:rPr>
                <w:rFonts w:ascii="Times New Roman" w:hAnsi="Times New Roman"/>
                <w:sz w:val="14"/>
              </w:rPr>
              <w:t>LSTM (KKÖ)</w:t>
            </w:r>
          </w:p>
        </w:tc>
        <w:tc>
          <w:tcPr>
            <w:tcW w:type="dxa" w:w="1654"/>
            <w:shd w:fill="E8EEF2"/>
          </w:tcPr>
          <w:p>
            <w:pPr>
              <w:spacing w:before="20" w:after="20"/>
              <w:jc w:val="center"/>
            </w:pPr>
            <w:r/>
            <w:r>
              <w:rPr>
                <w:rFonts w:ascii="Times New Roman" w:hAnsi="Times New Roman"/>
                <w:sz w:val="14"/>
              </w:rPr>
              <w:t>KKÖ Reg.</w:t>
            </w:r>
          </w:p>
        </w:tc>
        <w:tc>
          <w:tcPr>
            <w:tcW w:type="dxa" w:w="1654"/>
            <w:shd w:fill="E8EEF2"/>
          </w:tcPr>
          <w:p>
            <w:pPr>
              <w:spacing w:before="20" w:after="20"/>
              <w:jc w:val="center"/>
            </w:pPr>
            <w:r/>
            <w:r>
              <w:rPr>
                <w:rFonts w:ascii="Times New Roman" w:hAnsi="Times New Roman"/>
                <w:sz w:val="14"/>
              </w:rPr>
              <w:t>—</w:t>
            </w:r>
          </w:p>
        </w:tc>
        <w:tc>
          <w:tcPr>
            <w:tcW w:type="dxa" w:w="1654"/>
            <w:shd w:fill="E8EEF2"/>
          </w:tcPr>
          <w:p>
            <w:pPr>
              <w:spacing w:before="20" w:after="20"/>
              <w:jc w:val="center"/>
            </w:pPr>
            <w:r/>
            <w:r>
              <w:rPr>
                <w:rFonts w:ascii="Times New Roman" w:hAnsi="Times New Roman"/>
                <w:sz w:val="14"/>
              </w:rPr>
              <w:t>—</w:t>
            </w:r>
          </w:p>
        </w:tc>
        <w:tc>
          <w:tcPr>
            <w:tcW w:type="dxa" w:w="1654"/>
            <w:shd w:fill="E8EEF2"/>
          </w:tcPr>
          <w:p>
            <w:pPr>
              <w:spacing w:before="20" w:after="20"/>
              <w:jc w:val="center"/>
            </w:pPr>
            <w:r/>
            <w:r>
              <w:rPr>
                <w:rFonts w:ascii="Times New Roman" w:hAnsi="Times New Roman"/>
                <w:sz w:val="14"/>
              </w:rPr>
              <w:t>—</w:t>
            </w:r>
          </w:p>
        </w:tc>
        <w:tc>
          <w:tcPr>
            <w:tcW w:type="dxa" w:w="1654"/>
            <w:shd w:fill="E8EEF2"/>
          </w:tcPr>
          <w:p>
            <w:pPr>
              <w:spacing w:before="20" w:after="20"/>
              <w:jc w:val="center"/>
            </w:pPr>
            <w:r/>
            <w:r>
              <w:rPr>
                <w:rFonts w:ascii="Times New Roman" w:hAnsi="Times New Roman"/>
                <w:sz w:val="14"/>
              </w:rPr>
              <w:t>OMH:3,96s</w:t>
            </w:r>
          </w:p>
        </w:tc>
      </w:tr>
      <w:tr>
        <w:tc>
          <w:tcPr>
            <w:tcW w:type="dxa" w:w="1654"/>
          </w:tcPr>
          <w:p>
            <w:pPr>
              <w:spacing w:before="20" w:after="20"/>
              <w:jc w:val="center"/>
            </w:pPr>
            <w:r/>
            <w:r>
              <w:rPr>
                <w:rFonts w:ascii="Times New Roman" w:hAnsi="Times New Roman"/>
                <w:sz w:val="14"/>
              </w:rPr>
              <w:t>GRU (KKÖ)</w:t>
            </w:r>
          </w:p>
        </w:tc>
        <w:tc>
          <w:tcPr>
            <w:tcW w:type="dxa" w:w="1654"/>
          </w:tcPr>
          <w:p>
            <w:pPr>
              <w:spacing w:before="20" w:after="20"/>
              <w:jc w:val="center"/>
            </w:pPr>
            <w:r/>
            <w:r>
              <w:rPr>
                <w:rFonts w:ascii="Times New Roman" w:hAnsi="Times New Roman"/>
                <w:sz w:val="14"/>
              </w:rPr>
              <w:t>KKÖ Reg.</w:t>
            </w:r>
          </w:p>
        </w:tc>
        <w:tc>
          <w:tcPr>
            <w:tcW w:type="dxa" w:w="1654"/>
          </w:tcPr>
          <w:p>
            <w:pPr>
              <w:spacing w:before="20" w:after="20"/>
              <w:jc w:val="center"/>
            </w:pPr>
            <w:r/>
            <w:r>
              <w:rPr>
                <w:rFonts w:ascii="Times New Roman" w:hAnsi="Times New Roman"/>
                <w:sz w:val="14"/>
              </w:rPr>
              <w:t>—</w:t>
            </w:r>
          </w:p>
        </w:tc>
        <w:tc>
          <w:tcPr>
            <w:tcW w:type="dxa" w:w="1654"/>
          </w:tcPr>
          <w:p>
            <w:pPr>
              <w:spacing w:before="20" w:after="20"/>
              <w:jc w:val="center"/>
            </w:pPr>
            <w:r/>
            <w:r>
              <w:rPr>
                <w:rFonts w:ascii="Times New Roman" w:hAnsi="Times New Roman"/>
                <w:sz w:val="14"/>
              </w:rPr>
              <w:t>—</w:t>
            </w:r>
          </w:p>
        </w:tc>
        <w:tc>
          <w:tcPr>
            <w:tcW w:type="dxa" w:w="1654"/>
          </w:tcPr>
          <w:p>
            <w:pPr>
              <w:spacing w:before="20" w:after="20"/>
              <w:jc w:val="center"/>
            </w:pPr>
            <w:r/>
            <w:r>
              <w:rPr>
                <w:rFonts w:ascii="Times New Roman" w:hAnsi="Times New Roman"/>
                <w:sz w:val="14"/>
              </w:rPr>
              <w:t>—</w:t>
            </w:r>
          </w:p>
        </w:tc>
        <w:tc>
          <w:tcPr>
            <w:tcW w:type="dxa" w:w="1654"/>
          </w:tcPr>
          <w:p>
            <w:pPr>
              <w:spacing w:before="20" w:after="20"/>
              <w:jc w:val="center"/>
            </w:pPr>
            <w:r/>
            <w:r>
              <w:rPr>
                <w:rFonts w:ascii="Times New Roman" w:hAnsi="Times New Roman"/>
                <w:sz w:val="14"/>
              </w:rPr>
              <w:t>OMH:5,19s</w:t>
            </w:r>
          </w:p>
        </w:tc>
      </w:tr>
    </w:tbl>
    <w:p>
      <w:pPr>
        <w:spacing w:before="40" w:after="120"/>
        <w:jc w:val="center"/>
      </w:pPr>
      <w:r>
        <w:rPr>
          <w:rFonts w:ascii="Times New Roman" w:hAnsi="Times New Roman"/>
          <w:i/>
          <w:sz w:val="15"/>
        </w:rPr>
        <w:t>Tablo VIII: Tüm Yöntemlerin Kapsamlı Performans Özeti</w:t>
      </w:r>
    </w:p>
    <w:p>
      <w:pPr>
        <w:pStyle w:val="Heading1"/>
        <w:spacing w:before="160" w:after="80"/>
        <w:jc w:val="center"/>
      </w:pPr>
      <w:r>
        <w:rPr>
          <w:rFonts w:ascii="Times New Roman" w:hAnsi="Times New Roman"/>
          <w:color w:val="000000"/>
          <w:sz w:val="20"/>
        </w:rPr>
        <w:t>VI. TARTIŞMA</w:t>
      </w:r>
    </w:p>
    <w:p>
      <w:pPr>
        <w:pStyle w:val="Heading2"/>
        <w:spacing w:before="160" w:after="80"/>
        <w:jc w:val="left"/>
      </w:pPr>
      <w:r>
        <w:rPr>
          <w:rFonts w:ascii="Times New Roman" w:hAnsi="Times New Roman"/>
          <w:color w:val="000000"/>
          <w:sz w:val="20"/>
        </w:rPr>
        <w:t>A. Denetimli ve Denetimsiz Yöntemlerin Karşılaştırması</w:t>
      </w:r>
    </w:p>
    <w:p>
      <w:pPr>
        <w:spacing w:after="60" w:before="20" w:line="240" w:lineRule="auto"/>
        <w:ind w:firstLine="283"/>
        <w:jc w:val="both"/>
      </w:pPr>
      <w:r>
        <w:rPr>
          <w:rFonts w:ascii="Times New Roman" w:hAnsi="Times New Roman"/>
          <w:sz w:val="18"/>
        </w:rPr>
        <w:t>Bu çalışmanın çarpıcı bulgularından biri, denetimli ve denetimsiz yöntemler arasındaki önemli performans farkıdır. Klasik MÖ modelleri ciddi sınıf dengesizliği (47:1 oranı) ile mücadele ederken, denetimsiz yöntemler neredeyse mükemmel tespit oranlarına ulaşmıştır. Bu durum, dişli kutusu SCADA verilerindeki anomali örüntülerinin ayrımcı karar sınırlarından ziyade normal operasyonel dağılımlardan sapmalarla iyi karakterize edildiğini göstermektedir.</w:t>
      </w:r>
    </w:p>
    <w:p>
      <w:pPr>
        <w:spacing w:after="60" w:before="20" w:line="240" w:lineRule="auto"/>
        <w:ind w:firstLine="283"/>
        <w:jc w:val="both"/>
      </w:pPr>
      <w:r>
        <w:rPr>
          <w:rFonts w:ascii="Times New Roman" w:hAnsi="Times New Roman"/>
          <w:sz w:val="18"/>
        </w:rPr>
        <w:t>Denetimsiz yöntemlerin üstün performansı birkaç faktöre atfedilebilir: (1) yalnızca normal veriler üzerinde eğitim, sınıf dengesizliği sorununu tamamen ortadan kaldırır; (2) SCADA verisi, normal ve anormal davranışların özellik uzayında farklı bölgelerde yer aldığı net operasyonel rejimler sergilemektedir.</w:t>
      </w:r>
    </w:p>
    <w:p>
      <w:pPr>
        <w:pStyle w:val="Heading2"/>
        <w:spacing w:before="160" w:after="80"/>
        <w:jc w:val="left"/>
      </w:pPr>
      <w:r>
        <w:rPr>
          <w:rFonts w:ascii="Times New Roman" w:hAnsi="Times New Roman"/>
          <w:color w:val="000000"/>
          <w:sz w:val="20"/>
        </w:rPr>
        <w:t>B. Derin Öğrenme Mimari Karşılaştırması</w:t>
      </w:r>
    </w:p>
    <w:p>
      <w:pPr>
        <w:spacing w:after="60" w:before="20" w:line="240" w:lineRule="auto"/>
        <w:ind w:firstLine="283"/>
        <w:jc w:val="both"/>
      </w:pPr>
      <w:r>
        <w:rPr>
          <w:rFonts w:ascii="Times New Roman" w:hAnsi="Times New Roman"/>
          <w:sz w:val="18"/>
        </w:rPr>
        <w:t>Derin öğrenme mimarileri arasında TCN, kesinlik ve duyarlılık arasında en iyi dengeyi sergilemiştir. Genişletilmiş nedensel konvolüsyonlar, TCN'nin çok ölçekli zamansal örüntüleri LSTM'den daha etkili yakalamasını sağlamıştır. LSTM anomalileri aşırı tespit etme eğiliminde iken (duyarlılık=0,993, kesinlik=0,155), Transformer Kodlayıcı güçlü ayrımcılık yeteneği (ROC-AUC=0,903) göstermiş ancak TCN'den daha fazla yanlış pozitif üretmiştir.</w:t>
      </w:r>
    </w:p>
    <w:p>
      <w:pPr>
        <w:pStyle w:val="Heading2"/>
        <w:spacing w:before="160" w:after="80"/>
        <w:jc w:val="left"/>
      </w:pPr>
      <w:r>
        <w:rPr>
          <w:rFonts w:ascii="Times New Roman" w:hAnsi="Times New Roman"/>
          <w:color w:val="000000"/>
          <w:sz w:val="20"/>
        </w:rPr>
        <w:t>C. Özellik Mühendisliğinin Etkisi</w:t>
      </w:r>
    </w:p>
    <w:p>
      <w:pPr>
        <w:spacing w:after="60" w:before="20" w:line="240" w:lineRule="auto"/>
        <w:ind w:firstLine="283"/>
        <w:jc w:val="both"/>
      </w:pPr>
      <w:r>
        <w:rPr>
          <w:rFonts w:ascii="Times New Roman" w:hAnsi="Times New Roman"/>
          <w:sz w:val="18"/>
        </w:rPr>
        <w:t>Özellik uzayını 7'den 95 özelliğe genişleten mühendislik hattı, model performansında kritik bir rol oynamıştır. Karşılıklı bilgi analizi 168 saatlik yuvarlanan titreşim ortalamalarının en bilgilendirici özellikler olduğunu doğrularken, Random Forest özellik önemi 24-48 saatlik yağ basıncı ve sıcaklık istatistiklerini vurgulamıştır.</w:t>
      </w:r>
    </w:p>
    <w:p>
      <w:pPr>
        <w:pStyle w:val="Heading2"/>
        <w:spacing w:before="160" w:after="80"/>
        <w:jc w:val="left"/>
      </w:pPr>
      <w:r>
        <w:rPr>
          <w:rFonts w:ascii="Times New Roman" w:hAnsi="Times New Roman"/>
          <w:color w:val="000000"/>
          <w:sz w:val="20"/>
        </w:rPr>
        <w:t>D. KKÖ Tahmininin Önemi</w:t>
      </w:r>
    </w:p>
    <w:p>
      <w:pPr>
        <w:spacing w:after="60" w:before="20" w:line="240" w:lineRule="auto"/>
        <w:ind w:firstLine="283"/>
        <w:jc w:val="both"/>
      </w:pPr>
      <w:r>
        <w:rPr>
          <w:rFonts w:ascii="Times New Roman" w:hAnsi="Times New Roman"/>
          <w:sz w:val="18"/>
        </w:rPr>
        <w:t>KKÖ tahmin bileşeni, bu çalışmanın pratik açıdan en anlamlı katkısını temsil etmektedir. Yaklaşık 4 saatlik ortalama tahmin hatası (LSTM) ve mükemmel erken uyarı doğruluğu ile sistem, bakım planlaması için eyleme dönüştürülebilir istihbarat sağlamaktadır. Dört bölgeli karar çerçevesi (Normal, İzleme, Uyarı, Kritik) ham KKÖ tahminlerini sezgisel operasyonel rehberliğe dönüştürmektedir.</w:t>
      </w:r>
    </w:p>
    <w:p>
      <w:pPr>
        <w:pStyle w:val="Heading2"/>
        <w:spacing w:before="160" w:after="80"/>
        <w:jc w:val="left"/>
      </w:pPr>
      <w:r>
        <w:rPr>
          <w:rFonts w:ascii="Times New Roman" w:hAnsi="Times New Roman"/>
          <w:color w:val="000000"/>
          <w:sz w:val="20"/>
        </w:rPr>
        <w:t>E. Sınırlılıklar ve Gelecek Çalışmalar</w:t>
      </w:r>
    </w:p>
    <w:p>
      <w:pPr>
        <w:spacing w:after="60" w:before="20" w:line="240" w:lineRule="auto"/>
        <w:ind w:firstLine="283"/>
        <w:jc w:val="both"/>
      </w:pPr>
      <w:r>
        <w:rPr>
          <w:rFonts w:ascii="Times New Roman" w:hAnsi="Times New Roman"/>
          <w:sz w:val="18"/>
        </w:rPr>
        <w:t>Bazı sınırlılıklar kabul edilmelidir: (1) veri seti tek bir türbinden gelmekte olup performans farklı türbin tiplerinde değişebilir; (2) KKÖ regresyon modellerinin R² değerleri sıfıra yakındır; (3) çalışma kavram kayması veya değişen operasyonel koşulları ele almamaktadır. Gelecek çalışmalar transfer öğrenme, çevrimiçi öğrenme, hava durumu ve operasyonel bağlam verilerinin entegrasyonu ve uç bilişim ortamlarında gerçek zamanlı izleme konularını araştırmalıdır.</w:t>
      </w:r>
    </w:p>
    <w:p>
      <w:pPr>
        <w:pStyle w:val="Heading1"/>
        <w:spacing w:before="160" w:after="80"/>
        <w:jc w:val="center"/>
      </w:pPr>
      <w:r>
        <w:rPr>
          <w:rFonts w:ascii="Times New Roman" w:hAnsi="Times New Roman"/>
          <w:color w:val="000000"/>
          <w:sz w:val="20"/>
        </w:rPr>
        <w:t>VII. SONUÇ</w:t>
      </w:r>
    </w:p>
    <w:p>
      <w:pPr>
        <w:spacing w:after="60" w:before="20" w:line="240" w:lineRule="auto"/>
        <w:ind w:firstLine="283"/>
        <w:jc w:val="both"/>
      </w:pPr>
      <w:r>
        <w:rPr>
          <w:rFonts w:ascii="Times New Roman" w:hAnsi="Times New Roman"/>
          <w:sz w:val="18"/>
        </w:rPr>
        <w:t>Bu makale, beş yıllık SCADA sensör verisi kullanarak rüzgar türbini dişli kutuları için kapsamlı bir kestirimci bakım çerçevesi sunmuştur. Çalışma, klasik makine öğrenmesi, denetimsiz anomali tespiti, derin öğrenme ve hibrit topluluk yöntemlerini sistematik olarak değerlendirmiş; ardından Kalan Kullanım Ömrü tahmini ve erken uyarı sistemi geliştirmiştir.</w:t>
      </w:r>
    </w:p>
    <w:p>
      <w:pPr>
        <w:spacing w:after="60" w:before="20" w:line="240" w:lineRule="auto"/>
        <w:ind w:firstLine="283"/>
        <w:jc w:val="both"/>
      </w:pPr>
      <w:r>
        <w:rPr>
          <w:rFonts w:ascii="Times New Roman" w:hAnsi="Times New Roman"/>
          <w:sz w:val="18"/>
        </w:rPr>
        <w:t>Bu çalışmanın temel bulguları şu şekilde özetlenebilir:</w:t>
      </w:r>
    </w:p>
    <w:p>
      <w:pPr>
        <w:spacing w:after="40"/>
        <w:ind w:left="170"/>
        <w:jc w:val="both"/>
      </w:pPr>
      <w:r>
        <w:rPr>
          <w:rFonts w:ascii="Times New Roman" w:hAnsi="Times New Roman"/>
          <w:sz w:val="18"/>
        </w:rPr>
        <w:t>1) 7 sensörden 95 özelliğe mühendislik, tahmin yeteneğini önemli ölçüde artırmış; 168 saatlik yuvarlanan titreşim istatistikleri en ayırt edici özellikler olmuştur.</w:t>
      </w:r>
    </w:p>
    <w:p>
      <w:pPr>
        <w:spacing w:after="40"/>
        <w:ind w:left="170"/>
        <w:jc w:val="both"/>
      </w:pPr>
      <w:r>
        <w:rPr>
          <w:rFonts w:ascii="Times New Roman" w:hAnsi="Times New Roman"/>
          <w:sz w:val="18"/>
        </w:rPr>
        <w:t>2) Denetimsiz anomali tespit yöntemleri, özellikle One-Class SVM (ROC-AUC: 0,9999) ve Isolation Forest (ROC-AUC: 0,9997), denetimli yaklaşımları önemli ölçüde geride bırakmıştır.</w:t>
      </w:r>
    </w:p>
    <w:p>
      <w:pPr>
        <w:spacing w:after="40"/>
        <w:ind w:left="170"/>
        <w:jc w:val="both"/>
      </w:pPr>
      <w:r>
        <w:rPr>
          <w:rFonts w:ascii="Times New Roman" w:hAnsi="Times New Roman"/>
          <w:sz w:val="18"/>
        </w:rPr>
        <w:t>3) Derin öğrenme mimarileri arasında TCN en dengeli performansı (F1: 0,445, PR-AUC: 0,601) sağlarken, Transformer Kodlayıcı en yüksek ayrımcılık yeteneğine (ROC-AUC: 0,903) ulaşmıştır.</w:t>
      </w:r>
    </w:p>
    <w:p>
      <w:pPr>
        <w:spacing w:after="40"/>
        <w:ind w:left="170"/>
        <w:jc w:val="both"/>
      </w:pPr>
      <w:r>
        <w:rPr>
          <w:rFonts w:ascii="Times New Roman" w:hAnsi="Times New Roman"/>
          <w:sz w:val="18"/>
        </w:rPr>
        <w:t>4) LSTM tabanlı KKÖ tahmini, 3,96 saatlik ortalama mutlak hata ve 24, 48, 72 saatlik ufuklarda %100 erken uyarı doğruluğu ile güvenilir proaktif bakım planlaması sağlamıştır.</w:t>
      </w:r>
    </w:p>
    <w:p>
      <w:pPr>
        <w:spacing w:after="40"/>
        <w:ind w:left="170"/>
        <w:jc w:val="both"/>
      </w:pPr>
      <w:r>
        <w:rPr>
          <w:rFonts w:ascii="Times New Roman" w:hAnsi="Times New Roman"/>
          <w:sz w:val="18"/>
        </w:rPr>
        <w:t>5) Dört bölgeli bakım karar çerçevesi, reaktif bakımdan kestirimci bakım stratejilerine geçiş için eyleme dönüştürülebilir operasyonel rehber sunmaktadır.</w:t>
      </w:r>
    </w:p>
    <w:p>
      <w:pPr>
        <w:spacing w:after="60" w:before="20" w:line="240" w:lineRule="auto"/>
        <w:ind w:firstLine="283"/>
        <w:jc w:val="both"/>
      </w:pPr>
      <w:r>
        <w:rPr>
          <w:rFonts w:ascii="Times New Roman" w:hAnsi="Times New Roman"/>
          <w:sz w:val="18"/>
        </w:rPr>
        <w:t>Önerilen çerçeve, çoklu makine öğrenmesi paradigmalarının kapsamlı özellik mühendisliği ile entegrasyonunun rüzgar türbini kestirimci bakımı için sağlam ve etkili bir çözüm sağladığını göstermektedir. Anomali tespitinden KKÖ tahminine geçiş, arıza belirleme ve eyleme dönüştürülebilir bakım kararları arasındaki boşluğu kapatarak rüzgar enerjisi operasyonlarında duruş süresini ve bakım maliyetlerini azaltma potansiyeli sunmaktadır.</w:t>
      </w:r>
    </w:p>
    <w:p>
      <w:pPr>
        <w:pStyle w:val="Heading1"/>
        <w:spacing w:before="160" w:after="80"/>
        <w:jc w:val="center"/>
      </w:pPr>
      <w:r>
        <w:rPr>
          <w:rFonts w:ascii="Times New Roman" w:hAnsi="Times New Roman"/>
          <w:color w:val="000000"/>
          <w:sz w:val="20"/>
        </w:rPr>
        <w:t>KAYNAKLAR</w:t>
      </w:r>
    </w:p>
    <w:p>
      <w:pPr>
        <w:spacing w:after="20"/>
        <w:ind w:left="227" w:hanging="227"/>
        <w:jc w:val="both"/>
      </w:pPr>
      <w:r>
        <w:rPr>
          <w:rFonts w:ascii="Times New Roman" w:hAnsi="Times New Roman"/>
          <w:sz w:val="15"/>
        </w:rPr>
        <w:t>[1] Y. Wang, X. Ma, P. Qian, "Wind turbine fault detection and identification through self-attention-based mechanism," Renewable Energy, vol. 211, pp. 918-937, 2023.</w:t>
      </w:r>
    </w:p>
    <w:p>
      <w:pPr>
        <w:spacing w:after="20"/>
        <w:ind w:left="227" w:hanging="227"/>
        <w:jc w:val="both"/>
      </w:pPr>
      <w:r>
        <w:rPr>
          <w:rFonts w:ascii="Times New Roman" w:hAnsi="Times New Roman"/>
          <w:sz w:val="15"/>
        </w:rPr>
        <w:t>[2] A. Stetco et al., "Machine learning methods for wind turbine condition monitoring: A review," Renewable Energy, vol. 133, pp. 620-635, 2019.</w:t>
      </w:r>
    </w:p>
    <w:p>
      <w:pPr>
        <w:spacing w:after="20"/>
        <w:ind w:left="227" w:hanging="227"/>
        <w:jc w:val="both"/>
      </w:pPr>
      <w:r>
        <w:rPr>
          <w:rFonts w:ascii="Times New Roman" w:hAnsi="Times New Roman"/>
          <w:sz w:val="15"/>
        </w:rPr>
        <w:t>[3] F. P. G. de Jong, W. J. C. Verhagen, "A review of predictive maintenance for wind turbines using ML techniques," Energy Reports, vol. 8, pp. 5738-5768, 2022.</w:t>
      </w:r>
    </w:p>
    <w:p>
      <w:pPr>
        <w:spacing w:after="20"/>
        <w:ind w:left="227" w:hanging="227"/>
        <w:jc w:val="both"/>
      </w:pPr>
      <w:r>
        <w:rPr>
          <w:rFonts w:ascii="Times New Roman" w:hAnsi="Times New Roman"/>
          <w:sz w:val="15"/>
        </w:rPr>
        <w:t>[4] T. Chen, C. Guestrin, "XGBoost: A scalable tree boosting system," Proc. 22nd ACM SIGKDD, pp. 785-794, 2016.</w:t>
      </w:r>
    </w:p>
    <w:p>
      <w:pPr>
        <w:spacing w:after="20"/>
        <w:ind w:left="227" w:hanging="227"/>
        <w:jc w:val="both"/>
      </w:pPr>
      <w:r>
        <w:rPr>
          <w:rFonts w:ascii="Times New Roman" w:hAnsi="Times New Roman"/>
          <w:sz w:val="15"/>
        </w:rPr>
        <w:t>[5] G. Ke et al., "LightGBM: A highly efficient gradient boosting decision tree," NeurIPS, vol. 30, pp. 3146-3154, 2017.</w:t>
      </w:r>
    </w:p>
    <w:p>
      <w:pPr>
        <w:spacing w:after="20"/>
        <w:ind w:left="227" w:hanging="227"/>
        <w:jc w:val="both"/>
      </w:pPr>
      <w:r>
        <w:rPr>
          <w:rFonts w:ascii="Times New Roman" w:hAnsi="Times New Roman"/>
          <w:sz w:val="15"/>
        </w:rPr>
        <w:t>[6] F. T. Liu, K. M. Ting, Z.-H. Zhou, "Isolation forest," Proc. IEEE ICDM, pp. 413-422, 2008.</w:t>
      </w:r>
    </w:p>
    <w:p>
      <w:pPr>
        <w:spacing w:after="20"/>
        <w:ind w:left="227" w:hanging="227"/>
        <w:jc w:val="both"/>
      </w:pPr>
      <w:r>
        <w:rPr>
          <w:rFonts w:ascii="Times New Roman" w:hAnsi="Times New Roman"/>
          <w:sz w:val="15"/>
        </w:rPr>
        <w:t>[7] B. Scholkopf et al., "Estimating the support of a high-dimensional distribution," Neural Computation, vol. 13, no. 7, pp. 1443-1471, 2001.</w:t>
      </w:r>
    </w:p>
    <w:p>
      <w:pPr>
        <w:spacing w:after="20"/>
        <w:ind w:left="227" w:hanging="227"/>
        <w:jc w:val="both"/>
      </w:pPr>
      <w:r>
        <w:rPr>
          <w:rFonts w:ascii="Times New Roman" w:hAnsi="Times New Roman"/>
          <w:sz w:val="15"/>
        </w:rPr>
        <w:t>[8] M. M. Breunig et al., "LOF: Identifying density-based local outliers," Proc. ACM SIGMOD, pp. 93-104, 2000.</w:t>
      </w:r>
    </w:p>
    <w:p>
      <w:pPr>
        <w:spacing w:after="20"/>
        <w:ind w:left="227" w:hanging="227"/>
        <w:jc w:val="both"/>
      </w:pPr>
      <w:r>
        <w:rPr>
          <w:rFonts w:ascii="Times New Roman" w:hAnsi="Times New Roman"/>
          <w:sz w:val="15"/>
        </w:rPr>
        <w:t>[9] S. Hochreiter, J. Schmidhuber, "Long short-term memory," Neural Computation, vol. 9, no. 8, pp. 1735-1780, 1997.</w:t>
      </w:r>
    </w:p>
    <w:p>
      <w:pPr>
        <w:spacing w:after="20"/>
        <w:ind w:left="227" w:hanging="227"/>
        <w:jc w:val="both"/>
      </w:pPr>
      <w:r>
        <w:rPr>
          <w:rFonts w:ascii="Times New Roman" w:hAnsi="Times New Roman"/>
          <w:sz w:val="15"/>
        </w:rPr>
        <w:t>[10] S. Bai, J. Z. Kolter, V. Koltun, "An empirical evaluation of generic convolutional and recurrent networks for sequence modeling," arXiv:1803.01271, 2018.</w:t>
      </w:r>
    </w:p>
    <w:p>
      <w:pPr>
        <w:spacing w:after="20"/>
        <w:ind w:left="227" w:hanging="227"/>
        <w:jc w:val="both"/>
      </w:pPr>
      <w:r>
        <w:rPr>
          <w:rFonts w:ascii="Times New Roman" w:hAnsi="Times New Roman"/>
          <w:sz w:val="15"/>
        </w:rPr>
        <w:t>[11] A. Vaswani et al., "Attention is all you need," NeurIPS, vol. 30, pp. 5998-6008, 2017.</w:t>
      </w:r>
    </w:p>
    <w:p>
      <w:pPr>
        <w:spacing w:after="20"/>
        <w:ind w:left="227" w:hanging="227"/>
        <w:jc w:val="both"/>
      </w:pPr>
      <w:r>
        <w:rPr>
          <w:rFonts w:ascii="Times New Roman" w:hAnsi="Times New Roman"/>
          <w:sz w:val="15"/>
        </w:rPr>
        <w:t>[12] S. M. Lundberg, S.-I. Lee, "A unified approach to interpreting model predictions," NeurIPS, vol. 30, pp. 4765-4774, 2017.</w:t>
      </w:r>
    </w:p>
    <w:p>
      <w:pPr>
        <w:spacing w:after="20"/>
        <w:ind w:left="227" w:hanging="227"/>
        <w:jc w:val="both"/>
      </w:pPr>
      <w:r>
        <w:rPr>
          <w:rFonts w:ascii="Times New Roman" w:hAnsi="Times New Roman"/>
          <w:sz w:val="15"/>
        </w:rPr>
        <w:t>[13] M. T. Ribeiro, S. Singh, C. Guestrin, "Why should I trust you? Explaining the predictions of any classifier," Proc. 22nd ACM SIGKDD, pp. 1135-1144, 2016.</w:t>
      </w:r>
    </w:p>
    <w:p>
      <w:pPr>
        <w:spacing w:after="20"/>
        <w:ind w:left="227" w:hanging="227"/>
        <w:jc w:val="both"/>
      </w:pPr>
      <w:r>
        <w:rPr>
          <w:rFonts w:ascii="Times New Roman" w:hAnsi="Times New Roman"/>
          <w:sz w:val="15"/>
        </w:rPr>
        <w:t>[14] N. V. Chawla et al., "SMOTE: Synthetic minority over-sampling technique," JAIR, vol. 16, pp. 321-357, 2002.</w:t>
      </w:r>
    </w:p>
    <w:p>
      <w:pPr>
        <w:spacing w:after="20"/>
        <w:ind w:left="227" w:hanging="227"/>
        <w:jc w:val="both"/>
      </w:pPr>
      <w:r>
        <w:rPr>
          <w:rFonts w:ascii="Times New Roman" w:hAnsi="Times New Roman"/>
          <w:sz w:val="15"/>
        </w:rPr>
        <w:t>[15] W. Qiao, D. Lu, "A survey on wind turbine condition monitoring and fault diagnosis," IEEE Trans. Ind. Electron., vol. 62, no. 10, pp. 6536-6545, 2015.</w:t>
      </w:r>
    </w:p>
    <w:p>
      <w:pPr>
        <w:spacing w:after="20"/>
        <w:ind w:left="227" w:hanging="227"/>
        <w:jc w:val="both"/>
      </w:pPr>
      <w:r>
        <w:rPr>
          <w:rFonts w:ascii="Times New Roman" w:hAnsi="Times New Roman"/>
          <w:sz w:val="15"/>
        </w:rPr>
        <w:t>[16] K. Cho et al., "Learning phrase representations using RNN encoder-decoder," Proc. EMNLP, pp. 1724-1734, 2014.</w:t>
      </w:r>
    </w:p>
    <w:p>
      <w:pPr>
        <w:spacing w:after="20"/>
        <w:ind w:left="227" w:hanging="227"/>
        <w:jc w:val="both"/>
      </w:pPr>
      <w:r>
        <w:rPr>
          <w:rFonts w:ascii="Times New Roman" w:hAnsi="Times New Roman"/>
          <w:sz w:val="15"/>
        </w:rPr>
        <w:t>[17] X.-S. Si et al., "Remaining useful life estimation - A review on the statistical data driven approaches," EJOR, vol. 213, no. 1, pp. 1-14, 2011.</w:t>
      </w:r>
    </w:p>
    <w:p>
      <w:pPr>
        <w:spacing w:after="20"/>
        <w:ind w:left="227" w:hanging="227"/>
        <w:jc w:val="both"/>
      </w:pPr>
      <w:r>
        <w:rPr>
          <w:rFonts w:ascii="Times New Roman" w:hAnsi="Times New Roman"/>
          <w:sz w:val="15"/>
        </w:rPr>
        <w:t>[18] L. Breiman, "Random forests," Machine Learning, vol. 45, no. 1, pp. 5-32, 2001.</w:t>
      </w:r>
    </w:p>
    <w:p>
      <w:pPr>
        <w:spacing w:after="20"/>
        <w:ind w:left="227" w:hanging="227"/>
        <w:jc w:val="both"/>
      </w:pPr>
      <w:r>
        <w:rPr>
          <w:rFonts w:ascii="Times New Roman" w:hAnsi="Times New Roman"/>
          <w:sz w:val="15"/>
        </w:rPr>
        <w:t>[19] D. E. Rumelhart, G. E. Hinton, R. J. Williams, "Learning representations by back-propagating errors," Nature, vol. 323, pp. 533-536, 1986.</w:t>
      </w:r>
    </w:p>
    <w:p>
      <w:pPr>
        <w:spacing w:after="20"/>
        <w:ind w:left="227" w:hanging="227"/>
        <w:jc w:val="both"/>
      </w:pPr>
      <w:r>
        <w:rPr>
          <w:rFonts w:ascii="Times New Roman" w:hAnsi="Times New Roman"/>
          <w:sz w:val="15"/>
        </w:rPr>
        <w:t>[20] J. Macqueen, "Some methods for classification and analysis of multivariate observations," Proc. 5th Berkeley Symp., pp. 281-297, 1967.</w:t>
      </w:r>
    </w:p>
    <w:sectPr w:rsidR="00FC693F" w:rsidRPr="0006063C" w:rsidSect="00034616">
      <w:type w:val="continuous"/>
      <w:pgSz w:w="11906" w:h="16838"/>
      <w:pgMar w:top="1440" w:right="992" w:bottom="1440" w:left="992"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