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06783" w14:textId="5F01DE49" w:rsidR="00D511E5" w:rsidRDefault="00D511E5" w:rsidP="00D10108">
      <w:pPr>
        <w:pBdr>
          <w:top w:val="nil"/>
          <w:left w:val="nil"/>
          <w:bottom w:val="nil"/>
          <w:right w:val="nil"/>
          <w:between w:val="nil"/>
        </w:pBdr>
        <w:rPr>
          <w:rFonts w:ascii="Times New Roman" w:eastAsia="Times New Roman" w:hAnsi="Times New Roman" w:cs="Times New Roman"/>
          <w:color w:val="000000"/>
          <w:sz w:val="24"/>
          <w:szCs w:val="24"/>
        </w:rPr>
      </w:pPr>
    </w:p>
    <w:p w14:paraId="716FD2F2" w14:textId="77777777" w:rsidR="00D511E5" w:rsidRDefault="00D511E5">
      <w:pPr>
        <w:pBdr>
          <w:top w:val="nil"/>
          <w:left w:val="nil"/>
          <w:bottom w:val="nil"/>
          <w:right w:val="nil"/>
          <w:between w:val="nil"/>
        </w:pBdr>
        <w:spacing w:before="84"/>
        <w:rPr>
          <w:rFonts w:ascii="Times New Roman" w:eastAsia="Times New Roman" w:hAnsi="Times New Roman" w:cs="Times New Roman"/>
          <w:color w:val="000000"/>
          <w:sz w:val="24"/>
          <w:szCs w:val="24"/>
        </w:rPr>
      </w:pPr>
    </w:p>
    <w:p w14:paraId="69FC7D41" w14:textId="201062B5" w:rsidR="00D511E5" w:rsidRDefault="00000000" w:rsidP="00AC57A1">
      <w:pPr>
        <w:pBdr>
          <w:top w:val="nil"/>
          <w:left w:val="nil"/>
          <w:bottom w:val="nil"/>
          <w:right w:val="nil"/>
          <w:between w:val="nil"/>
        </w:pBdr>
        <w:spacing w:line="360" w:lineRule="auto"/>
        <w:ind w:hanging="57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Üniversite – Kamu</w:t>
      </w:r>
      <w:r w:rsidR="00AC57A1">
        <w:rPr>
          <w:rFonts w:ascii="Times New Roman" w:eastAsia="Times New Roman" w:hAnsi="Times New Roman" w:cs="Times New Roman"/>
          <w:b/>
          <w:bCs/>
          <w:color w:val="000000"/>
          <w:sz w:val="24"/>
          <w:szCs w:val="24"/>
        </w:rPr>
        <w:t xml:space="preserve"> – </w:t>
      </w:r>
      <w:r>
        <w:rPr>
          <w:rFonts w:ascii="Times New Roman" w:eastAsia="Times New Roman" w:hAnsi="Times New Roman" w:cs="Times New Roman"/>
          <w:b/>
          <w:bCs/>
          <w:color w:val="000000"/>
          <w:sz w:val="24"/>
          <w:szCs w:val="24"/>
        </w:rPr>
        <w:t>Sanayi Ekseninde</w:t>
      </w:r>
    </w:p>
    <w:p w14:paraId="165E23D2" w14:textId="69D6F7B7" w:rsidR="00D511E5" w:rsidRDefault="00000000">
      <w:pPr>
        <w:pBdr>
          <w:top w:val="nil"/>
          <w:left w:val="nil"/>
          <w:bottom w:val="nil"/>
          <w:right w:val="nil"/>
          <w:between w:val="nil"/>
        </w:pBdr>
        <w:spacing w:line="360" w:lineRule="auto"/>
        <w:ind w:hanging="57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TÜRKİYE’NİN YEŞİL VİZYONU</w:t>
      </w:r>
    </w:p>
    <w:p w14:paraId="3490F6C6" w14:textId="77777777" w:rsidR="00D511E5" w:rsidRDefault="00000000">
      <w:pPr>
        <w:pBdr>
          <w:top w:val="nil"/>
          <w:left w:val="nil"/>
          <w:bottom w:val="nil"/>
          <w:right w:val="nil"/>
          <w:between w:val="nil"/>
        </w:pBdr>
        <w:spacing w:line="360" w:lineRule="auto"/>
        <w:ind w:hanging="576"/>
        <w:jc w:val="center"/>
        <w:rPr>
          <w:rFonts w:ascii="Times New Roman" w:eastAsia="Times New Roman" w:hAnsi="Times New Roman" w:cs="Times New Roman"/>
          <w:i/>
          <w:iCs/>
          <w:color w:val="000000"/>
        </w:rPr>
      </w:pPr>
      <w:r>
        <w:rPr>
          <w:rFonts w:ascii="Times New Roman" w:eastAsia="Times New Roman" w:hAnsi="Times New Roman" w:cs="Times New Roman"/>
          <w:i/>
          <w:iCs/>
        </w:rPr>
        <w:t>“</w:t>
      </w:r>
      <w:r>
        <w:rPr>
          <w:rFonts w:ascii="Times New Roman" w:eastAsia="Times New Roman" w:hAnsi="Times New Roman" w:cs="Times New Roman"/>
          <w:i/>
          <w:iCs/>
          <w:color w:val="000000"/>
        </w:rPr>
        <w:t>Yeşil geleceği birlikte inşa ediyoruz.</w:t>
      </w:r>
      <w:r>
        <w:rPr>
          <w:rFonts w:ascii="Times New Roman" w:eastAsia="Times New Roman" w:hAnsi="Times New Roman" w:cs="Times New Roman"/>
          <w:i/>
          <w:iCs/>
        </w:rPr>
        <w:t>”</w:t>
      </w:r>
    </w:p>
    <w:p w14:paraId="3857C859" w14:textId="77777777" w:rsidR="00D511E5" w:rsidRDefault="00000000">
      <w:pPr>
        <w:pBdr>
          <w:top w:val="nil"/>
          <w:left w:val="nil"/>
          <w:bottom w:val="nil"/>
          <w:right w:val="nil"/>
          <w:between w:val="nil"/>
        </w:pBdr>
        <w:spacing w:line="360" w:lineRule="auto"/>
        <w:ind w:hanging="57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&amp;</w:t>
      </w:r>
    </w:p>
    <w:p w14:paraId="1AADBD93" w14:textId="77777777" w:rsidR="00D511E5" w:rsidRDefault="00000000">
      <w:pPr>
        <w:pBdr>
          <w:top w:val="nil"/>
          <w:left w:val="nil"/>
          <w:bottom w:val="nil"/>
          <w:right w:val="nil"/>
          <w:between w:val="nil"/>
        </w:pBdr>
        <w:spacing w:line="360" w:lineRule="auto"/>
        <w:ind w:hanging="57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ENERGY &amp; ENVIRONMENT TECHNOLOGIES STUDENT COMPETITION</w:t>
      </w:r>
    </w:p>
    <w:p w14:paraId="164E6F92" w14:textId="77777777" w:rsidR="00D511E5" w:rsidRDefault="00000000">
      <w:pPr>
        <w:pBdr>
          <w:top w:val="nil"/>
          <w:left w:val="nil"/>
          <w:bottom w:val="nil"/>
          <w:right w:val="nil"/>
          <w:between w:val="nil"/>
        </w:pBdr>
        <w:spacing w:line="360" w:lineRule="auto"/>
        <w:ind w:hanging="57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ENERJİ &amp; ÇEVRE TEKNOLOJİLERİ ÖĞRENCİ YARIŞMASI</w:t>
      </w:r>
    </w:p>
    <w:p w14:paraId="5A1AEC3C" w14:textId="77777777" w:rsidR="00D511E5"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(EN²TECH 2026)</w:t>
      </w:r>
    </w:p>
    <w:p w14:paraId="55E59C7A" w14:textId="77777777" w:rsidR="00D511E5" w:rsidRDefault="00D511E5">
      <w:pPr>
        <w:spacing w:line="360" w:lineRule="auto"/>
        <w:jc w:val="center"/>
        <w:rPr>
          <w:rFonts w:ascii="Times New Roman" w:eastAsia="Times New Roman" w:hAnsi="Times New Roman" w:cs="Times New Roman"/>
          <w:b/>
          <w:bCs/>
          <w:sz w:val="28"/>
          <w:szCs w:val="28"/>
        </w:rPr>
      </w:pPr>
    </w:p>
    <w:p w14:paraId="64B0D6A0" w14:textId="275A89C3" w:rsidR="00D511E5" w:rsidRDefault="00423A16">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Supercritical Systems</w:t>
      </w:r>
    </w:p>
    <w:p w14:paraId="6F269DF3" w14:textId="7B2C8BCA" w:rsidR="00D511E5" w:rsidRDefault="00D511E5">
      <w:pPr>
        <w:spacing w:line="360" w:lineRule="auto"/>
        <w:jc w:val="center"/>
        <w:rPr>
          <w:rFonts w:ascii="Times New Roman" w:eastAsia="Times New Roman" w:hAnsi="Times New Roman" w:cs="Times New Roman"/>
          <w:b/>
          <w:bCs/>
          <w:sz w:val="28"/>
          <w:szCs w:val="28"/>
        </w:rPr>
      </w:pPr>
    </w:p>
    <w:p w14:paraId="37866DB6" w14:textId="4BDBBC57" w:rsidR="00D511E5" w:rsidRDefault="00CB5D7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Emir Yarkın Yama</w:t>
      </w:r>
      <w:r w:rsidR="00423A16">
        <w:rPr>
          <w:rFonts w:ascii="Times New Roman" w:eastAsia="Times New Roman" w:hAnsi="Times New Roman" w:cs="Times New Roman"/>
          <w:b/>
          <w:bCs/>
          <w:sz w:val="28"/>
          <w:szCs w:val="28"/>
        </w:rPr>
        <w:t>n</w:t>
      </w:r>
    </w:p>
    <w:p w14:paraId="3B2BB177" w14:textId="0AF87151" w:rsidR="00D511E5" w:rsidRDefault="00423A16">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Yasin Şengül</w:t>
      </w:r>
    </w:p>
    <w:p w14:paraId="1643ED9C" w14:textId="77777777" w:rsidR="00D511E5" w:rsidRDefault="00D511E5">
      <w:pPr>
        <w:spacing w:line="360" w:lineRule="auto"/>
        <w:jc w:val="center"/>
        <w:rPr>
          <w:rFonts w:ascii="Times New Roman" w:eastAsia="Times New Roman" w:hAnsi="Times New Roman" w:cs="Times New Roman"/>
          <w:b/>
          <w:bCs/>
          <w:sz w:val="28"/>
          <w:szCs w:val="28"/>
        </w:rPr>
      </w:pPr>
    </w:p>
    <w:p w14:paraId="46FF492C" w14:textId="77777777" w:rsidR="00D511E5" w:rsidRDefault="00000000">
      <w:pPr>
        <w:spacing w:line="360" w:lineRule="auto"/>
        <w:jc w:val="center"/>
        <w:rPr>
          <w:rFonts w:ascii="Times New Roman" w:eastAsia="Times New Roman" w:hAnsi="Times New Roman" w:cs="Times New Roman"/>
          <w:b/>
          <w:bCs/>
          <w:sz w:val="24"/>
          <w:szCs w:val="24"/>
        </w:rPr>
        <w:sectPr w:rsidR="00D511E5">
          <w:headerReference w:type="default" r:id="rId7"/>
          <w:footerReference w:type="default" r:id="rId8"/>
          <w:pgSz w:w="11910" w:h="16840"/>
          <w:pgMar w:top="1420" w:right="1275" w:bottom="1100" w:left="1275" w:header="0" w:footer="916" w:gutter="0"/>
          <w:pgNumType w:start="1"/>
          <w:cols w:space="708"/>
        </w:sectPr>
      </w:pPr>
      <w:r>
        <w:rPr>
          <w:rFonts w:ascii="Times New Roman" w:eastAsia="Times New Roman" w:hAnsi="Times New Roman" w:cs="Times New Roman"/>
          <w:b/>
          <w:bCs/>
          <w:sz w:val="24"/>
          <w:szCs w:val="24"/>
        </w:rPr>
        <w:t>17-18 NİSAN 2026/ANKARA</w:t>
      </w:r>
    </w:p>
    <w:p w14:paraId="4AA6EC1C" w14:textId="77777777" w:rsidR="00D511E5" w:rsidRDefault="00000000">
      <w:pPr>
        <w:pStyle w:val="Balk1"/>
        <w:numPr>
          <w:ilvl w:val="0"/>
          <w:numId w:val="2"/>
        </w:numPr>
        <w:tabs>
          <w:tab w:val="left" w:pos="573"/>
        </w:tabs>
      </w:pPr>
      <w:r>
        <w:rPr>
          <w:rFonts w:ascii="Times New Roman" w:eastAsia="Times New Roman" w:hAnsi="Times New Roman" w:cs="Times New Roman"/>
          <w:sz w:val="24"/>
          <w:szCs w:val="24"/>
        </w:rPr>
        <w:lastRenderedPageBreak/>
        <w:t>Pazar Fırsatı</w:t>
      </w:r>
    </w:p>
    <w:p w14:paraId="643DF92D" w14:textId="30D65F34" w:rsidR="00D511E5" w:rsidRPr="00D64DAF" w:rsidRDefault="00000000" w:rsidP="00D64DAF">
      <w:pPr>
        <w:pStyle w:val="Balk2"/>
        <w:numPr>
          <w:ilvl w:val="1"/>
          <w:numId w:val="2"/>
        </w:numPr>
        <w:tabs>
          <w:tab w:val="left" w:pos="2277"/>
        </w:tabs>
        <w:spacing w:before="38"/>
        <w:ind w:left="2277" w:hanging="576"/>
        <w:rPr>
          <w:rFonts w:ascii="Times New Roman" w:eastAsia="Times New Roman" w:hAnsi="Times New Roman" w:cs="Times New Roman"/>
          <w:sz w:val="24"/>
          <w:szCs w:val="24"/>
        </w:rPr>
      </w:pPr>
      <w:r>
        <w:rPr>
          <w:rFonts w:ascii="Times New Roman" w:eastAsia="Times New Roman" w:hAnsi="Times New Roman" w:cs="Times New Roman"/>
          <w:sz w:val="24"/>
          <w:szCs w:val="24"/>
        </w:rPr>
        <w:t>Ürün Tanımı</w:t>
      </w:r>
      <w:r w:rsidR="0054324E">
        <w:rPr>
          <w:noProof/>
        </w:rPr>
        <mc:AlternateContent>
          <mc:Choice Requires="wps">
            <w:drawing>
              <wp:anchor distT="45720" distB="45720" distL="114300" distR="114300" simplePos="0" relativeHeight="251658240" behindDoc="0" locked="0" layoutInCell="1" hidden="0" allowOverlap="1" wp14:anchorId="3E7C97A7" wp14:editId="3DF9749B">
                <wp:simplePos x="0" y="0"/>
                <wp:positionH relativeFrom="column">
                  <wp:posOffset>13335</wp:posOffset>
                </wp:positionH>
                <wp:positionV relativeFrom="paragraph">
                  <wp:posOffset>448310</wp:posOffset>
                </wp:positionV>
                <wp:extent cx="5867400" cy="2849880"/>
                <wp:effectExtent l="0" t="0" r="19050" b="26670"/>
                <wp:wrapSquare wrapText="bothSides" distT="45720" distB="45720" distL="114300" distR="114300"/>
                <wp:docPr id="12" name="Dikdörtgen 12"/>
                <wp:cNvGraphicFramePr/>
                <a:graphic xmlns:a="http://schemas.openxmlformats.org/drawingml/2006/main">
                  <a:graphicData uri="http://schemas.microsoft.com/office/word/2010/wordprocessingShape">
                    <wps:wsp>
                      <wps:cNvSpPr/>
                      <wps:spPr>
                        <a:xfrm>
                          <a:off x="0" y="0"/>
                          <a:ext cx="5867400" cy="284988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01D900B" w14:textId="0B7DB0C1" w:rsidR="00D511E5" w:rsidRDefault="00E94128" w:rsidP="0054324E">
                            <w:pPr>
                              <w:jc w:val="both"/>
                              <w:textDirection w:val="btLr"/>
                            </w:pPr>
                            <w:r w:rsidRPr="00E94128">
                              <w:t xml:space="preserve">Küresel ticaretin merkezindeki limanlar; artan enerji maliyetleri, bekleyen gemilerin dizel jeneratörlerinden kaynaklanan karbon emisyonları ve değerlendirilemeyen plastik atıklar nedeniyle çok boyutlu bir krizle karşı karşıyadır. Bu problemlere bütüncül bir yaklaşım getirmek amacıyla, enerji üretimi ile atık yönetimini tek bir termodinamik döngüde birleştiren 1.4 MWe elektrik kapasiteli mikroreaktör tabanlı "Entegre Liman Ekosistemi" konsepti araştırılmaktadır. Tasarımın temelini; birincil soğutma döngüsünde hareketli mekanik parça içermeyen ve potasyum ısı borusu teknolojisiyle soğutulan reaktör modeli oluşturmaktadır. Sistemde, reaktörden elde edilen ısının sCO2 Brayton döngüsü ile yüksek verimle elektriğe dönüştürülmesi ve üretilen bu enerjinin gemilere </w:t>
                            </w:r>
                            <w:r>
                              <w:t>“</w:t>
                            </w:r>
                            <w:r w:rsidRPr="00E94128">
                              <w:t>cold ironing</w:t>
                            </w:r>
                            <w:r>
                              <w:t xml:space="preserve">” </w:t>
                            </w:r>
                            <w:r w:rsidRPr="00E94128">
                              <w:t>olarak sağlanması hedeflenmektedir. Kademeli atık ısı kullanım felsefesi doğrultusunda; türbinden atılan orta dereceli ısının plastik atıkların pirolizinde kullanılarak syngas ve katı karbona dönüştürülmesi, düşük dereceli ısının ise desalinasyon işlemine yönlendirilmesi planlanmaktadır. Bu modelle limanların; enerji üreten, atık bertaraf eden ve karbon ayak izini minimize eden daha sürdürülebilir altyapı merkezlerine dönüşebileceği öngörülmektedir.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E7C97A7" id="Dikdörtgen 12" o:spid="_x0000_s1026" style="position:absolute;left:0;text-align:left;margin-left:1.05pt;margin-top:35.3pt;width:462pt;height:224.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5YYFAIAAEAEAAAOAAAAZHJzL2Uyb0RvYy54bWysU9uO2jAQfa/Uf7D8XhIQ7EJEWFVLqSqt&#10;2pW2/YDBcYgl3+oxJPx9x4YC21aqVDUPztgez5w5c2b5MBjNDjKgcrbm41HJmbTCNcruav7t6+bd&#10;nDOMYBvQzsqaHyXyh9XbN8veV3LiOqcbGRgFsVj1vuZdjL4qChSdNIAj56Wly9YFA5G2YVc0AXqK&#10;bnQxKcu7oneh8cEJiUin69MlX+X4bStF/NK2KCPTNSdsMa8hr9u0FqslVLsAvlPiDAP+AYUBZSnp&#10;JdQaIrB9UL+FMkoEh66NI+FM4dpWCZlroGrG5S/VvHTgZa6FyEF/oQn/X1jx+fDinwPR0HuskMxU&#10;xdAGk/6Ejw2ZrOOFLDlEJuhwNr+7n5bEqaC7yXy6mM8zncX1uQ8YP0pnWDJqHqgbmSQ4PGGklOT6&#10;0yVlQ6dVs1Fa503YbR91YAegzm3yl5pFT165acv6mi9mkxkBARJQqyGSaXxTc7S7nO/VC7wNXObv&#10;T4ETsDVgdwKQI5zEYlQkxWplaj6/vIaqk9B8sA2LR08ytyR2npCh4UxLGg0ystYiKP13PypTW6r2&#10;2pRkxWE7nDu1dc3xOTD0YqMI6RNgfIZA0h1TWpIzJfy+h0Ag9CdLelmMp4mimDfT2X1qXLi92d7e&#10;gBWdoykhJk/mY8wzkxpj3ft9dK3KDUyoTlDOYEmmuUnnkUpzcLvPXtfBX/0AAAD//wMAUEsDBBQA&#10;BgAIAAAAIQAMsBow3QAAAAgBAAAPAAAAZHJzL2Rvd25yZXYueG1sTI/NTsMwEITvSLyDtUhcEHUS&#10;IG1DNhVE4kglUh7AjbdJRLyOYueHt8ec4Dg7o5lv88NqejHT6DrLCPEmAkFcW91xg/B5ervfgXBe&#10;sVa9ZUL4JgeH4voqV5m2C3/QXPlGhBJ2mUJovR8yKV3dklFuYwfi4F3saJQPcmykHtUSyk0vkyhK&#10;pVEdh4VWDVS2VH9Vk0E4uYeupL7aunmu3l/L6c4s6oh4e7O+PIPwtPq/MPziB3QoAtPZTqyd6BGS&#10;OAQRtlEKItj7JA2HM8JTvH8EWeTy/wPFDwAAAP//AwBQSwECLQAUAAYACAAAACEAtoM4kv4AAADh&#10;AQAAEwAAAAAAAAAAAAAAAAAAAAAAW0NvbnRlbnRfVHlwZXNdLnhtbFBLAQItABQABgAIAAAAIQA4&#10;/SH/1gAAAJQBAAALAAAAAAAAAAAAAAAAAC8BAABfcmVscy8ucmVsc1BLAQItABQABgAIAAAAIQAl&#10;K5YYFAIAAEAEAAAOAAAAAAAAAAAAAAAAAC4CAABkcnMvZTJvRG9jLnhtbFBLAQItABQABgAIAAAA&#10;IQAMsBow3QAAAAgBAAAPAAAAAAAAAAAAAAAAAG4EAABkcnMvZG93bnJldi54bWxQSwUGAAAAAAQA&#10;BADzAAAAeAUAAAAA&#10;">
                <v:stroke startarrowwidth="narrow" startarrowlength="short" endarrowwidth="narrow" endarrowlength="short"/>
                <v:textbox inset="2.53958mm,1.2694mm,2.53958mm,1.2694mm">
                  <w:txbxContent>
                    <w:p w14:paraId="401D900B" w14:textId="0B7DB0C1" w:rsidR="00D511E5" w:rsidRDefault="00E94128" w:rsidP="0054324E">
                      <w:pPr>
                        <w:jc w:val="both"/>
                        <w:textDirection w:val="btLr"/>
                      </w:pPr>
                      <w:r w:rsidRPr="00E94128">
                        <w:t xml:space="preserve">Küresel ticaretin merkezindeki limanlar; artan enerji maliyetleri, bekleyen gemilerin dizel jeneratörlerinden kaynaklanan karbon emisyonları ve değerlendirilemeyen plastik atıklar nedeniyle çok boyutlu bir krizle karşı karşıyadır. Bu problemlere bütüncül bir yaklaşım getirmek amacıyla, enerji üretimi ile atık yönetimini tek bir termodinamik döngüde birleştiren 1.4 MWe elektrik kapasiteli mikroreaktör tabanlı "Entegre Liman Ekosistemi" konsepti araştırılmaktadır. Tasarımın temelini; birincil soğutma döngüsünde hareketli mekanik parça içermeyen ve potasyum ısı borusu teknolojisiyle soğutulan reaktör modeli oluşturmaktadır. Sistemde, reaktörden elde edilen ısının sCO2 Brayton döngüsü ile yüksek verimle elektriğe dönüştürülmesi ve üretilen bu enerjinin gemilere </w:t>
                      </w:r>
                      <w:r>
                        <w:t>“</w:t>
                      </w:r>
                      <w:r w:rsidRPr="00E94128">
                        <w:t>cold ironing</w:t>
                      </w:r>
                      <w:r>
                        <w:t xml:space="preserve">” </w:t>
                      </w:r>
                      <w:r w:rsidRPr="00E94128">
                        <w:t>olarak sağlanması hedeflenmektedir. Kademeli atık ısı kullanım felsefesi doğrultusunda; türbinden atılan orta dereceli ısının plastik atıkların pirolizinde kullanılarak syngas ve katı karbona dönüştürülmesi, düşük dereceli ısının ise desalinasyon işlemine yönlendirilmesi planlanmaktadır. Bu modelle limanların; enerji üreten, atık bertaraf eden ve karbon ayak izini minimize eden daha sürdürülebilir altyapı merkezlerine dönüşebileceği öngörülmektedir.</w:t>
                      </w:r>
                    </w:p>
                  </w:txbxContent>
                </v:textbox>
                <w10:wrap type="square"/>
              </v:rect>
            </w:pict>
          </mc:Fallback>
        </mc:AlternateContent>
      </w:r>
    </w:p>
    <w:p w14:paraId="388D18BA" w14:textId="77777777" w:rsidR="00D511E5" w:rsidRDefault="00D511E5">
      <w:pPr>
        <w:pBdr>
          <w:top w:val="nil"/>
          <w:left w:val="nil"/>
          <w:bottom w:val="nil"/>
          <w:right w:val="nil"/>
          <w:between w:val="nil"/>
        </w:pBdr>
        <w:ind w:left="141"/>
        <w:rPr>
          <w:rFonts w:ascii="Times New Roman" w:eastAsia="Times New Roman" w:hAnsi="Times New Roman" w:cs="Times New Roman"/>
          <w:color w:val="000000"/>
          <w:sz w:val="24"/>
          <w:szCs w:val="24"/>
        </w:rPr>
      </w:pPr>
    </w:p>
    <w:p w14:paraId="17FA73A9" w14:textId="77777777" w:rsidR="00D511E5" w:rsidRDefault="00D511E5">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7E33D6EF" w14:textId="77777777" w:rsidR="00D511E5" w:rsidRDefault="00000000">
      <w:pPr>
        <w:pStyle w:val="Balk2"/>
        <w:numPr>
          <w:ilvl w:val="1"/>
          <w:numId w:val="2"/>
        </w:numPr>
        <w:tabs>
          <w:tab w:val="left" w:pos="2277"/>
        </w:tabs>
        <w:ind w:left="2277" w:hanging="576"/>
        <w:rPr>
          <w:rFonts w:ascii="Times New Roman" w:eastAsia="Times New Roman" w:hAnsi="Times New Roman" w:cs="Times New Roman"/>
          <w:sz w:val="24"/>
          <w:szCs w:val="24"/>
        </w:rPr>
      </w:pPr>
      <w:r>
        <w:rPr>
          <w:rFonts w:ascii="Times New Roman" w:eastAsia="Times New Roman" w:hAnsi="Times New Roman" w:cs="Times New Roman"/>
          <w:sz w:val="24"/>
          <w:szCs w:val="24"/>
        </w:rPr>
        <w:t>Hedef Müşteri Profili</w:t>
      </w:r>
    </w:p>
    <w:p w14:paraId="77E8415C" w14:textId="69103C91" w:rsidR="00D511E5" w:rsidRPr="00D64DAF" w:rsidRDefault="00D64DAF" w:rsidP="00D64DAF">
      <w:pPr>
        <w:pBdr>
          <w:top w:val="nil"/>
          <w:left w:val="nil"/>
          <w:bottom w:val="nil"/>
          <w:right w:val="nil"/>
          <w:between w:val="nil"/>
        </w:pBdr>
        <w:tabs>
          <w:tab w:val="left" w:pos="390"/>
        </w:tabs>
        <w:spacing w:before="2"/>
        <w:ind w:right="461"/>
        <w:rPr>
          <w:rFonts w:ascii="Times New Roman" w:eastAsia="Times New Roman" w:hAnsi="Times New Roman" w:cs="Times New Roman"/>
          <w:color w:val="000000"/>
          <w:sz w:val="24"/>
          <w:szCs w:val="24"/>
        </w:rPr>
        <w:sectPr w:rsidR="00D511E5" w:rsidRPr="00D64DAF">
          <w:pgSz w:w="11910" w:h="16840"/>
          <w:pgMar w:top="1320" w:right="1275" w:bottom="1100" w:left="1275" w:header="0" w:footer="916" w:gutter="0"/>
          <w:cols w:space="708"/>
        </w:sectPr>
      </w:pPr>
      <w:r>
        <w:rPr>
          <w:noProof/>
        </w:rPr>
        <mc:AlternateContent>
          <mc:Choice Requires="wps">
            <w:drawing>
              <wp:anchor distT="45720" distB="45720" distL="114300" distR="114300" simplePos="0" relativeHeight="251659264" behindDoc="0" locked="0" layoutInCell="1" hidden="0" allowOverlap="1" wp14:anchorId="4C6D3084" wp14:editId="77FB9A9A">
                <wp:simplePos x="0" y="0"/>
                <wp:positionH relativeFrom="margin">
                  <wp:align>left</wp:align>
                </wp:positionH>
                <wp:positionV relativeFrom="paragraph">
                  <wp:posOffset>739775</wp:posOffset>
                </wp:positionV>
                <wp:extent cx="5867400" cy="3002280"/>
                <wp:effectExtent l="0" t="0" r="19050" b="26670"/>
                <wp:wrapSquare wrapText="bothSides" distT="45720" distB="45720" distL="114300" distR="114300"/>
                <wp:docPr id="7" name="Dikdörtgen 7"/>
                <wp:cNvGraphicFramePr/>
                <a:graphic xmlns:a="http://schemas.openxmlformats.org/drawingml/2006/main">
                  <a:graphicData uri="http://schemas.microsoft.com/office/word/2010/wordprocessingShape">
                    <wps:wsp>
                      <wps:cNvSpPr/>
                      <wps:spPr>
                        <a:xfrm>
                          <a:off x="0" y="0"/>
                          <a:ext cx="5867400" cy="300228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F33290A" w14:textId="0673FACC" w:rsidR="00D511E5" w:rsidRDefault="00E94128" w:rsidP="00D64DAF">
                            <w:pPr>
                              <w:jc w:val="both"/>
                              <w:textDirection w:val="btLr"/>
                            </w:pPr>
                            <w:r w:rsidRPr="00E94128">
                              <w:t>"Entegre Liman Ekosistemi" modelinin öncelikli uygulama alanı olarak liman işletmeleri ve entegre sanayi bölgeleri belirlenmiştir. Bu tesisler; kesintisiz operasyon gereksinimleri, fosil yakıtlara dayalı yüksek enerji talepleri ve sıkılaşan emisyon regülasyonları nedeniyle önemli altyapısal zorluklar yaşamaktadır. Liman işletmelerinin temel sorumlulukları arasında operasyonel maliyetleri düşürmek, "cold ironing" hizmeti sunmak ve karbon vergisi gibi uluslararası sıfır emisyon standartlarına uyum sağlamak yer almaktadır. İkincil uygulama alanlarını ise katı atık bertarafı ihtiyacı duyan yerel yönetimler ve denizcilik firmaları oluşturmaktadır. Ayrıca, kaskad atık ısı döngüsü sonucunda elde edilecek syngas, katı karbon ve tatlı su gibi yan ürünlerin, bölgedeki sanayi ve tarım kuruluşları tarafından endüstriyel hammadde olarak değerlendirilme potansiyeli bulunmaktadır. Sistemin ekonomik uygulanabilirliği incelendiğinde; tesisin çoklu nakit akışı mekanizmaları ve karbon kredisi potansiyeli sayesinde kendi altyapı maliyetini makul bir sürede amorti edebileceği ve yatırım açısından sürdürülebilir bir mali model sunabileceği değerlendirilmektedir.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C6D3084" id="Dikdörtgen 7" o:spid="_x0000_s1027" style="position:absolute;margin-left:0;margin-top:58.25pt;width:462pt;height:236.4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P0GAIAAEcEAAAOAAAAZHJzL2Uyb0RvYy54bWysU9tu2zAMfR+wfxD0vtrJkjY14hRDswwD&#10;ijVAtw9gZDkWoNtEJXb+fpSSJek2YMAwP8iURB0ekofzh8FotpcBlbM1H92UnEkrXKPstubfvq7e&#10;zTjDCLYB7ays+UEif1i8fTPvfSXHrnO6kYERiMWq9zXvYvRVUaDopAG8cV5aumxdMBBpG7ZFE6An&#10;dKOLcVneFr0LjQ9OSEQ6XR4v+SLjt60U8bltUUama07cYl5DXjdpLRZzqLYBfKfEiQb8AwsDylLQ&#10;M9QSIrBdUL9BGSWCQ9fGG+FM4dpWCZlzoGxG5S/ZvHTgZc6FioP+XCb8f7Diy/7FrwOVofdYIZkp&#10;i6ENJv2JHxtysQ7nYskhMkGH09nt3aSkmgq6e1+W4/Esl7O4PPcB4yfpDEtGzQN1IxcJ9k8YKSS5&#10;/nRJ0dBp1ayU1nkTtptHHdgeqHOr/KVm0ZNXbtqyvub30/GUiAAJqNUQyTS+qTnabY736gVeA5f5&#10;+xNwIrYE7I4EMsJRLEZFUqxWpuaz82uoOgnNR9uwePAkc0ti54kZGs60pNEgI2stgtJ/96M0taVs&#10;L01JVhw2A1OU2ChhpZONaw7rwNCLlSLCT4BxDYEUPKLopGqK+30Hgbjoz5Zkcz+apErFvJlM71L/&#10;wvXN5voGrOgcDQsV9Gg+xjw6qT/WfdhF16rcxwuVE2dSa+7VabLSOFzvs9dl/hc/AAAA//8DAFBL&#10;AwQUAAYACAAAACEAfdoJB9wAAAAIAQAADwAAAGRycy9kb3ducmV2LnhtbEyPzU7DMBCE70i8g7VI&#10;XBB12tLSpnEqiMSRSqQ8gBtvkwh7HcXOD2/PcoLjzoxmv8mOs7NixD60nhQsFwkIpMqblmoFn+e3&#10;xx2IEDUZbT2hgm8McMxvbzKdGj/RB45lrAWXUEi1gibGLpUyVA06HRa+Q2Lv6nunI599LU2vJy53&#10;Vq6SZCudbok/NLrDosHqqxycgnNYtwXa8jmMY/n+WgwPbtInpe7v5pcDiIhz/AvDLz6jQ85MFz+Q&#10;CcIq4CGR1eV2A4Lt/eqJlYuCzW6/Bpln8v+A/AcAAP//AwBQSwECLQAUAAYACAAAACEAtoM4kv4A&#10;AADhAQAAEwAAAAAAAAAAAAAAAAAAAAAAW0NvbnRlbnRfVHlwZXNdLnhtbFBLAQItABQABgAIAAAA&#10;IQA4/SH/1gAAAJQBAAALAAAAAAAAAAAAAAAAAC8BAABfcmVscy8ucmVsc1BLAQItABQABgAIAAAA&#10;IQD+S8P0GAIAAEcEAAAOAAAAAAAAAAAAAAAAAC4CAABkcnMvZTJvRG9jLnhtbFBLAQItABQABgAI&#10;AAAAIQB92gkH3AAAAAgBAAAPAAAAAAAAAAAAAAAAAHIEAABkcnMvZG93bnJldi54bWxQSwUGAAAA&#10;AAQABADzAAAAewUAAAAA&#10;">
                <v:stroke startarrowwidth="narrow" startarrowlength="short" endarrowwidth="narrow" endarrowlength="short"/>
                <v:textbox inset="2.53958mm,1.2694mm,2.53958mm,1.2694mm">
                  <w:txbxContent>
                    <w:p w14:paraId="2F33290A" w14:textId="0673FACC" w:rsidR="00D511E5" w:rsidRDefault="00E94128" w:rsidP="00D64DAF">
                      <w:pPr>
                        <w:jc w:val="both"/>
                        <w:textDirection w:val="btLr"/>
                      </w:pPr>
                      <w:r w:rsidRPr="00E94128">
                        <w:t>"Entegre Liman Ekosistemi" modelinin öncelikli uygulama alanı olarak liman işletmeleri ve entegre sanayi bölgeleri belirlenmiştir. Bu tesisler; kesintisiz operasyon gereksinimleri, fosil yakıtlara dayalı yüksek enerji talepleri ve sıkılaşan emisyon regülasyonları nedeniyle önemli altyapısal zorluklar yaşamaktadır. Liman işletmelerinin temel sorumlulukları arasında operasyonel maliyetleri düşürmek, "cold ironing" hizmeti sunmak ve karbon vergisi gibi uluslararası sıfır emisyon standartlarına uyum sağlamak yer almaktadır. İkincil uygulama alanlarını ise katı atık bertarafı ihtiyacı duyan yerel yönetimler ve denizcilik firmaları oluşturmaktadır. Ayrıca, kaskad atık ısı döngüsü sonucunda elde edilecek syngas, katı karbon ve tatlı su gibi yan ürünlerin, bölgedeki sanayi ve tarım kuruluşları tarafından endüstriyel hammadde olarak değerlendirilme potansiyeli bulunmaktadır. Sistemin ekonomik uygulanabilirliği incelendiğinde; tesisin çoklu nakit akışı mekanizmaları ve karbon kredisi potansiyeli sayesinde kendi altyapı maliyetini makul bir sürede amorti edebileceği ve yatırım açısından sürdürülebilir bir mali model sunabileceği değerlendirilmektedir.</w:t>
                      </w:r>
                    </w:p>
                  </w:txbxContent>
                </v:textbox>
                <w10:wrap type="square" anchorx="margin"/>
              </v:rect>
            </w:pict>
          </mc:Fallback>
        </mc:AlternateContent>
      </w:r>
    </w:p>
    <w:p w14:paraId="06B5406A" w14:textId="29201C71" w:rsidR="00D511E5" w:rsidRPr="00C631EF" w:rsidRDefault="00000000" w:rsidP="00C631EF">
      <w:pPr>
        <w:pStyle w:val="Balk2"/>
        <w:numPr>
          <w:ilvl w:val="1"/>
          <w:numId w:val="2"/>
        </w:numPr>
        <w:tabs>
          <w:tab w:val="left" w:pos="2277"/>
        </w:tabs>
        <w:spacing w:before="72"/>
        <w:ind w:left="2277" w:hanging="576"/>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Müşteri İhtiyaçları</w:t>
      </w:r>
      <w:r w:rsidR="00C631EF">
        <w:rPr>
          <w:noProof/>
        </w:rPr>
        <mc:AlternateContent>
          <mc:Choice Requires="wps">
            <w:drawing>
              <wp:anchor distT="45720" distB="45720" distL="114300" distR="114300" simplePos="0" relativeHeight="251660288" behindDoc="0" locked="0" layoutInCell="1" hidden="0" allowOverlap="1" wp14:anchorId="3F2A06FC" wp14:editId="736D5A55">
                <wp:simplePos x="0" y="0"/>
                <wp:positionH relativeFrom="margin">
                  <wp:align>left</wp:align>
                </wp:positionH>
                <wp:positionV relativeFrom="paragraph">
                  <wp:posOffset>710565</wp:posOffset>
                </wp:positionV>
                <wp:extent cx="5867400" cy="3169920"/>
                <wp:effectExtent l="0" t="0" r="19050" b="11430"/>
                <wp:wrapSquare wrapText="bothSides" distT="45720" distB="45720" distL="114300" distR="114300"/>
                <wp:docPr id="13" name="Dikdörtgen 13"/>
                <wp:cNvGraphicFramePr/>
                <a:graphic xmlns:a="http://schemas.openxmlformats.org/drawingml/2006/main">
                  <a:graphicData uri="http://schemas.microsoft.com/office/word/2010/wordprocessingShape">
                    <wps:wsp>
                      <wps:cNvSpPr/>
                      <wps:spPr>
                        <a:xfrm>
                          <a:off x="0" y="0"/>
                          <a:ext cx="5867400" cy="31699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8DC5D94" w14:textId="181BBA62" w:rsidR="00D511E5" w:rsidRDefault="00E94128" w:rsidP="00C631EF">
                            <w:pPr>
                              <w:jc w:val="both"/>
                              <w:textDirection w:val="btLr"/>
                            </w:pPr>
                            <w:r w:rsidRPr="00E94128">
                              <w:t xml:space="preserve">Liman işletmeleri ve entegre sanayi bölgelerinin temel altyapı gereksinimleri; elektrifikasyon talebini karşılayacak kesintisiz enerji temini, atık bertarafı ve emisyon regülasyonlarına uyum olarak özetlenebilir. Günümüzde bu tesislerin enerji ihtiyacı çoğunlukla dışa bağımlı ve fosil yakıtlara dayalı doğrusal </w:t>
                            </w:r>
                            <w:r>
                              <w:t>sistemlerle</w:t>
                            </w:r>
                            <w:r w:rsidRPr="00E94128">
                              <w:t xml:space="preserve"> karşılanmaktadır. Gemilerin limanda bekleme süreleri boyunca dizel jeneratörlerini çalıştırmaları hava kalitesini olumsuz etkilerken; denizcilik, sanayi ve belediye kaynaklı plastik atıklar döngüsel ekonomiye kazandırılamadan depolanmakta veya düşük verimle bertaraf edilmektedir. Mevcut yaklaşımlardaki temel kısıtlardan biri, enerji üretimi ile atık yönetiminin birbirinden bağımsız süreçler olarak yürütülmesidir. Bu kopukluk, kaynak kullanımında ciddi verimsizliklere yol açmaktadır. Geleneksel şebekeler artan güç talebini karşılamakta zorlanırken, atıkların termal potansiyeli de yeterince değerlendirilememektedir. Ek olarak, fosil tabanlı kazanlar liman çevresinde karbon emisyonunu artırmakta ve geleneksel su soğutmalı santraller deniz ekosistemine yüksek sıcaklıklarda su deşarj ederek termal kirlilik riski oluşturmaktadır. Bu kısıtlar göz önüne alındığında; enerji ihtiyacını yerinde karşılayan, atıkları hammaddeye dönüştüren ve çevresel etkileri minimize eden bütüncül bir ekosistem modeline ihtiyaç duyulduğu görülmektedir.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F2A06FC" id="Dikdörtgen 13" o:spid="_x0000_s1028" style="position:absolute;left:0;text-align:left;margin-left:0;margin-top:55.95pt;width:462pt;height:249.6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gcFGAIAAEcEAAAOAAAAZHJzL2Uyb0RvYy54bWysU9uO2jAQfa/Uf7D8XhIosBARVtVSqkqr&#10;7krbfsDgOMSSb/UYAn/fsaHAtpUqVc2DM7bHZ87MnFncH4xmexlQOVvz4aDkTFrhGmW3Nf/2df1u&#10;xhlGsA1oZ2XNjxL5/fLtm0XvKzlyndONDIxALFa9r3kXo6+KAkUnDeDAeWnpsnXBQKRt2BZNgJ7Q&#10;jS5GZTktehcaH5yQiHS6Ol3yZcZvWyniU9uijEzXnLjFvIa8btJaLBdQbQP4TokzDfgHFgaUpaAX&#10;qBVEYLugfoMySgSHro0D4Uzh2lYJmXOgbIblL9m8dOBlzoWKg/5SJvx/sOLL/sU/BypD77FCMlMW&#10;hzaY9Cd+7JCLdbwUSx4iE3Q4mU3vxiXVVNDd++F0Ph/lchbX5z5g/CSdYcmoeaBu5CLB/hEjhSTX&#10;ny4pGjqtmrXSOm/CdvOgA9sDdW6dv9QsevLKTVvW13w+GU2ICJCAWg2RTOObmqPd5nivXuAtcJm/&#10;PwEnYivA7kQgI5zEYlQkxWplaj67vIaqk9B8tA2LR08ytyR2npih4UxLGg0ystYiKP13P0pTW8r2&#10;2pRkxcPmwBQlNkpY6WTjmuNzYOjFWhHhR8D4DIEUPKTopGqK+30Hgbjoz5ZkMx+OU6Vi3ownd6l/&#10;4fZmc3sDVnSOhoUKejIfYh6d1B/rPuyia1Xu45XKmTOpNffqPFlpHG732es6/8sfAAAA//8DAFBL&#10;AwQUAAYACAAAACEAeyubydoAAAAIAQAADwAAAGRycy9kb3ducmV2LnhtbEyPzU7DMBCE70i8g7VI&#10;XBB1UlChIU4FkTiC1JQH2MZLEhGvo9j54e1ZTnDcb0azM/lhdb2aaQydZwPpJgFFXHvbcWPg4/R6&#10;+wgqRGSLvWcy8E0BDsXlRY6Z9Qsfaa5ioySEQ4YG2hiHTOtQt+QwbPxALNqnHx1GOcdG2xEXCXe9&#10;3ibJTjvsWD60OFDZUv1VTc7AKdx1JfXVQ5jn6u2lnG7cgu/GXF+tz0+gIq3xzwy/9aU6FNLp7Ce2&#10;QfUGZEgUmqZ7UCLvt/dCzgZ2gkAXuf4/oPgBAAD//wMAUEsBAi0AFAAGAAgAAAAhALaDOJL+AAAA&#10;4QEAABMAAAAAAAAAAAAAAAAAAAAAAFtDb250ZW50X1R5cGVzXS54bWxQSwECLQAUAAYACAAAACEA&#10;OP0h/9YAAACUAQAACwAAAAAAAAAAAAAAAAAvAQAAX3JlbHMvLnJlbHNQSwECLQAUAAYACAAAACEA&#10;7soHBRgCAABHBAAADgAAAAAAAAAAAAAAAAAuAgAAZHJzL2Uyb0RvYy54bWxQSwECLQAUAAYACAAA&#10;ACEAeyubydoAAAAIAQAADwAAAAAAAAAAAAAAAAByBAAAZHJzL2Rvd25yZXYueG1sUEsFBgAAAAAE&#10;AAQA8wAAAHkFAAAAAA==&#10;">
                <v:stroke startarrowwidth="narrow" startarrowlength="short" endarrowwidth="narrow" endarrowlength="short"/>
                <v:textbox inset="2.53958mm,1.2694mm,2.53958mm,1.2694mm">
                  <w:txbxContent>
                    <w:p w14:paraId="78DC5D94" w14:textId="181BBA62" w:rsidR="00D511E5" w:rsidRDefault="00E94128" w:rsidP="00C631EF">
                      <w:pPr>
                        <w:jc w:val="both"/>
                        <w:textDirection w:val="btLr"/>
                      </w:pPr>
                      <w:r w:rsidRPr="00E94128">
                        <w:t xml:space="preserve">Liman işletmeleri ve entegre sanayi bölgelerinin temel altyapı gereksinimleri; elektrifikasyon talebini karşılayacak kesintisiz enerji temini, atık bertarafı ve emisyon regülasyonlarına uyum olarak özetlenebilir. Günümüzde bu tesislerin enerji ihtiyacı çoğunlukla dışa bağımlı ve fosil yakıtlara dayalı doğrusal </w:t>
                      </w:r>
                      <w:r>
                        <w:t>sistemlerle</w:t>
                      </w:r>
                      <w:r w:rsidRPr="00E94128">
                        <w:t xml:space="preserve"> karşılanmaktadır. Gemilerin limanda bekleme süreleri boyunca dizel jeneratörlerini çalıştırmaları hava kalitesini olumsuz etkilerken; denizcilik, sanayi ve belediye kaynaklı plastik atıklar döngüsel ekonomiye kazandırılamadan depolanmakta veya düşük verimle bertaraf edilmektedir. Mevcut yaklaşımlardaki temel kısıtlardan biri, enerji üretimi ile atık yönetiminin birbirinden bağımsız süreçler olarak yürütülmesidir. Bu kopukluk, kaynak kullanımında ciddi verimsizliklere yol açmaktadır. Geleneksel şebekeler artan güç talebini karşılamakta zorlanırken, atıkların termal potansiyeli de yeterince değerlendirilememektedir. Ek olarak, fosil tabanlı kazanlar liman çevresinde karbon emisyonunu artırmakta ve geleneksel su soğutmalı santraller deniz ekosistemine yüksek sıcaklıklarda su deşarj ederek termal kirlilik riski oluşturmaktadır. Bu kısıtlar göz önüne alındığında; enerji ihtiyacını yerinde karşılayan, atıkları hammaddeye dönüştüren ve çevresel etkileri minimize eden bütüncül bir ekosistem modeline ihtiyaç duyulduğu görülmektedir.</w:t>
                      </w:r>
                    </w:p>
                  </w:txbxContent>
                </v:textbox>
                <w10:wrap type="square" anchorx="margin"/>
              </v:rect>
            </w:pict>
          </mc:Fallback>
        </mc:AlternateContent>
      </w:r>
    </w:p>
    <w:p w14:paraId="7274DCF3" w14:textId="64768B82" w:rsidR="00D511E5" w:rsidRDefault="00D511E5" w:rsidP="00C631EF">
      <w:pPr>
        <w:pBdr>
          <w:top w:val="nil"/>
          <w:left w:val="nil"/>
          <w:bottom w:val="nil"/>
          <w:right w:val="nil"/>
          <w:between w:val="nil"/>
        </w:pBdr>
        <w:rPr>
          <w:rFonts w:ascii="Times New Roman" w:eastAsia="Times New Roman" w:hAnsi="Times New Roman" w:cs="Times New Roman"/>
          <w:color w:val="000000"/>
          <w:sz w:val="24"/>
          <w:szCs w:val="24"/>
        </w:rPr>
      </w:pPr>
    </w:p>
    <w:p w14:paraId="084D4A32" w14:textId="77777777" w:rsidR="00D511E5" w:rsidRDefault="00D511E5">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3B124C40" w14:textId="021D74B9" w:rsidR="00D511E5" w:rsidRPr="00C631EF" w:rsidRDefault="00000000" w:rsidP="00C631EF">
      <w:pPr>
        <w:pStyle w:val="Balk2"/>
        <w:numPr>
          <w:ilvl w:val="1"/>
          <w:numId w:val="2"/>
        </w:numPr>
        <w:tabs>
          <w:tab w:val="left" w:pos="2276"/>
        </w:tabs>
        <w:ind w:left="2276" w:hanging="57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Pazar Büyüklüğü</w:t>
      </w:r>
    </w:p>
    <w:p w14:paraId="48040CA4" w14:textId="77777777" w:rsidR="00D511E5" w:rsidRDefault="00D511E5">
      <w:pPr>
        <w:pBdr>
          <w:top w:val="nil"/>
          <w:left w:val="nil"/>
          <w:bottom w:val="nil"/>
          <w:right w:val="nil"/>
          <w:between w:val="nil"/>
        </w:pBdr>
        <w:ind w:left="141"/>
        <w:rPr>
          <w:rFonts w:ascii="Times New Roman" w:eastAsia="Times New Roman" w:hAnsi="Times New Roman" w:cs="Times New Roman"/>
          <w:color w:val="000000"/>
          <w:sz w:val="24"/>
          <w:szCs w:val="24"/>
        </w:rPr>
      </w:pPr>
    </w:p>
    <w:p w14:paraId="5E65BDCD" w14:textId="77777777" w:rsidR="00D511E5" w:rsidRDefault="00000000">
      <w:pPr>
        <w:pBdr>
          <w:top w:val="nil"/>
          <w:left w:val="nil"/>
          <w:bottom w:val="nil"/>
          <w:right w:val="nil"/>
          <w:between w:val="nil"/>
        </w:pBdr>
        <w:ind w:left="141"/>
        <w:rPr>
          <w:rFonts w:ascii="Times New Roman" w:eastAsia="Times New Roman" w:hAnsi="Times New Roman" w:cs="Times New Roman"/>
          <w:color w:val="000000"/>
          <w:sz w:val="24"/>
          <w:szCs w:val="24"/>
        </w:rPr>
        <w:sectPr w:rsidR="00D511E5">
          <w:pgSz w:w="11910" w:h="16840"/>
          <w:pgMar w:top="1320" w:right="1275" w:bottom="1100" w:left="1275" w:header="0" w:footer="916" w:gutter="0"/>
          <w:cols w:space="708"/>
        </w:sectPr>
      </w:pPr>
      <w:r>
        <w:rPr>
          <w:noProof/>
        </w:rPr>
        <mc:AlternateContent>
          <mc:Choice Requires="wps">
            <w:drawing>
              <wp:anchor distT="45720" distB="45720" distL="114300" distR="114300" simplePos="0" relativeHeight="251661312" behindDoc="0" locked="0" layoutInCell="1" hidden="0" allowOverlap="1" wp14:anchorId="15AA0420" wp14:editId="7CDD05A6">
                <wp:simplePos x="0" y="0"/>
                <wp:positionH relativeFrom="margin">
                  <wp:align>left</wp:align>
                </wp:positionH>
                <wp:positionV relativeFrom="paragraph">
                  <wp:posOffset>49530</wp:posOffset>
                </wp:positionV>
                <wp:extent cx="5867400" cy="3733800"/>
                <wp:effectExtent l="0" t="0" r="19050" b="19050"/>
                <wp:wrapSquare wrapText="bothSides" distT="45720" distB="45720" distL="114300" distR="114300"/>
                <wp:docPr id="21" name="Dikdörtgen 21"/>
                <wp:cNvGraphicFramePr/>
                <a:graphic xmlns:a="http://schemas.openxmlformats.org/drawingml/2006/main">
                  <a:graphicData uri="http://schemas.microsoft.com/office/word/2010/wordprocessingShape">
                    <wps:wsp>
                      <wps:cNvSpPr/>
                      <wps:spPr>
                        <a:xfrm>
                          <a:off x="0" y="0"/>
                          <a:ext cx="5867400" cy="37338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77AE3AC" w14:textId="44197B35" w:rsidR="00D511E5" w:rsidRDefault="00784CC4" w:rsidP="00C631EF">
                            <w:pPr>
                              <w:jc w:val="both"/>
                              <w:textDirection w:val="btLr"/>
                            </w:pPr>
                            <w:r w:rsidRPr="00784CC4">
                              <w:t xml:space="preserve">Projenin toplam erişilebilir pazarı, küresel ticaretin büyük bölümünü yürüten ve acil elektrifikasyon ile atık yönetimi dönüşümüne ihtiyaç duyan dünya genelindeki ticari limanlar ve entegre sanayi bölgeleridir. Hizmet verilebilir erişilebilir pazar, öncelikli olarak Avrupa Birliği karbon vergisi ve Denizcilik Emisyon Ticaret Sistemi gibi katı regülasyonlara uyum sağlamak zorunda olan, sıfır emisyon hedefli uluslararası liman işletmelerini kapsamaktadır. Hizmet verilebilir elde edilebilir pazar ise ilk etapta ulusal ölçekte hava kirliliğini azaltmak için "cold ironing" sistemlerine geçiş yapmayı planlayan ve nükleer kojenerasyon ile entegre çalışabilecek kapasitedeki bölgesel tesislerdir. İncelenen Marport Limanı bu duruma stratejik bir örnektir. Pazarın büyüme eğilimi; dizel jeneratörlerin yarattığı çevresel krizin küresel otoritelerce sınırlandırılması, sıfır karbon misyonuyla üretilen karbon kredisi ve atıktan türetilmiş endüstriyel hammadde talebindeki artış ile doğrudan ilişkilidir. Müşterilerin satın alma potansiyelleri değerlendirildiğinde; </w:t>
                            </w:r>
                            <w:r w:rsidR="00423A16">
                              <w:t>37</w:t>
                            </w:r>
                            <w:r w:rsidRPr="00784CC4">
                              <w:t xml:space="preserve"> milyon Amerikan Doları düzeyindeki ilk kurulum maliyetine rağmen, sadece kıyı elektriği hizmetinden elde edilecek gelirle kendini yaklaşık </w:t>
                            </w:r>
                            <w:r w:rsidR="00423A16">
                              <w:t>8</w:t>
                            </w:r>
                            <w:r w:rsidRPr="00784CC4">
                              <w:t xml:space="preserve"> yıl içinde amorti edebilmesi ve çoklu nakit akışı sunması, regülatif baskılarla karşılaşan bu sektörde teknolojik altyapı yatırımlarına yönelik iştahın artacağını göstermektedir.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5AA0420" id="Dikdörtgen 21" o:spid="_x0000_s1029" style="position:absolute;left:0;text-align:left;margin-left:0;margin-top:3.9pt;width:462pt;height:294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LnkFgIAAEcEAAAOAAAAZHJzL2Uyb0RvYy54bWysU9uO0zAQfUfiHyy/06S33W7UdIW2FCGt&#10;oNLCB0wdp7HkGx63af+esVvaLiAhIfLgjD3j4zNnZuaPB6PZXgZUztZ8OCg5k1a4Rtltzb99Xb2b&#10;cYYRbAPaWVnzo0T+uHj7Zt77So5c53QjAyMQi1Xva97F6KuiQNFJAzhwXlpyti4YiLQN26IJ0BO6&#10;0cWoLO+K3oXGByckIp0uT06+yPhtK0X80rYoI9M1J24xryGvm7QWizlU2wC+U+JMA/6BhQFl6dEL&#10;1BIisF1Qv0EZJYJD18aBcKZwbauEzDlQNsPyl2xeOvAy50LioL/IhP8PVnzev/h1IBl6jxWSmbI4&#10;tMGkP/FjhyzW8SKWPEQm6HA6u7uflKSpIN/4fjye0YZwiut1HzB+lM6wZNQ8UDWySLB/xngK/RmS&#10;XkOnVbNSWudN2G6edGB7oMqt8ndGfxWmLetr/jAdTYkIUAO1GiKZxjc1R7vN7726gbfAZf7+BJyI&#10;LQG7E4GMkMKgMipSx2plak4Z03c67iQ0H2zD4tFTm1tqdp6YoeFMSxoNMvL1CEr/PY5E1Ja0vBYl&#10;WfGwOTBFiY0TVjrZuOa4Dgy9WCki/AwY1xCog4f0OnU1vft9B4G46E+W2uZhOElKxbyZTO9T/cKt&#10;Z3PrASs6R8NCgp7Mp5hHJ8lg3ftddK3KdbxSOXOmbs2dcJ6sNA63+xx1nf/FDwAAAP//AwBQSwME&#10;FAAGAAgAAAAhABne12PaAAAABgEAAA8AAABkcnMvZG93bnJldi54bWxMj81OwzAQhO9IvIO1SFwQ&#10;dSiUtiFOBZE4UomUB9jGSxIRr6PY+eHtWU5wHM1o5pvssLhOTTSE1rOBu1UCirjytuXawMfp9XYH&#10;KkRki51nMvBNAQ755UWGqfUzv9NUxlpJCYcUDTQx9qnWoWrIYVj5nli8Tz84jCKHWtsBZyl3nV4n&#10;yaN22LIsNNhT0VD1VY7OwCnctwV15TZMU/n2Uow3bsajMddXy/MTqEhL/AvDL76gQy5MZz+yDaoz&#10;IEeiga3gi7lfP4g+G9jsNzvQeab/4+c/AAAA//8DAFBLAQItABQABgAIAAAAIQC2gziS/gAAAOEB&#10;AAATAAAAAAAAAAAAAAAAAAAAAABbQ29udGVudF9UeXBlc10ueG1sUEsBAi0AFAAGAAgAAAAhADj9&#10;If/WAAAAlAEAAAsAAAAAAAAAAAAAAAAALwEAAF9yZWxzLy5yZWxzUEsBAi0AFAAGAAgAAAAhAN3A&#10;ueQWAgAARwQAAA4AAAAAAAAAAAAAAAAALgIAAGRycy9lMm9Eb2MueG1sUEsBAi0AFAAGAAgAAAAh&#10;ABne12PaAAAABgEAAA8AAAAAAAAAAAAAAAAAcAQAAGRycy9kb3ducmV2LnhtbFBLBQYAAAAABAAE&#10;APMAAAB3BQAAAAA=&#10;">
                <v:stroke startarrowwidth="narrow" startarrowlength="short" endarrowwidth="narrow" endarrowlength="short"/>
                <v:textbox inset="2.53958mm,1.2694mm,2.53958mm,1.2694mm">
                  <w:txbxContent>
                    <w:p w14:paraId="277AE3AC" w14:textId="44197B35" w:rsidR="00D511E5" w:rsidRDefault="00784CC4" w:rsidP="00C631EF">
                      <w:pPr>
                        <w:jc w:val="both"/>
                        <w:textDirection w:val="btLr"/>
                      </w:pPr>
                      <w:r w:rsidRPr="00784CC4">
                        <w:t xml:space="preserve">Projenin toplam erişilebilir pazarı, küresel ticaretin büyük bölümünü yürüten ve acil elektrifikasyon ile atık yönetimi dönüşümüne ihtiyaç duyan dünya genelindeki ticari limanlar ve entegre sanayi bölgeleridir. Hizmet verilebilir erişilebilir pazar, öncelikli olarak Avrupa Birliği karbon vergisi ve Denizcilik Emisyon Ticaret Sistemi gibi katı regülasyonlara uyum sağlamak zorunda olan, sıfır emisyon hedefli uluslararası liman işletmelerini kapsamaktadır. Hizmet verilebilir elde edilebilir pazar ise ilk etapta ulusal ölçekte hava kirliliğini azaltmak için "cold ironing" sistemlerine geçiş yapmayı planlayan ve nükleer kojenerasyon ile entegre çalışabilecek kapasitedeki bölgesel tesislerdir. İncelenen Marport Limanı bu duruma stratejik bir örnektir. Pazarın büyüme eğilimi; dizel jeneratörlerin yarattığı çevresel krizin küresel otoritelerce sınırlandırılması, sıfır karbon misyonuyla üretilen karbon kredisi ve atıktan türetilmiş endüstriyel hammadde talebindeki artış ile doğrudan ilişkilidir. Müşterilerin satın alma potansiyelleri değerlendirildiğinde; </w:t>
                      </w:r>
                      <w:r w:rsidR="00423A16">
                        <w:t>37</w:t>
                      </w:r>
                      <w:r w:rsidRPr="00784CC4">
                        <w:t xml:space="preserve"> milyon Amerikan Doları düzeyindeki ilk kurulum maliyetine rağmen, sadece kıyı elektriği hizmetinden elde edilecek gelirle kendini yaklaşık </w:t>
                      </w:r>
                      <w:r w:rsidR="00423A16">
                        <w:t>8</w:t>
                      </w:r>
                      <w:r w:rsidRPr="00784CC4">
                        <w:t xml:space="preserve"> yıl içinde amorti edebilmesi ve çoklu nakit akışı sunması, regülatif baskılarla karşılaşan bu sektörde teknolojik altyapı yatırımlarına yönelik iştahın artacağını göstermektedir.</w:t>
                      </w:r>
                    </w:p>
                  </w:txbxContent>
                </v:textbox>
                <w10:wrap type="square" anchorx="margin"/>
              </v:rect>
            </w:pict>
          </mc:Fallback>
        </mc:AlternateContent>
      </w:r>
    </w:p>
    <w:p w14:paraId="32A693D5" w14:textId="772BD363" w:rsidR="00D511E5" w:rsidRPr="00C631EF" w:rsidRDefault="00C631EF" w:rsidP="00C631EF">
      <w:pPr>
        <w:pStyle w:val="Balk2"/>
        <w:numPr>
          <w:ilvl w:val="1"/>
          <w:numId w:val="2"/>
        </w:numPr>
        <w:tabs>
          <w:tab w:val="left" w:pos="2277"/>
        </w:tabs>
        <w:spacing w:before="72"/>
        <w:ind w:left="2277" w:hanging="576"/>
        <w:rPr>
          <w:rFonts w:ascii="Times New Roman" w:eastAsia="Times New Roman" w:hAnsi="Times New Roman" w:cs="Times New Roman"/>
          <w:sz w:val="24"/>
          <w:szCs w:val="24"/>
        </w:rPr>
      </w:pPr>
      <w:r>
        <w:rPr>
          <w:noProof/>
        </w:rPr>
        <w:lastRenderedPageBreak/>
        <mc:AlternateContent>
          <mc:Choice Requires="wps">
            <w:drawing>
              <wp:anchor distT="45720" distB="45720" distL="114300" distR="114300" simplePos="0" relativeHeight="251662336" behindDoc="0" locked="0" layoutInCell="1" hidden="0" allowOverlap="1" wp14:anchorId="0F7A1E4E" wp14:editId="6D0184F0">
                <wp:simplePos x="0" y="0"/>
                <wp:positionH relativeFrom="margin">
                  <wp:align>left</wp:align>
                </wp:positionH>
                <wp:positionV relativeFrom="paragraph">
                  <wp:posOffset>405765</wp:posOffset>
                </wp:positionV>
                <wp:extent cx="5867400" cy="3169920"/>
                <wp:effectExtent l="0" t="0" r="19050" b="11430"/>
                <wp:wrapSquare wrapText="bothSides" distT="45720" distB="45720" distL="114300" distR="114300"/>
                <wp:docPr id="6" name="Dikdörtgen 6"/>
                <wp:cNvGraphicFramePr/>
                <a:graphic xmlns:a="http://schemas.openxmlformats.org/drawingml/2006/main">
                  <a:graphicData uri="http://schemas.microsoft.com/office/word/2010/wordprocessingShape">
                    <wps:wsp>
                      <wps:cNvSpPr/>
                      <wps:spPr>
                        <a:xfrm>
                          <a:off x="0" y="0"/>
                          <a:ext cx="5867400" cy="31699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62068ED" w14:textId="1A00E7D3" w:rsidR="00D511E5" w:rsidRDefault="00784CC4" w:rsidP="00C631EF">
                            <w:pPr>
                              <w:jc w:val="both"/>
                              <w:textDirection w:val="btLr"/>
                            </w:pPr>
                            <w:r w:rsidRPr="00784CC4">
                              <w:t>Ulusal ve uluslararası pazardaki temel rekabet ortamı, geleneksel enerji üreticileri ve atık yönetim tesisleri etrafında şekillenmektedir. Mevcut pazarda ticari gemilerin güç ihtiyacını karşılayan dizel jeneratörler, liman sanayisini besleyen fosil tabanlı endüstriyel kazanlar ve yüksek ilk kurulum maliyetlerine sahip konvansiyonel enerji santralleri yaygın olarak kullanılmaktadır. Atık yönetimi alanında ise plastik atıkları düşük verimle bertaraf eden veya depolayan standart tesisler öne çıkmaktadır. Öte yandan, geleneksel su soğutmalı nükleer reaktörler yüksek sıcaklıklardaki soğutma suyunu denize deşarj ederek termal kirlilik riski oluşturdukları için kıyı ekosistemlerinde dezavantajlı konumdadır. Mevcut sistemler genellikle birbirinden bağımsız çalışan ve yoğun karbon emisyonu üreten doğrusal altyapılar sunarken; geliştirilen çözümün fabrika ortamında modüler seri üretim konsepti ve yüzde 12.6 öğrenme eğrisi sayesinde "Nth-of-a-Kind" maliyetlerini 3.5 ile 7.0 USD/We seviyelerine kadar düşürerek ilk kurulum maliyeti bariyerini aşması öngörülmektedir. Savunma ve uzay teknolojilerinde test edilmiş "Project Pele" ve "Kilopower" gibi konseptlerin tasarım felsefesini taşıyan potasyum ısı borusu soğutmalı model, hareketli mekanik parça içermeyen yapısıyla işletme ve bakım masraflarını minimuma indirmektedir. Endüstriyel simbiyoz felsefesiyle enerji üretimi, piroliz atık bertarafı ve desalinasyonu tek döngüde birleştiren bu tesis; kuru soğutma uyumlu "sCO2" döngüsüyle deniz sularına termal deşarj yapmayarak mevcut fosil ve geleneksel nükleer alternatiflere kıyasla daha çevreci ve bütüncül bir alternatif oluşturmaktadır.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F7A1E4E" id="Dikdörtgen 6" o:spid="_x0000_s1030" style="position:absolute;left:0;text-align:left;margin-left:0;margin-top:31.95pt;width:462pt;height:249.6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46uGAIAAEcEAAAOAAAAZHJzL2Uyb0RvYy54bWysU9uO2jAQfa/Uf7D8XhIosBARVtVSqkqr&#10;7krbfsDgOMSSb/UYAn/fsaHAtpUqVc2DM7bHZ87MnFncH4xmexlQOVvz4aDkTFrhGmW3Nf/2df1u&#10;xhlGsA1oZ2XNjxL5/fLtm0XvKzlyndONDIxALFa9r3kXo6+KAkUnDeDAeWnpsnXBQKRt2BZNgJ7Q&#10;jS5GZTktehcaH5yQiHS6Ol3yZcZvWyniU9uijEzXnLjFvIa8btJaLBdQbQP4TokzDfgHFgaUpaAX&#10;qBVEYLugfoMySgSHro0D4Uzh2lYJmXOgbIblL9m8dOBlzoWKg/5SJvx/sOLL/sU/BypD77FCMlMW&#10;hzaY9Cd+7JCLdbwUSx4iE3Q4mU3vxiXVVNDd++F0Ph/lchbX5z5g/CSdYcmoeaBu5CLB/hEjhSTX&#10;ny4pGjqtmrXSOm/CdvOgA9sDdW6dv9QsevLKTVvW13w+GU2ICJCAWg2RTOObmqPd5nivXuAtcJm/&#10;PwEnYivA7kQgI5zEYlQkxWplaj67vIaqk9B8tA2LR08ytyR2npih4UxLGg0ystYiKP13P0pTW8r2&#10;2pRkxcPmwBQlNk5Y6WTjmuNzYOjFWhHhR8D4DIEUPKTopGqK+30Hgbjoz5ZkMx+OU6Vi3ownd6l/&#10;4fZmc3sDVnSOhoUKejIfYh6d1B/rPuyia1Xu45XKmTOpNffqPFlpHG732es6/8sfAAAA//8DAFBL&#10;AwQUAAYACAAAACEA1+i5mdsAAAAHAQAADwAAAGRycy9kb3ducmV2LnhtbEyPzU7DMBCE70i8g7VI&#10;XBB12kCgIZsKInGkEikPsI2XJMI/Uez88PaYExx3ZjTzbXFYjRYzj753FmG7SUCwbZzqbYvwcXq9&#10;fQThA1lF2llG+GYPh/LyoqBcucW+81yHVsQS63NC6EIYcil907Ehv3ED2+h9utFQiOfYSjXSEsuN&#10;lrskyaSh3saFjgauOm6+6skgnHzaV6zrBz/P9dtLNd2YhY6I11fr8xOIwGv4C8MvfkSHMjKd3WSV&#10;FxohPhIQsnQPIrr73V0Uzgj3WboFWRbyP3/5AwAA//8DAFBLAQItABQABgAIAAAAIQC2gziS/gAA&#10;AOEBAAATAAAAAAAAAAAAAAAAAAAAAABbQ29udGVudF9UeXBlc10ueG1sUEsBAi0AFAAGAAgAAAAh&#10;ADj9If/WAAAAlAEAAAsAAAAAAAAAAAAAAAAALwEAAF9yZWxzLy5yZWxzUEsBAi0AFAAGAAgAAAAh&#10;AA0Djq4YAgAARwQAAA4AAAAAAAAAAAAAAAAALgIAAGRycy9lMm9Eb2MueG1sUEsBAi0AFAAGAAgA&#10;AAAhANfouZnbAAAABwEAAA8AAAAAAAAAAAAAAAAAcgQAAGRycy9kb3ducmV2LnhtbFBLBQYAAAAA&#10;BAAEAPMAAAB6BQAAAAA=&#10;">
                <v:stroke startarrowwidth="narrow" startarrowlength="short" endarrowwidth="narrow" endarrowlength="short"/>
                <v:textbox inset="2.53958mm,1.2694mm,2.53958mm,1.2694mm">
                  <w:txbxContent>
                    <w:p w14:paraId="462068ED" w14:textId="1A00E7D3" w:rsidR="00D511E5" w:rsidRDefault="00784CC4" w:rsidP="00C631EF">
                      <w:pPr>
                        <w:jc w:val="both"/>
                        <w:textDirection w:val="btLr"/>
                      </w:pPr>
                      <w:r w:rsidRPr="00784CC4">
                        <w:t>Ulusal ve uluslararası pazardaki temel rekabet ortamı, geleneksel enerji üreticileri ve atık yönetim tesisleri etrafında şekillenmektedir. Mevcut pazarda ticari gemilerin güç ihtiyacını karşılayan dizel jeneratörler, liman sanayisini besleyen fosil tabanlı endüstriyel kazanlar ve yüksek ilk kurulum maliyetlerine sahip konvansiyonel enerji santralleri yaygın olarak kullanılmaktadır. Atık yönetimi alanında ise plastik atıkları düşük verimle bertaraf eden veya depolayan standart tesisler öne çıkmaktadır. Öte yandan, geleneksel su soğutmalı nükleer reaktörler yüksek sıcaklıklardaki soğutma suyunu denize deşarj ederek termal kirlilik riski oluşturdukları için kıyı ekosistemlerinde dezavantajlı konumdadır. Mevcut sistemler genellikle birbirinden bağımsız çalışan ve yoğun karbon emisyonu üreten doğrusal altyapılar sunarken; geliştirilen çözümün fabrika ortamında modüler seri üretim konsepti ve yüzde 12.6 öğrenme eğrisi sayesinde "Nth-of-a-Kind" maliyetlerini 3.5 ile 7.0 USD/We seviyelerine kadar düşürerek ilk kurulum maliyeti bariyerini aşması öngörülmektedir. Savunma ve uzay teknolojilerinde test edilmiş "Project Pele" ve "Kilopower" gibi konseptlerin tasarım felsefesini taşıyan potasyum ısı borusu soğutmalı model, hareketli mekanik parça içermeyen yapısıyla işletme ve bakım masraflarını minimuma indirmektedir. Endüstriyel simbiyoz felsefesiyle enerji üretimi, piroliz atık bertarafı ve desalinasyonu tek döngüde birleştiren bu tesis; kuru soğutma uyumlu "sCO2" döngüsüyle deniz sularına termal deşarj yapmayarak mevcut fosil ve geleneksel nükleer alternatiflere kıyasla daha çevreci ve bütüncül bir alternatif oluşturmaktadır.</w:t>
                      </w:r>
                    </w:p>
                  </w:txbxContent>
                </v:textbox>
                <w10:wrap type="square" anchorx="margin"/>
              </v:rect>
            </w:pict>
          </mc:Fallback>
        </mc:AlternateContent>
      </w:r>
      <w:r>
        <w:rPr>
          <w:rFonts w:ascii="Times New Roman" w:eastAsia="Times New Roman" w:hAnsi="Times New Roman" w:cs="Times New Roman"/>
          <w:sz w:val="24"/>
          <w:szCs w:val="24"/>
        </w:rPr>
        <w:t>Rekabet Analizi</w:t>
      </w:r>
    </w:p>
    <w:p w14:paraId="3B823343" w14:textId="357D9E00" w:rsidR="00D511E5" w:rsidRDefault="00D511E5">
      <w:pPr>
        <w:pBdr>
          <w:top w:val="nil"/>
          <w:left w:val="nil"/>
          <w:bottom w:val="nil"/>
          <w:right w:val="nil"/>
          <w:between w:val="nil"/>
        </w:pBdr>
        <w:ind w:left="141"/>
        <w:rPr>
          <w:rFonts w:ascii="Times New Roman" w:eastAsia="Times New Roman" w:hAnsi="Times New Roman" w:cs="Times New Roman"/>
          <w:color w:val="000000"/>
          <w:sz w:val="24"/>
          <w:szCs w:val="24"/>
        </w:rPr>
      </w:pPr>
    </w:p>
    <w:p w14:paraId="0CF57440" w14:textId="1E0955D5" w:rsidR="00D511E5" w:rsidRDefault="00D511E5">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60B02C08" w14:textId="0CC4C653" w:rsidR="00D511E5" w:rsidRPr="00C631EF" w:rsidRDefault="00000000" w:rsidP="00C631EF">
      <w:pPr>
        <w:pStyle w:val="Balk2"/>
        <w:numPr>
          <w:ilvl w:val="1"/>
          <w:numId w:val="2"/>
        </w:numPr>
        <w:tabs>
          <w:tab w:val="left" w:pos="2277"/>
        </w:tabs>
        <w:ind w:left="2277" w:hanging="576"/>
        <w:rPr>
          <w:rFonts w:ascii="Times New Roman" w:eastAsia="Times New Roman" w:hAnsi="Times New Roman" w:cs="Times New Roman"/>
          <w:sz w:val="24"/>
          <w:szCs w:val="24"/>
        </w:rPr>
      </w:pPr>
      <w:r>
        <w:rPr>
          <w:rFonts w:ascii="Times New Roman" w:eastAsia="Times New Roman" w:hAnsi="Times New Roman" w:cs="Times New Roman"/>
          <w:sz w:val="24"/>
          <w:szCs w:val="24"/>
        </w:rPr>
        <w:t>Rekabet Stratejis</w:t>
      </w:r>
      <w:r w:rsidR="00C631EF">
        <w:rPr>
          <w:rFonts w:ascii="Times New Roman" w:eastAsia="Times New Roman" w:hAnsi="Times New Roman" w:cs="Times New Roman"/>
          <w:sz w:val="24"/>
          <w:szCs w:val="24"/>
        </w:rPr>
        <w:t>i</w:t>
      </w:r>
    </w:p>
    <w:p w14:paraId="61961CE6" w14:textId="2F2337F9" w:rsidR="00D511E5" w:rsidRDefault="00C631EF">
      <w:pPr>
        <w:pBdr>
          <w:top w:val="nil"/>
          <w:left w:val="nil"/>
          <w:bottom w:val="nil"/>
          <w:right w:val="nil"/>
          <w:between w:val="nil"/>
        </w:pBdr>
        <w:ind w:left="141"/>
        <w:rPr>
          <w:rFonts w:ascii="Times New Roman" w:eastAsia="Times New Roman" w:hAnsi="Times New Roman" w:cs="Times New Roman"/>
          <w:color w:val="000000"/>
          <w:sz w:val="24"/>
          <w:szCs w:val="24"/>
        </w:rPr>
        <w:sectPr w:rsidR="00D511E5">
          <w:pgSz w:w="11910" w:h="16840"/>
          <w:pgMar w:top="1320" w:right="1275" w:bottom="1100" w:left="1275" w:header="0" w:footer="916" w:gutter="0"/>
          <w:cols w:space="708"/>
        </w:sectPr>
      </w:pPr>
      <w:r>
        <w:rPr>
          <w:noProof/>
        </w:rPr>
        <mc:AlternateContent>
          <mc:Choice Requires="wps">
            <w:drawing>
              <wp:anchor distT="45720" distB="45720" distL="114300" distR="114300" simplePos="0" relativeHeight="251663360" behindDoc="0" locked="0" layoutInCell="1" hidden="0" allowOverlap="1" wp14:anchorId="45FD5CFD" wp14:editId="0F1FC651">
                <wp:simplePos x="0" y="0"/>
                <wp:positionH relativeFrom="margin">
                  <wp:align>left</wp:align>
                </wp:positionH>
                <wp:positionV relativeFrom="paragraph">
                  <wp:posOffset>46355</wp:posOffset>
                </wp:positionV>
                <wp:extent cx="5867400" cy="3863340"/>
                <wp:effectExtent l="0" t="0" r="19050" b="22860"/>
                <wp:wrapSquare wrapText="bothSides" distT="45720" distB="45720" distL="114300" distR="114300"/>
                <wp:docPr id="2" name="Dikdörtgen 2"/>
                <wp:cNvGraphicFramePr/>
                <a:graphic xmlns:a="http://schemas.openxmlformats.org/drawingml/2006/main">
                  <a:graphicData uri="http://schemas.microsoft.com/office/word/2010/wordprocessingShape">
                    <wps:wsp>
                      <wps:cNvSpPr/>
                      <wps:spPr>
                        <a:xfrm>
                          <a:off x="0" y="0"/>
                          <a:ext cx="5867400" cy="38633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B99B314" w14:textId="0BBB97FC" w:rsidR="00D511E5" w:rsidRDefault="00784CC4" w:rsidP="00C631EF">
                            <w:pPr>
                              <w:jc w:val="both"/>
                              <w:textDirection w:val="btLr"/>
                            </w:pPr>
                            <w:r w:rsidRPr="00784CC4">
                              <w:t xml:space="preserve">Entegre Liman Ekosistemi modelinin pazara giriş ve sürdürülebilir konumlanma stratejisi; maliyet optimizasyonu, teknolojik entegrasyon ve çoklu nakit akışına dayalı bütüncül bir yaklaşım üzerine kuruludur. Pazara giriş aşamasında, konvansiyonel santrallerin en büyük dezavantajı olan yüksek ilk kurulum yükünün, modüler seri üretim konsepti ve öğrenme eğrisiyle kırılarak "Nth-of-a-Kind" maliyetlerine indirilmesi hedeflenmektedir. Sabotaj ve dış tehditlere karşı liman zeminine yarı gömülü olarak inşa edilmesi planlanan reaktör adası, ilk etapta Avrupa Birliği emisyon regülasyonlarının uygulandığı limanlara yönelerek ticari gemilere kıyı elektriği hizmeti sunmayı ve pazara hızlı bir giriş yapmayı amaçlamaktadır. Pazarda sürdürülebilir konumlanma stratejisinin temelinde ise salt bir enerji tedarikçisi olmak yerine; atık bertaraf ücretleri, desalinasyon ünitesinden elde edilen tatlı suyun satışı, piroliz tesisinden çıkan "syngas" ve katı karbonun çevre sanayisine pazarlanması ile sıfır karbon misyonundan doğan karbon kredisi üretimini kapsayan çoklu bir gelir modeli yer almaktadır. Birbirinden bağımsız çalışan mevcut sistemlere karşı önerilen bu endüstriyel simbiyoz ve kaskad atık ısı felsefesi, </w:t>
                            </w:r>
                            <w:r w:rsidR="00423A16">
                              <w:t xml:space="preserve">37 </w:t>
                            </w:r>
                            <w:r w:rsidRPr="00784CC4">
                              <w:t xml:space="preserve">milyon Amerikan Doları düzeyindeki bir yatırımın yaklaşık </w:t>
                            </w:r>
                            <w:r w:rsidR="00423A16">
                              <w:t>8</w:t>
                            </w:r>
                            <w:r w:rsidRPr="00784CC4">
                              <w:t xml:space="preserve"> yılda amorti edilmesini sağlayan ekonomik bir avantaj sunmaktadır. Buna ek olarak, kuru soğutma ile tam uyumlu "sCO2" döngüsü sayesinde deniz sularına sıcak deşarj yapılmaması ve tekil mekanik arızaların sistemi durdurmasını imkansız kılan pasif güvenlikli reaktör mimarisi, tesisi çevresel ve teknolojik riskler açısından geleneksel rakiplerinden belirgin şekilde ayrıştırmaktadır.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5FD5CFD" id="Dikdörtgen 2" o:spid="_x0000_s1031" style="position:absolute;left:0;text-align:left;margin-left:0;margin-top:3.65pt;width:462pt;height:304.2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ZA9GAIAAEcEAAAOAAAAZHJzL2Uyb0RvYy54bWysU9uO0zAQfUfiHyy/06S33W7UdIW2FCGt&#10;oNLCB0wdp7HkGx63af+esVvaLiAhIfLgjO3xmTMzZ+aPB6PZXgZUztZ8OCg5k1a4Rtltzb99Xb2b&#10;cYYRbAPaWVnzo0T+uHj7Zt77So5c53QjAyMQi1Xva97F6KuiQNFJAzhwXlq6bF0wEGkbtkUToCd0&#10;o4tRWd4VvQuND05IRDpdni75IuO3rRTxS9uijEzXnLjFvIa8btJaLOZQbQP4TokzDfgHFgaUpaAX&#10;qCVEYLugfoMySgSHro0D4Uzh2lYJmXOgbIblL9m8dOBlzoWKg/5SJvx/sOLz/sWvA5Wh91ghmSmL&#10;QxtM+hM/dsjFOl6KJQ+RCTqczu7uJyXVVNDdeHY3Hk9yOYvrcx8wfpTOsGTUPFA3cpFg/4yRQpLr&#10;T5cUDZ1WzUppnTdhu3nSge2BOrfKX2oWPXnlpi3ra/4wHU2JCJCAWg2RTOObmqPd5nivXuAtcJm/&#10;PwEnYkvA7kQgI5zEYlQkxWplaj67vIaqk9B8sA2LR08ytyR2npih4UxLGg0ystYiKP13P0pTW8r2&#10;2pRkxcPmwBQlNk1Y6WTjmuM6MPRipYjwM2BcQyAFDyk6qZrift9BIC76kyXZPAwnqVIxbybT+9S/&#10;cHuzub0BKzpHw0IFPZlPMY9O6o9173fRtSr38UrlzJnUmnt1nqw0Drf77HWd/8UPAAAA//8DAFBL&#10;AwQUAAYACAAAACEA/34FutoAAAAGAQAADwAAAGRycy9kb3ducmV2LnhtbEyPzU7DMBCE70i8g7VI&#10;XBB12kLThjgVROJIJVIeYBsvSYR/otj54e1ZTnAczWjmm/y4WCMmGkLnnYL1KgFBrva6c42Cj/Pr&#10;/R5EiOg0Gu9IwTcFOBbXVzlm2s/unaYqNoJLXMhQQRtjn0kZ6pYshpXvybH36QeLkeXQSD3gzOXW&#10;yE2S7KTFzvFCiz2VLdVf1WgVnMO2K8lUaZim6u2lHO/sjCelbm+W5ycQkZb4F4ZffEaHgpkufnQ6&#10;CKOAj0QF6RYEm4fNA+uLgt36MQVZ5PI/fvEDAAD//wMAUEsBAi0AFAAGAAgAAAAhALaDOJL+AAAA&#10;4QEAABMAAAAAAAAAAAAAAAAAAAAAAFtDb250ZW50X1R5cGVzXS54bWxQSwECLQAUAAYACAAAACEA&#10;OP0h/9YAAACUAQAACwAAAAAAAAAAAAAAAAAvAQAAX3JlbHMvLnJlbHNQSwECLQAUAAYACAAAACEA&#10;HfWQPRgCAABHBAAADgAAAAAAAAAAAAAAAAAuAgAAZHJzL2Uyb0RvYy54bWxQSwECLQAUAAYACAAA&#10;ACEA/34FutoAAAAGAQAADwAAAAAAAAAAAAAAAAByBAAAZHJzL2Rvd25yZXYueG1sUEsFBgAAAAAE&#10;AAQA8wAAAHkFAAAAAA==&#10;">
                <v:stroke startarrowwidth="narrow" startarrowlength="short" endarrowwidth="narrow" endarrowlength="short"/>
                <v:textbox inset="2.53958mm,1.2694mm,2.53958mm,1.2694mm">
                  <w:txbxContent>
                    <w:p w14:paraId="3B99B314" w14:textId="0BBB97FC" w:rsidR="00D511E5" w:rsidRDefault="00784CC4" w:rsidP="00C631EF">
                      <w:pPr>
                        <w:jc w:val="both"/>
                        <w:textDirection w:val="btLr"/>
                      </w:pPr>
                      <w:r w:rsidRPr="00784CC4">
                        <w:t xml:space="preserve">Entegre Liman Ekosistemi modelinin pazara giriş ve sürdürülebilir konumlanma stratejisi; maliyet optimizasyonu, teknolojik entegrasyon ve çoklu nakit akışına dayalı bütüncül bir yaklaşım üzerine kuruludur. Pazara giriş aşamasında, konvansiyonel santrallerin en büyük dezavantajı olan yüksek ilk kurulum yükünün, modüler seri üretim konsepti ve öğrenme eğrisiyle kırılarak "Nth-of-a-Kind" maliyetlerine indirilmesi hedeflenmektedir. Sabotaj ve dış tehditlere karşı liman zeminine yarı gömülü olarak inşa edilmesi planlanan reaktör adası, ilk etapta Avrupa Birliği emisyon regülasyonlarının uygulandığı limanlara yönelerek ticari gemilere kıyı elektriği hizmeti sunmayı ve pazara hızlı bir giriş yapmayı amaçlamaktadır. Pazarda sürdürülebilir konumlanma stratejisinin temelinde ise salt bir enerji tedarikçisi olmak yerine; atık bertaraf ücretleri, desalinasyon ünitesinden elde edilen tatlı suyun satışı, piroliz tesisinden çıkan "syngas" ve katı karbonun çevre sanayisine pazarlanması ile sıfır karbon misyonundan doğan karbon kredisi üretimini kapsayan çoklu bir gelir modeli yer almaktadır. Birbirinden bağımsız çalışan mevcut sistemlere karşı önerilen bu endüstriyel simbiyoz ve kaskad atık ısı felsefesi, </w:t>
                      </w:r>
                      <w:r w:rsidR="00423A16">
                        <w:t xml:space="preserve">37 </w:t>
                      </w:r>
                      <w:r w:rsidRPr="00784CC4">
                        <w:t xml:space="preserve">milyon Amerikan Doları düzeyindeki bir yatırımın yaklaşık </w:t>
                      </w:r>
                      <w:r w:rsidR="00423A16">
                        <w:t>8</w:t>
                      </w:r>
                      <w:r w:rsidRPr="00784CC4">
                        <w:t xml:space="preserve"> yılda amorti edilmesini sağlayan ekonomik bir avantaj sunmaktadır. Buna ek olarak, kuru soğutma ile tam uyumlu "sCO2" döngüsü sayesinde deniz sularına sıcak deşarj yapılmaması ve tekil mekanik arızaların sistemi durdurmasını imkansız kılan pasif güvenlikli reaktör mimarisi, tesisi çevresel ve teknolojik riskler açısından geleneksel rakiplerinden belirgin şekilde ayrıştırmaktadır.</w:t>
                      </w:r>
                    </w:p>
                  </w:txbxContent>
                </v:textbox>
                <w10:wrap type="square" anchorx="margin"/>
              </v:rect>
            </w:pict>
          </mc:Fallback>
        </mc:AlternateContent>
      </w:r>
    </w:p>
    <w:p w14:paraId="158DE5E1" w14:textId="561E429D" w:rsidR="00D511E5" w:rsidRPr="005947E9" w:rsidRDefault="005947E9" w:rsidP="005947E9">
      <w:pPr>
        <w:pStyle w:val="Balk2"/>
        <w:numPr>
          <w:ilvl w:val="1"/>
          <w:numId w:val="2"/>
        </w:numPr>
        <w:tabs>
          <w:tab w:val="left" w:pos="2277"/>
        </w:tabs>
        <w:spacing w:before="72"/>
        <w:ind w:left="2277" w:hanging="576"/>
        <w:rPr>
          <w:rFonts w:ascii="Times New Roman" w:eastAsia="Times New Roman" w:hAnsi="Times New Roman" w:cs="Times New Roman"/>
          <w:sz w:val="24"/>
          <w:szCs w:val="24"/>
        </w:rPr>
      </w:pPr>
      <w:r>
        <w:rPr>
          <w:noProof/>
        </w:rPr>
        <w:lastRenderedPageBreak/>
        <mc:AlternateContent>
          <mc:Choice Requires="wps">
            <w:drawing>
              <wp:anchor distT="45720" distB="45720" distL="114300" distR="114300" simplePos="0" relativeHeight="251664384" behindDoc="0" locked="0" layoutInCell="1" hidden="0" allowOverlap="1" wp14:anchorId="2AB06710" wp14:editId="298E3EB6">
                <wp:simplePos x="0" y="0"/>
                <wp:positionH relativeFrom="margin">
                  <wp:align>left</wp:align>
                </wp:positionH>
                <wp:positionV relativeFrom="paragraph">
                  <wp:posOffset>390525</wp:posOffset>
                </wp:positionV>
                <wp:extent cx="5867400" cy="3840480"/>
                <wp:effectExtent l="0" t="0" r="19050" b="26670"/>
                <wp:wrapSquare wrapText="bothSides" distT="45720" distB="45720" distL="114300" distR="114300"/>
                <wp:docPr id="22" name="Dikdörtgen 22"/>
                <wp:cNvGraphicFramePr/>
                <a:graphic xmlns:a="http://schemas.openxmlformats.org/drawingml/2006/main">
                  <a:graphicData uri="http://schemas.microsoft.com/office/word/2010/wordprocessingShape">
                    <wps:wsp>
                      <wps:cNvSpPr/>
                      <wps:spPr>
                        <a:xfrm>
                          <a:off x="0" y="0"/>
                          <a:ext cx="5867400" cy="384048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B7E61C0" w14:textId="775A54BB" w:rsidR="00D511E5" w:rsidRDefault="00784CC4" w:rsidP="005947E9">
                            <w:pPr>
                              <w:jc w:val="both"/>
                              <w:textDirection w:val="btLr"/>
                            </w:pPr>
                            <w:r w:rsidRPr="00784CC4">
                              <w:t>Entegre Liman Ekosistemi modelinin pazara giriş sürecinde karşılaşılabilecek teknik, ticari ve operasyonel engeller ile bunlara yönelik çözüm planları mühendislik prensipleri çerçevesinde kurgulanmıştır. Ticari açıdan en büyük bariyer, mikroreaktörlerin 14.7 ile 19.2 USD/We bandında seyreden yüksek ilk kurulum maliyetleridir. Bu engelin, fabrikada modüler seri üretim konsepti ve yüzde 12.6 öğrenme eğrisi stratejisiyle aşılarak "nth-of-a-kind" maliyetlerinin 3.5 ile 7.0 USD/We seviyelerine düşürülmesi hedeflenmektedir. Teknik kısıtların başında, sistemin 700°C bandındaki yüksek çalışma sıcaklığı nedeniyle türbin ve reküperatörlerde maliyetli nikel alaşımların kullanım zorunluluğu ve moderatörden hidrojen sızma riski gelmektedir. Nikel alaşımı donanım maliyetinin, "sCO2" Brayton döngüsünün sağladığı yüksek termal verimin yaratacağı 18 USD/MWh net operasyonel tasarrufla hızla amorti edilmesi öngörülmektedir. Hidrojen kaçağı riski ise moderatör elemanlarının yüzeyine kimyasal buhar biriktirme yöntemiyle ince bir "SiC" tabakası kaplanarak termodinamik bir difüzyon bariyeri oluşturulmasıyla çözülecektir. Operasyonel ve hukuki tarafta; piroliz tesisinden elde edilen sentez gazının yanıcılık riski, siber güvenlik tehditleri ve nükleer güvenlik endişeleri öne çıkmaktadır. Patlama riski, tesisin reaktör adasından fiziksel olarak ayrılıp izole bölgeler inşa edilmesiyle; siber tehditler, reaktör kontrol sistemlerinin liman ağından donanımsal veri diyotları ile koparılmasıyla bertaraf edilecektir. Nükleer güvenlik endişelerinin ise uranyum zenginlik seviyesinin silahlanma eşiğinin altında olan yüzde 19.75 oranında tutulması ve reaktörün yarı gömülü inşa edilmesiyle giderilmesi planlanmaktadır. Teknoloji hazırlık seviyesi 2 aşamasında olan projenin, bu analitik risk yönetimiyle ticarileşme adımlarını güvenli bir şekilde atması beklenmektedir.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AB06710" id="Dikdörtgen 22" o:spid="_x0000_s1032" style="position:absolute;left:0;text-align:left;margin-left:0;margin-top:30.75pt;width:462pt;height:302.4pt;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TpgGAIAAEcEAAAOAAAAZHJzL2Uyb0RvYy54bWysU9uO2jAQfa/Uf7D8XhIosGxEWFVLqSqt&#10;ukjbfsDgOMSSb/UYCH/fsaHAtpUqVc2DM7bHZ87MnJk/9EazvQyonK35cFByJq1wjbLbmn/7uno3&#10;4wwj2Aa0s7LmR4n8YfH2zfzgKzlyndONDIxALFYHX/MuRl8VBYpOGsCB89LSZeuCgUjbsC2aAAdC&#10;N7oYleW0OLjQ+OCERKTT5emSLzJ+20oRn9sWZWS65sQt5jXkdZPWYjGHahvAd0qcacA/sDCgLAW9&#10;QC0hAtsF9RuUUSI4dG0cCGcK17ZKyJwDZTMsf8nmpQMvcy5UHPSXMuH/gxVf9i9+HagMB48Vkpmy&#10;6Ntg0p/4sT4X63gpluwjE3Q4mU3vxiXVVNDd+9m4HM9yOYvrcx8wfpLOsGTUPFA3cpFg/4SRQpLr&#10;T5cUDZ1WzUppnTdhu3nUge2BOrfKX2oWPXnlpi071Px+MpoQESABtRoimcY3NUe7zfFevcBb4DJ/&#10;fwJOxJaA3YlARjiJxahIitXK1Hx2eQ1VJ6H5aBsWj55kbknsPDFDw5mWNBpkZK1FUPrvfpSmtpTt&#10;tSnJiv2mZ4oSmyasdLJxzXEdGHqxUkT4CTCuIZCChxSdVE1xv+8gEBf92ZJs7ofjVKmYN+PJXepf&#10;uL3Z3N6AFZ2jYaGCnszHmEcn9ce6D7voWpX7eKVy5kxqzb06T1Yah9t99rrO/+IHAAAA//8DAFBL&#10;AwQUAAYACAAAACEAPZVqjdoAAAAHAQAADwAAAGRycy9kb3ducmV2LnhtbEyPzU7EMAyE70i8Q2Qk&#10;LohNdxcKlKYrqMQRJLo8gLcxbUXjVE36w9tjTnCcGWvmc35YXa9mGkPn2cB2k4Airr3tuDHwcXy5&#10;vgcVIrLF3jMZ+KYAh+L8LMfM+oXfaa5io6SEQ4YG2hiHTOtQt+QwbPxALNmnHx1GkWOj7YiLlLte&#10;75Ik1Q47loUWBypbqr+qyRk4hn1XUl/dhXmuXp/L6cot+GbM5cX69Agq0hr/juEXX9ChEKaTn9gG&#10;1RuQR6KBdHsLStKH3Y0YJzHSdA+6yPV//uIHAAD//wMAUEsBAi0AFAAGAAgAAAAhALaDOJL+AAAA&#10;4QEAABMAAAAAAAAAAAAAAAAAAAAAAFtDb250ZW50X1R5cGVzXS54bWxQSwECLQAUAAYACAAAACEA&#10;OP0h/9YAAACUAQAACwAAAAAAAAAAAAAAAAAvAQAAX3JlbHMvLnJlbHNQSwECLQAUAAYACAAAACEA&#10;PdE6YBgCAABHBAAADgAAAAAAAAAAAAAAAAAuAgAAZHJzL2Uyb0RvYy54bWxQSwECLQAUAAYACAAA&#10;ACEAPZVqjdoAAAAHAQAADwAAAAAAAAAAAAAAAAByBAAAZHJzL2Rvd25yZXYueG1sUEsFBgAAAAAE&#10;AAQA8wAAAHkFAAAAAA==&#10;">
                <v:stroke startarrowwidth="narrow" startarrowlength="short" endarrowwidth="narrow" endarrowlength="short"/>
                <v:textbox inset="2.53958mm,1.2694mm,2.53958mm,1.2694mm">
                  <w:txbxContent>
                    <w:p w14:paraId="1B7E61C0" w14:textId="775A54BB" w:rsidR="00D511E5" w:rsidRDefault="00784CC4" w:rsidP="005947E9">
                      <w:pPr>
                        <w:jc w:val="both"/>
                        <w:textDirection w:val="btLr"/>
                      </w:pPr>
                      <w:r w:rsidRPr="00784CC4">
                        <w:t>Entegre Liman Ekosistemi modelinin pazara giriş sürecinde karşılaşılabilecek teknik, ticari ve operasyonel engeller ile bunlara yönelik çözüm planları mühendislik prensipleri çerçevesinde kurgulanmıştır. Ticari açıdan en büyük bariyer, mikroreaktörlerin 14.7 ile 19.2 USD/We bandında seyreden yüksek ilk kurulum maliyetleridir. Bu engelin, fabrikada modüler seri üretim konsepti ve yüzde 12.6 öğrenme eğrisi stratejisiyle aşılarak "nth-of-a-kind" maliyetlerinin 3.5 ile 7.0 USD/We seviyelerine düşürülmesi hedeflenmektedir. Teknik kısıtların başında, sistemin 700°C bandındaki yüksek çalışma sıcaklığı nedeniyle türbin ve reküperatörlerde maliyetli nikel alaşımların kullanım zorunluluğu ve moderatörden hidrojen sızma riski gelmektedir. Nikel alaşımı donanım maliyetinin, "sCO2" Brayton döngüsünün sağladığı yüksek termal verimin yaratacağı 18 USD/MWh net operasyonel tasarrufla hızla amorti edilmesi öngörülmektedir. Hidrojen kaçağı riski ise moderatör elemanlarının yüzeyine kimyasal buhar biriktirme yöntemiyle ince bir "SiC" tabakası kaplanarak termodinamik bir difüzyon bariyeri oluşturulmasıyla çözülecektir. Operasyonel ve hukuki tarafta; piroliz tesisinden elde edilen sentez gazının yanıcılık riski, siber güvenlik tehditleri ve nükleer güvenlik endişeleri öne çıkmaktadır. Patlama riski, tesisin reaktör adasından fiziksel olarak ayrılıp izole bölgeler inşa edilmesiyle; siber tehditler, reaktör kontrol sistemlerinin liman ağından donanımsal veri diyotları ile koparılmasıyla bertaraf edilecektir. Nükleer güvenlik endişelerinin ise uranyum zenginlik seviyesinin silahlanma eşiğinin altında olan yüzde 19.75 oranında tutulması ve reaktörün yarı gömülü inşa edilmesiyle giderilmesi planlanmaktadır. Teknoloji hazırlık seviyesi 2 aşamasında olan projenin, bu analitik risk yönetimiyle ticarileşme adımlarını güvenli bir şekilde atması beklenmektedir.</w:t>
                      </w:r>
                    </w:p>
                  </w:txbxContent>
                </v:textbox>
                <w10:wrap type="square" anchorx="margin"/>
              </v:rect>
            </w:pict>
          </mc:Fallback>
        </mc:AlternateContent>
      </w:r>
      <w:r>
        <w:rPr>
          <w:rFonts w:ascii="Times New Roman" w:eastAsia="Times New Roman" w:hAnsi="Times New Roman" w:cs="Times New Roman"/>
          <w:sz w:val="24"/>
          <w:szCs w:val="24"/>
        </w:rPr>
        <w:t>Pazara Giriş Engelleri</w:t>
      </w:r>
    </w:p>
    <w:p w14:paraId="7FB899E3" w14:textId="4E741389" w:rsidR="00D511E5" w:rsidRDefault="00D511E5">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7DED6A41" w14:textId="67B2F431" w:rsidR="00D511E5" w:rsidRPr="005947E9" w:rsidRDefault="00000000" w:rsidP="005947E9">
      <w:pPr>
        <w:pStyle w:val="Balk2"/>
        <w:numPr>
          <w:ilvl w:val="1"/>
          <w:numId w:val="2"/>
        </w:numPr>
        <w:tabs>
          <w:tab w:val="left" w:pos="2277"/>
        </w:tabs>
        <w:ind w:left="2277" w:hanging="576"/>
        <w:rPr>
          <w:rFonts w:ascii="Times New Roman" w:eastAsia="Times New Roman" w:hAnsi="Times New Roman" w:cs="Times New Roman"/>
          <w:sz w:val="24"/>
          <w:szCs w:val="24"/>
        </w:rPr>
      </w:pPr>
      <w:r>
        <w:rPr>
          <w:rFonts w:ascii="Times New Roman" w:eastAsia="Times New Roman" w:hAnsi="Times New Roman" w:cs="Times New Roman"/>
          <w:sz w:val="24"/>
          <w:szCs w:val="24"/>
        </w:rPr>
        <w:t>Sosyal Fayd</w:t>
      </w:r>
      <w:r w:rsidR="005947E9">
        <w:rPr>
          <w:rFonts w:ascii="Times New Roman" w:eastAsia="Times New Roman" w:hAnsi="Times New Roman" w:cs="Times New Roman"/>
          <w:sz w:val="24"/>
          <w:szCs w:val="24"/>
        </w:rPr>
        <w:t>a</w:t>
      </w:r>
    </w:p>
    <w:p w14:paraId="18124E0E" w14:textId="77777777" w:rsidR="00D511E5" w:rsidRDefault="00000000">
      <w:pPr>
        <w:pBdr>
          <w:top w:val="nil"/>
          <w:left w:val="nil"/>
          <w:bottom w:val="nil"/>
          <w:right w:val="nil"/>
          <w:between w:val="nil"/>
        </w:pBdr>
        <w:ind w:left="141"/>
        <w:rPr>
          <w:rFonts w:ascii="Times New Roman" w:eastAsia="Times New Roman" w:hAnsi="Times New Roman" w:cs="Times New Roman"/>
          <w:color w:val="000000"/>
          <w:sz w:val="24"/>
          <w:szCs w:val="24"/>
        </w:rPr>
        <w:sectPr w:rsidR="00D511E5">
          <w:pgSz w:w="11910" w:h="16840"/>
          <w:pgMar w:top="1320" w:right="1275" w:bottom="1100" w:left="1275" w:header="0" w:footer="916" w:gutter="0"/>
          <w:cols w:space="708"/>
        </w:sectPr>
      </w:pPr>
      <w:r>
        <w:rPr>
          <w:noProof/>
        </w:rPr>
        <mc:AlternateContent>
          <mc:Choice Requires="wps">
            <w:drawing>
              <wp:anchor distT="45720" distB="45720" distL="114300" distR="114300" simplePos="0" relativeHeight="251665408" behindDoc="0" locked="0" layoutInCell="1" hidden="0" allowOverlap="1" wp14:anchorId="47F54F9F" wp14:editId="75BB6E91">
                <wp:simplePos x="0" y="0"/>
                <wp:positionH relativeFrom="margin">
                  <wp:align>left</wp:align>
                </wp:positionH>
                <wp:positionV relativeFrom="paragraph">
                  <wp:posOffset>46355</wp:posOffset>
                </wp:positionV>
                <wp:extent cx="5867400" cy="3352800"/>
                <wp:effectExtent l="0" t="0" r="19050" b="19050"/>
                <wp:wrapSquare wrapText="bothSides" distT="45720" distB="45720" distL="114300" distR="114300"/>
                <wp:docPr id="11" name="Dikdörtgen 11"/>
                <wp:cNvGraphicFramePr/>
                <a:graphic xmlns:a="http://schemas.openxmlformats.org/drawingml/2006/main">
                  <a:graphicData uri="http://schemas.microsoft.com/office/word/2010/wordprocessingShape">
                    <wps:wsp>
                      <wps:cNvSpPr/>
                      <wps:spPr>
                        <a:xfrm>
                          <a:off x="0" y="0"/>
                          <a:ext cx="5867400" cy="33528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7045D6F" w14:textId="06C6E3AD" w:rsidR="00D511E5" w:rsidRDefault="00784CC4" w:rsidP="005947E9">
                            <w:pPr>
                              <w:jc w:val="both"/>
                              <w:textDirection w:val="btLr"/>
                            </w:pPr>
                            <w:r w:rsidRPr="00784CC4">
                              <w:t>Entegre Liman Ekosistemi projesi, ekonomik bir girişim olmasının ötesinde toplum sağlığı ve çevresel sürdürülebilirliği merkeze alan önemli bir sosyal fayda potansiyeli taşımaktadır. Geleneksel liman faaliyetlerinde rıhtımda bekleyen gemilerin çalıştırdığı dizel jeneratörler, bölge halkı için ciddi solunum yolu hastalıklarına ve hava kalitesinde düşüşe neden olmaktadır. Geliştirilen konsept sayesinde gemilerin fosil yakıtlı motorlarını kapatarak nükleer destekli şebekeden sıfır emisyonlu enerji alması, liman şehirlerinin hava kalitesini doğrudan iyileştirecektir. Aynı zamanda, doğaya terk edilen veya kontrolsüz yakılan plastik atıkların piroliz teknolojisiyle döngüsel ekonomiye kazandırılması çevre kirliliğini önemli ölçüde azaltacaktır. Ek olarak, deniz suyu desalinasyon ünitesi aracılığıyla tarım ve şebeke için temiz tatlı su kaynağı yaratılırken, kuru soğutma uyumlu döngü sayesinde denize sıcak su deşarjı yapılmayarak yerel sucul fauna termal kirlilikten korunacaktır. Bu kapsamlı çevresel dönüşüm vizyonu, Birleşmiş Milletler tarafından belirlenen Sürdürülebilir Kalkınma Amaçlarından; Sağlık ve Kaliteli Yaşam, Erişilebilir ve Temiz Enerji, İnsana Yakışır Ekonomik Büyüme, Sanayi Yenilikçilik ve Altyapı, Sürdürülebilir Şehirler ve Topluluklar, Sorumlu Üretim ve Tüketim ile İklim Eylemi hedeflerine doğrudan katkı sağlamaktadır.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7F54F9F" id="Dikdörtgen 11" o:spid="_x0000_s1033" style="position:absolute;left:0;text-align:left;margin-left:0;margin-top:3.65pt;width:462pt;height:264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N+AFgIAAEcEAAAOAAAAZHJzL2Uyb0RvYy54bWysU9uO2jAQfa/Uf7D8XhJYWNiIsKqWUlVa&#10;tUjbfsDgOMSSb/UYCH/fsaHAtpUqVc2DM/aMj8+cmZk/9kazvQyonK35cFByJq1wjbLbmn/7uno3&#10;4wwj2Aa0s7LmR4n8cfH2zfzgKzlyndONDIxALFYHX/MuRl8VBYpOGsCB89KSs3XBQKRt2BZNgAOh&#10;G12MyvK+OLjQ+OCERKTT5cnJFxm/baWIX9oWZWS65sQt5jXkdZPWYjGHahvAd0qcacA/sDCgLD16&#10;gVpCBLYL6jcoo0Rw6No4EM4Urm2VkDkHymZY/pLNSwde5lxIHPQXmfD/wYrP+xe/DiTDwWOFZKYs&#10;+jaY9Cd+rM9iHS9iyT4yQYeT2f10XJKmgnx3d5PRjDaEU1yv+4Dxo3SGJaPmgaqRRYL9M8ZT6M+Q&#10;9Bo6rZqV0jpvwnbzpAPbA1Vulb8z+qswbdmh5g+T0YSIADVQqyGSaXxTc7Tb/N6rG3gLXObvT8CJ&#10;2BKwOxHICCkMKqMidaxWpuaUMX2n405C88E2LB49tbmlZueJGRrOtKTRICNfj6D03+NIRG1Jy2tR&#10;khX7Tc8UJTZNWOlk45rjOjD0YqWI8DNgXEOgDh7S69TV9O73HQTioj9ZapuH4TgpFfNmPJmm+oVb&#10;z+bWA1Z0joaFBD2ZTzGPTpLBuve76FqV63ilcuZM3Zo74TxZaRxu9znqOv+LHwAAAP//AwBQSwME&#10;FAAGAAgAAAAhACDf0Y7aAAAABgEAAA8AAABkcnMvZG93bnJldi54bWxMj81OwzAQhO9IvIO1SFwQ&#10;dWgohRCngkgcQSLlAbbJkkTY6yh2fnh7lhMcRzOa+SY/rM6qmcbQezZws0lAEde+6bk18HF8ub4H&#10;FSJyg9YzGfimAIfi/CzHrPELv9NcxVZJCYcMDXQxDpnWoe7IYdj4gVi8Tz86jCLHVjcjLlLurN4m&#10;yZ122LMsdDhQ2VH9VU3OwDGkfUm22od5rl6fy+nKLfhmzOXF+vQIKtIa/8Lwiy/oUAjTyU/cBGUN&#10;yJFoYJ+CEvNheyv6ZGCX7lLQRa7/4xc/AAAA//8DAFBLAQItABQABgAIAAAAIQC2gziS/gAAAOEB&#10;AAATAAAAAAAAAAAAAAAAAAAAAABbQ29udGVudF9UeXBlc10ueG1sUEsBAi0AFAAGAAgAAAAhADj9&#10;If/WAAAAlAEAAAsAAAAAAAAAAAAAAAAALwEAAF9yZWxzLy5yZWxzUEsBAi0AFAAGAAgAAAAhAPqY&#10;34AWAgAARwQAAA4AAAAAAAAAAAAAAAAALgIAAGRycy9lMm9Eb2MueG1sUEsBAi0AFAAGAAgAAAAh&#10;ACDf0Y7aAAAABgEAAA8AAAAAAAAAAAAAAAAAcAQAAGRycy9kb3ducmV2LnhtbFBLBQYAAAAABAAE&#10;APMAAAB3BQAAAAA=&#10;">
                <v:stroke startarrowwidth="narrow" startarrowlength="short" endarrowwidth="narrow" endarrowlength="short"/>
                <v:textbox inset="2.53958mm,1.2694mm,2.53958mm,1.2694mm">
                  <w:txbxContent>
                    <w:p w14:paraId="67045D6F" w14:textId="06C6E3AD" w:rsidR="00D511E5" w:rsidRDefault="00784CC4" w:rsidP="005947E9">
                      <w:pPr>
                        <w:jc w:val="both"/>
                        <w:textDirection w:val="btLr"/>
                      </w:pPr>
                      <w:r w:rsidRPr="00784CC4">
                        <w:t>Entegre Liman Ekosistemi projesi, ekonomik bir girişim olmasının ötesinde toplum sağlığı ve çevresel sürdürülebilirliği merkeze alan önemli bir sosyal fayda potansiyeli taşımaktadır. Geleneksel liman faaliyetlerinde rıhtımda bekleyen gemilerin çalıştırdığı dizel jeneratörler, bölge halkı için ciddi solunum yolu hastalıklarına ve hava kalitesinde düşüşe neden olmaktadır. Geliştirilen konsept sayesinde gemilerin fosil yakıtlı motorlarını kapatarak nükleer destekli şebekeden sıfır emisyonlu enerji alması, liman şehirlerinin hava kalitesini doğrudan iyileştirecektir. Aynı zamanda, doğaya terk edilen veya kontrolsüz yakılan plastik atıkların piroliz teknolojisiyle döngüsel ekonomiye kazandırılması çevre kirliliğini önemli ölçüde azaltacaktır. Ek olarak, deniz suyu desalinasyon ünitesi aracılığıyla tarım ve şebeke için temiz tatlı su kaynağı yaratılırken, kuru soğutma uyumlu döngü sayesinde denize sıcak su deşarjı yapılmayarak yerel sucul fauna termal kirlilikten korunacaktır. Bu kapsamlı çevresel dönüşüm vizyonu, Birleşmiş Milletler tarafından belirlenen Sürdürülebilir Kalkınma Amaçlarından; Sağlık ve Kaliteli Yaşam, Erişilebilir ve Temiz Enerji, İnsana Yakışır Ekonomik Büyüme, Sanayi Yenilikçilik ve Altyapı, Sürdürülebilir Şehirler ve Topluluklar, Sorumlu Üretim ve Tüketim ile İklim Eylemi hedeflerine doğrudan katkı sağlamaktadır.</w:t>
                      </w:r>
                    </w:p>
                  </w:txbxContent>
                </v:textbox>
                <w10:wrap type="square" anchorx="margin"/>
              </v:rect>
            </w:pict>
          </mc:Fallback>
        </mc:AlternateContent>
      </w:r>
    </w:p>
    <w:p w14:paraId="11492E1B" w14:textId="77777777" w:rsidR="00D511E5" w:rsidRDefault="00000000">
      <w:pPr>
        <w:pStyle w:val="Balk1"/>
        <w:numPr>
          <w:ilvl w:val="0"/>
          <w:numId w:val="2"/>
        </w:numPr>
        <w:tabs>
          <w:tab w:val="left" w:pos="573"/>
        </w:tabs>
      </w:pPr>
      <w:r>
        <w:rPr>
          <w:rFonts w:ascii="Times New Roman" w:eastAsia="Times New Roman" w:hAnsi="Times New Roman" w:cs="Times New Roman"/>
          <w:sz w:val="24"/>
          <w:szCs w:val="24"/>
        </w:rPr>
        <w:lastRenderedPageBreak/>
        <w:t>Ürün ve Teknoloji</w:t>
      </w:r>
    </w:p>
    <w:p w14:paraId="0833A7A4" w14:textId="0AC83F4F" w:rsidR="00D511E5" w:rsidRPr="005947E9" w:rsidRDefault="00B75A29" w:rsidP="005947E9">
      <w:pPr>
        <w:pStyle w:val="Balk2"/>
        <w:numPr>
          <w:ilvl w:val="1"/>
          <w:numId w:val="2"/>
        </w:numPr>
        <w:tabs>
          <w:tab w:val="left" w:pos="2277"/>
        </w:tabs>
        <w:spacing w:before="38"/>
        <w:ind w:left="2277" w:hanging="576"/>
        <w:rPr>
          <w:rFonts w:ascii="Times New Roman" w:eastAsia="Times New Roman" w:hAnsi="Times New Roman" w:cs="Times New Roman"/>
          <w:sz w:val="24"/>
          <w:szCs w:val="24"/>
        </w:rPr>
      </w:pPr>
      <w:r>
        <w:rPr>
          <w:noProof/>
        </w:rPr>
        <mc:AlternateContent>
          <mc:Choice Requires="wps">
            <w:drawing>
              <wp:anchor distT="45720" distB="45720" distL="114300" distR="114300" simplePos="0" relativeHeight="251666432" behindDoc="0" locked="0" layoutInCell="1" hidden="0" allowOverlap="1" wp14:anchorId="767CF552" wp14:editId="34925FAB">
                <wp:simplePos x="0" y="0"/>
                <wp:positionH relativeFrom="margin">
                  <wp:align>left</wp:align>
                </wp:positionH>
                <wp:positionV relativeFrom="paragraph">
                  <wp:posOffset>373380</wp:posOffset>
                </wp:positionV>
                <wp:extent cx="5867400" cy="3710940"/>
                <wp:effectExtent l="0" t="0" r="19050" b="22860"/>
                <wp:wrapSquare wrapText="bothSides" distT="45720" distB="45720" distL="114300" distR="114300"/>
                <wp:docPr id="3" name="Dikdörtgen 3"/>
                <wp:cNvGraphicFramePr/>
                <a:graphic xmlns:a="http://schemas.openxmlformats.org/drawingml/2006/main">
                  <a:graphicData uri="http://schemas.microsoft.com/office/word/2010/wordprocessingShape">
                    <wps:wsp>
                      <wps:cNvSpPr/>
                      <wps:spPr>
                        <a:xfrm>
                          <a:off x="0" y="0"/>
                          <a:ext cx="5867400" cy="37109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715A216" w14:textId="1B1172E7" w:rsidR="00D511E5" w:rsidRDefault="00784CC4" w:rsidP="00B75A29">
                            <w:pPr>
                              <w:jc w:val="both"/>
                              <w:textDirection w:val="btLr"/>
                            </w:pPr>
                            <w:r w:rsidRPr="00784CC4">
                              <w:t>Entegre Liman Ekosistemi konseptinin temel değer önerisi; enerji üretimi, atık yönetimi ve su arıtma süreçlerini tek bir termodinamik döngüde birleştirerek kullanıcılara operasyonel bağımsızlık ve sıfır karbon garantisi sunmasıdır. Limanların kesintisiz enerji ihtiyacı, birincil döngüsünde hareketli parça içermeyen, ısı borusu soğutmalı 1.4 MWe kapasiteli mikroreaktör tasarımı ile karşılanmakta; bu sayede arıza riskleri ve operasyonel maliyetler minimize edilmektedir. Emisyon kaynağı dizel jeneratörlerin yerini alan bu sistem, kaskad atık ısı kullanımıyla atık yönetimine bütüncül bir çözüm getirmektedir. Reaktörden "sCO2" Brayton döngüsüyle elektrik üretildikten sonra atılan orta dereceli ısı, plastik atıkları sentez gazı ve katı karbona dönüştüren piroliz tesisini beslerken; kalan düşük entalpili atık ısı desalinasyon ünitesinde tatlı su eldesinde kullanılmaktadır. Sistemin uygulanabilirliği detaylı nötronik, kinetik ve termodinamik simülasyonlarla analiz edilmiştir. Altı faktör formülü ve tek gruplu difüzyon teorisi kullanılarak yapılan analizler, kompakt kor geometrisinde güvenli kritikaliteyi doğrulamaktadır. Sayısal yöntemlerle modellenen kinetik simülasyonları, sistemin hedeflenen 410.6 pcm operasyonel reaktivite marjına güvenle çıktığını ve gecikmeli nötron oranının altında kalarak stabil işletme gücüne ulaştığını göstermektedir. Ayrıca, tekil hata kriteri senaryosunda kora girmeyen bir kontrol çubuğuna rağmen sistemin güvenli alt kritik marjda kaldığı ve "Doppler" genişlemesi gibi pasif güvenlik mekanizmalarının aktif olarak çalıştığı risk analizleriyle tespit edilmiştir. Güç dönüşüm aşamasında ise kapalı döngü felsefesi analitik olarak optimize edilerek yaklaşık yüzde 43 oranında termodinamik verime ulaşılabileceği öngörülmektedir.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67CF552" id="Dikdörtgen 3" o:spid="_x0000_s1034" style="position:absolute;left:0;text-align:left;margin-left:0;margin-top:29.4pt;width:462pt;height:292.2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dTGAIAAEcEAAAOAAAAZHJzL2Uyb0RvYy54bWysU9uO2jAQfa/Uf7D8XhIo7EJEWFVLqSqt&#10;ukjbfsDgOMSSb/UYCH/fsaHAtpUqVc2DM7bHZ87MnJk/9EazvQyonK35cFByJq1wjbLbmn/7uno3&#10;5Qwj2Aa0s7LmR4n8YfH2zfzgKzlyndONDIxALFYHX/MuRl8VBYpOGsCB89LSZeuCgUjbsC2aAAdC&#10;N7oYleVdcXCh8cEJiUiny9MlX2T8tpUiPrctysh0zYlbzGvI6yatxWIO1TaA75Q404B/YGFAWQp6&#10;gVpCBLYL6jcoo0Rw6No4EM4Urm2VkDkHymZY/pLNSwde5lyoOOgvZcL/Byu+7F/8OlAZDh4rJDNl&#10;0bfBpD/xY30u1vFSLNlHJuhwMr27H5dUU0F37++H5Wycy1lcn/uA8ZN0hiWj5oG6kYsE+yeMFJJc&#10;f7qkaOi0alZK67wJ282jDmwP1LlV/lKz6MkrN23ZoeazyWhCRIAE1GqIZBrf1BztNsd79QJvgcv8&#10;/Qk4EVsCdicCGeEkFqMiKVYrU/Pp5TVUnYTmo21YPHqSuSWx88QMDWda0miQkbUWQem/+1Ga2lK2&#10;16YkK/abnilKbJqw0snGNcd1YOjFShHhJ8C4hkAKHlJ0UjXF/b6DQFz0Z0uymQ3HqVIxb8aT+9S/&#10;cHuzub0BKzpHw0IFPZmPMY9O6o91H3bRtSr38UrlzJnUmnt1nqw0Drf77HWd/8UPAAAA//8DAFBL&#10;AwQUAAYACAAAACEAVjOxTtsAAAAHAQAADwAAAGRycy9kb3ducmV2LnhtbEyPzU7DMBCE70i8g7VI&#10;XBB1SEt/QpwKInGkEikP4MZLEmGvo9j54e1ZTnDcmdHMt/lxcVZMOITOk4KHVQICqfamo0bBx/n1&#10;fg8iRE1GW0+o4BsDHIvrq1xnxs/0jlMVG8ElFDKtoI2xz6QMdYtOh5Xvkdj79IPTkc+hkWbQM5c7&#10;K9Mk2UqnO+KFVvdYtlh/VaNTcA7rrkRb7cI0VW8v5XjnZn1S6vZmeX4CEXGJf2H4xWd0KJjp4kcy&#10;QVgF/EhU8LhnfnYP6YaFi4LtZp2CLHL5n7/4AQAA//8DAFBLAQItABQABgAIAAAAIQC2gziS/gAA&#10;AOEBAAATAAAAAAAAAAAAAAAAAAAAAABbQ29udGVudF9UeXBlc10ueG1sUEsBAi0AFAAGAAgAAAAh&#10;ADj9If/WAAAAlAEAAAsAAAAAAAAAAAAAAAAALwEAAF9yZWxzLy5yZWxzUEsBAi0AFAAGAAgAAAAh&#10;ANz6h1MYAgAARwQAAA4AAAAAAAAAAAAAAAAALgIAAGRycy9lMm9Eb2MueG1sUEsBAi0AFAAGAAgA&#10;AAAhAFYzsU7bAAAABwEAAA8AAAAAAAAAAAAAAAAAcgQAAGRycy9kb3ducmV2LnhtbFBLBQYAAAAA&#10;BAAEAPMAAAB6BQAAAAA=&#10;">
                <v:stroke startarrowwidth="narrow" startarrowlength="short" endarrowwidth="narrow" endarrowlength="short"/>
                <v:textbox inset="2.53958mm,1.2694mm,2.53958mm,1.2694mm">
                  <w:txbxContent>
                    <w:p w14:paraId="5715A216" w14:textId="1B1172E7" w:rsidR="00D511E5" w:rsidRDefault="00784CC4" w:rsidP="00B75A29">
                      <w:pPr>
                        <w:jc w:val="both"/>
                        <w:textDirection w:val="btLr"/>
                      </w:pPr>
                      <w:r w:rsidRPr="00784CC4">
                        <w:t>Entegre Liman Ekosistemi konseptinin temel değer önerisi; enerji üretimi, atık yönetimi ve su arıtma süreçlerini tek bir termodinamik döngüde birleştirerek kullanıcılara operasyonel bağımsızlık ve sıfır karbon garantisi sunmasıdır. Limanların kesintisiz enerji ihtiyacı, birincil döngüsünde hareketli parça içermeyen, ısı borusu soğutmalı 1.4 MWe kapasiteli mikroreaktör tasarımı ile karşılanmakta; bu sayede arıza riskleri ve operasyonel maliyetler minimize edilmektedir. Emisyon kaynağı dizel jeneratörlerin yerini alan bu sistem, kaskad atık ısı kullanımıyla atık yönetimine bütüncül bir çözüm getirmektedir. Reaktörden "sCO2" Brayton döngüsüyle elektrik üretildikten sonra atılan orta dereceli ısı, plastik atıkları sentez gazı ve katı karbona dönüştüren piroliz tesisini beslerken; kalan düşük entalpili atık ısı desalinasyon ünitesinde tatlı su eldesinde kullanılmaktadır. Sistemin uygulanabilirliği detaylı nötronik, kinetik ve termodinamik simülasyonlarla analiz edilmiştir. Altı faktör formülü ve tek gruplu difüzyon teorisi kullanılarak yapılan analizler, kompakt kor geometrisinde güvenli kritikaliteyi doğrulamaktadır. Sayısal yöntemlerle modellenen kinetik simülasyonları, sistemin hedeflenen 410.6 pcm operasyonel reaktivite marjına güvenle çıktığını ve gecikmeli nötron oranının altında kalarak stabil işletme gücüne ulaştığını göstermektedir. Ayrıca, tekil hata kriteri senaryosunda kora girmeyen bir kontrol çubuğuna rağmen sistemin güvenli alt kritik marjda kaldığı ve "Doppler" genişlemesi gibi pasif güvenlik mekanizmalarının aktif olarak çalıştığı risk analizleriyle tespit edilmiştir. Güç dönüşüm aşamasında ise kapalı döngü felsefesi analitik olarak optimize edilerek yaklaşık yüzde 43 oranında termodinamik verime ulaşılabileceği öngörülmektedir.</w:t>
                      </w:r>
                    </w:p>
                  </w:txbxContent>
                </v:textbox>
                <w10:wrap type="square" anchorx="margin"/>
              </v:rect>
            </w:pict>
          </mc:Fallback>
        </mc:AlternateContent>
      </w:r>
      <w:r>
        <w:rPr>
          <w:rFonts w:ascii="Times New Roman" w:eastAsia="Times New Roman" w:hAnsi="Times New Roman" w:cs="Times New Roman"/>
          <w:sz w:val="24"/>
          <w:szCs w:val="24"/>
        </w:rPr>
        <w:t>Değer Öneris</w:t>
      </w:r>
      <w:r w:rsidR="005947E9">
        <w:rPr>
          <w:rFonts w:ascii="Times New Roman" w:eastAsia="Times New Roman" w:hAnsi="Times New Roman" w:cs="Times New Roman"/>
          <w:sz w:val="24"/>
          <w:szCs w:val="24"/>
        </w:rPr>
        <w:t>i</w:t>
      </w:r>
    </w:p>
    <w:p w14:paraId="40B30516" w14:textId="44E5B437" w:rsidR="00D511E5" w:rsidRDefault="00D511E5">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79153897" w14:textId="77777777" w:rsidR="00B75A29" w:rsidRDefault="00B75A29">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466E749C" w14:textId="77777777" w:rsidR="00B75A29" w:rsidRDefault="00B75A29">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39BBD65C" w14:textId="77777777" w:rsidR="00B75A29" w:rsidRDefault="00B75A29">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1457EE8A" w14:textId="77777777" w:rsidR="00B75A29" w:rsidRDefault="00B75A29">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6213BA34" w14:textId="77777777" w:rsidR="00B75A29" w:rsidRDefault="00B75A29">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5A53AFA8" w14:textId="77777777" w:rsidR="00B75A29" w:rsidRDefault="00B75A29">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620ECE94" w14:textId="77777777" w:rsidR="00B75A29" w:rsidRDefault="00B75A29">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49F8F9D2" w14:textId="77777777" w:rsidR="00B75A29" w:rsidRDefault="00B75A29">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3C207236" w14:textId="77777777" w:rsidR="00B75A29" w:rsidRDefault="00B75A29">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41749398" w14:textId="77777777" w:rsidR="00B75A29" w:rsidRDefault="00B75A29">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643CAA60" w14:textId="77777777" w:rsidR="00B75A29" w:rsidRDefault="00B75A29">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565CD302" w14:textId="77777777" w:rsidR="00B75A29" w:rsidRDefault="00B75A29">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272D3A3A" w14:textId="77777777" w:rsidR="00B75A29" w:rsidRDefault="00B75A29">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0F6378E0" w14:textId="77777777" w:rsidR="00B75A29" w:rsidRDefault="00B75A29">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64443A32" w14:textId="77777777" w:rsidR="00B75A29" w:rsidRDefault="00B75A29">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5717E0B0" w14:textId="77777777" w:rsidR="00B75A29" w:rsidRDefault="00B75A29">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6C9D7D5C" w14:textId="77777777" w:rsidR="00B75A29" w:rsidRDefault="00B75A29">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3B950DAB" w14:textId="77777777" w:rsidR="00B75A29" w:rsidRDefault="00B75A29">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3365DD2E" w14:textId="77777777" w:rsidR="00B75A29" w:rsidRDefault="00B75A29">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4E5863EA" w14:textId="77777777" w:rsidR="00B75A29" w:rsidRDefault="00B75A29">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1E253DDB" w14:textId="428975DC" w:rsidR="00D511E5" w:rsidRPr="00B75A29" w:rsidRDefault="00B75A29" w:rsidP="00B75A29">
      <w:pPr>
        <w:pStyle w:val="Balk2"/>
        <w:numPr>
          <w:ilvl w:val="1"/>
          <w:numId w:val="2"/>
        </w:numPr>
        <w:tabs>
          <w:tab w:val="left" w:pos="2277"/>
        </w:tabs>
        <w:ind w:left="2277" w:hanging="576"/>
        <w:rPr>
          <w:rFonts w:ascii="Times New Roman" w:eastAsia="Times New Roman" w:hAnsi="Times New Roman" w:cs="Times New Roman"/>
          <w:sz w:val="24"/>
          <w:szCs w:val="24"/>
        </w:rPr>
        <w:sectPr w:rsidR="00D511E5" w:rsidRPr="00B75A29">
          <w:pgSz w:w="11910" w:h="16840"/>
          <w:pgMar w:top="1320" w:right="1275" w:bottom="1100" w:left="1275" w:header="0" w:footer="916" w:gutter="0"/>
          <w:cols w:space="708"/>
        </w:sectPr>
      </w:pPr>
      <w:r>
        <w:rPr>
          <w:noProof/>
        </w:rPr>
        <mc:AlternateContent>
          <mc:Choice Requires="wps">
            <w:drawing>
              <wp:anchor distT="45720" distB="45720" distL="114300" distR="114300" simplePos="0" relativeHeight="251667456" behindDoc="0" locked="0" layoutInCell="1" hidden="0" allowOverlap="1" wp14:anchorId="4510E83B" wp14:editId="2CE6AA5B">
                <wp:simplePos x="0" y="0"/>
                <wp:positionH relativeFrom="margin">
                  <wp:align>left</wp:align>
                </wp:positionH>
                <wp:positionV relativeFrom="paragraph">
                  <wp:posOffset>390525</wp:posOffset>
                </wp:positionV>
                <wp:extent cx="5867400" cy="7498080"/>
                <wp:effectExtent l="0" t="0" r="19050" b="26670"/>
                <wp:wrapSquare wrapText="bothSides" distT="45720" distB="45720" distL="114300" distR="114300"/>
                <wp:docPr id="20" name="Dikdörtgen 20"/>
                <wp:cNvGraphicFramePr/>
                <a:graphic xmlns:a="http://schemas.openxmlformats.org/drawingml/2006/main">
                  <a:graphicData uri="http://schemas.microsoft.com/office/word/2010/wordprocessingShape">
                    <wps:wsp>
                      <wps:cNvSpPr/>
                      <wps:spPr>
                        <a:xfrm>
                          <a:off x="0" y="0"/>
                          <a:ext cx="5867400" cy="749808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F689A29" w14:textId="56F0A915" w:rsidR="00D511E5" w:rsidRDefault="005A2338" w:rsidP="00B75A29">
                            <w:pPr>
                              <w:jc w:val="both"/>
                              <w:textDirection w:val="btLr"/>
                            </w:pPr>
                            <w:r w:rsidRPr="005A2338">
                              <w:t xml:space="preserve">Kesintisiz ve temiz enerji ile atık yönetimi taleplerinin karşılanmasında mevcut dizel jeneratörler, fosil tabanlı endüstriyel kazanlar ve su soğutmalı konvansiyonel nükleer reaktörler temel alternatifleri oluşturmaktadır. Bu sistemler genellikle yüksek karbon emisyonu ve düşük verimlilikle çalışan, sadece elektrik veya ısı üreten doğrusal yapılara sahiptir. Önerilen tasarım ise enerji üretimi, piroliz ve desalinasyon süreçlerini kaskad atık ısı döngüsünde birleştirerek bütüncül bir teknolojik yaklaşım sunmaktadır. Geleneksel nükleer santraller yüksek sıcaklıktaki soğutma sularını denize deşarj ederek termal kirlilik riski oluştururken, geliştirilen kuru soğutma uyumlu "sCO2" döngüsü ile çevreye termal deşarj yapılmaması planlanmaktadır. Birincil soğutma döngüsünde mekanik pompalar yerine kapiler kuvvetle çalışan potasyum ısı borularının kullanılması, olası mekanik arıza ve plansız duruş risklerini önemli ölçüde azaltmaktadır. Bu özelliklerin uygulanabilirliği detaylı mühendislik analizleriyle incelenmiştir. Nokta kinetiği ve "Runge-Kutta" sayısal yöntemiyle gerçekleştirilen soğuk başlatma simülasyonları, sistemin gecikmeli nötron marjı altında kalarak hedef güce stabil bir şekilde ulaştığını göstermektedir. Risk Öncelik Sayısı tabanlı güvenlik analizleri ve tekli hata kriteri doğrulamaları; bir kontrol çubuğunun sıkışması durumunda dahi kalan 6 çubuğun sistemi -6994.3 pcm seviyesinde güvenli alt kritik duruma getirebildiğini ortaya koymuştur. "TRISO" yakıt partiküllerinin U-238 rezonans tutulumuna dayalı "Doppler" genişlemesi ve moderatörün spektral kayma özellikleri sayesinde reaktörün pasif güvenlikli yapısı fiziksel modellerle doğrulanmıştır. Ekonomik fizibilite analizleri, modüler seri üretim ile "nth-of-a-kind" ilk kurulum maliyetlerinin 3.5 ile 7.0 USD/We bandına düşebileceğini ve </w:t>
                            </w:r>
                            <w:r w:rsidR="00423A16">
                              <w:t xml:space="preserve">37 </w:t>
                            </w:r>
                            <w:r w:rsidRPr="005A2338">
                              <w:t xml:space="preserve">milyon Amerikan Doları düzeyindeki bir yatırımın yaklaşık </w:t>
                            </w:r>
                            <w:r w:rsidR="00423A16">
                              <w:t>8</w:t>
                            </w:r>
                            <w:r>
                              <w:t xml:space="preserve"> </w:t>
                            </w:r>
                            <w:r w:rsidRPr="005A2338">
                              <w:t>yılda amorti edilebileceğini göstermektedir.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510E83B" id="Dikdörtgen 20" o:spid="_x0000_s1035" style="position:absolute;left:0;text-align:left;margin-left:0;margin-top:30.75pt;width:462pt;height:590.4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5b2FwIAAEcEAAAOAAAAZHJzL2Uyb0RvYy54bWysU9uO2jAQfa/Uf7D8XhIQLBARVtVSqkqr&#10;FmnbDxgch1jyrR4D4e87NhTYtlKlqnlwxvb4zJmZM4vH3mh2kAGVszUfDkrOpBWuUXZX829f1+9m&#10;nGEE24B2Vtb8JJE/Lt++WRx9JUeuc7qRgRGIxeroa97F6KuiQNFJAzhwXlq6bF0wEGkbdkUT4Ejo&#10;Rhejsnwoji40PjghEel0db7ky4zftlLEL22LMjJdc+IW8xryuk1rsVxAtQvgOyUuNOAfWBhQloJe&#10;oVYQge2D+g3KKBEcujYOhDOFa1slZM6BshmWv2Tz0oGXORcqDvprmfD/wYrPhxe/CVSGo8cKyUxZ&#10;9G0w6U/8WJ+LdboWS/aRCTqczB6m45JqKuhuOp7PylkuZ3F77gPGj9IZloyaB+pGLhIcnjFSSHL9&#10;6ZKiodOqWSut8ybstk86sANQ59b5S82iJ6/ctGXHms8nowkRARJQqyGSaXxTc7S7HO/VC7wHLvP3&#10;J+BEbAXYnQlkhLNYjIqkWK1MzWfX11B1EpoPtmHx5EnmlsTOEzM0nGlJo0FG1loEpf/uR2lqS9ne&#10;mpKs2G97piixecJKJ1vXnDaBoRdrRYSfAeMGAil4SNFJ1RT3+x4CcdGfLMlmPhynSsW8GU+mqX/h&#10;/mZ7fwNWdI6GhQp6Np9iHp3UH+ve76NrVe7jjcqFM6k19+oyWWkc7vfZ6zb/yx8AAAD//wMAUEsD&#10;BBQABgAIAAAAIQA6Y1dI3AAAAAgBAAAPAAAAZHJzL2Rvd25yZXYueG1sTI/NTsMwEITvSLyDtUhc&#10;EHWalraEOBVE4kglUh5gGy9JhH+i2Pnh7VlOcNyZ0ew3+XGxRkw0hM47BetVAoJc7XXnGgUf59f7&#10;A4gQ0Wk03pGCbwpwLK6vcsy0n907TVVsBJe4kKGCNsY+kzLULVkMK9+TY+/TDxYjn0Mj9YAzl1sj&#10;0yTZSYud4w8t9lS2VH9Vo1VwDpuuJFPtwzRVby/leGdnPCl1e7M8P4GItMS/MPziMzoUzHTxo9NB&#10;GAU8JCrYrR9AsPuYblm4cCzdphuQRS7/Dyh+AAAA//8DAFBLAQItABQABgAIAAAAIQC2gziS/gAA&#10;AOEBAAATAAAAAAAAAAAAAAAAAAAAAABbQ29udGVudF9UeXBlc10ueG1sUEsBAi0AFAAGAAgAAAAh&#10;ADj9If/WAAAAlAEAAAsAAAAAAAAAAAAAAAAALwEAAF9yZWxzLy5yZWxzUEsBAi0AFAAGAAgAAAAh&#10;ADXflvYXAgAARwQAAA4AAAAAAAAAAAAAAAAALgIAAGRycy9lMm9Eb2MueG1sUEsBAi0AFAAGAAgA&#10;AAAhADpjV0jcAAAACAEAAA8AAAAAAAAAAAAAAAAAcQQAAGRycy9kb3ducmV2LnhtbFBLBQYAAAAA&#10;BAAEAPMAAAB6BQAAAAA=&#10;">
                <v:stroke startarrowwidth="narrow" startarrowlength="short" endarrowwidth="narrow" endarrowlength="short"/>
                <v:textbox inset="2.53958mm,1.2694mm,2.53958mm,1.2694mm">
                  <w:txbxContent>
                    <w:p w14:paraId="0F689A29" w14:textId="56F0A915" w:rsidR="00D511E5" w:rsidRDefault="005A2338" w:rsidP="00B75A29">
                      <w:pPr>
                        <w:jc w:val="both"/>
                        <w:textDirection w:val="btLr"/>
                      </w:pPr>
                      <w:r w:rsidRPr="005A2338">
                        <w:t xml:space="preserve">Kesintisiz ve temiz enerji ile atık yönetimi taleplerinin karşılanmasında mevcut dizel jeneratörler, fosil tabanlı endüstriyel kazanlar ve su soğutmalı konvansiyonel nükleer reaktörler temel alternatifleri oluşturmaktadır. Bu sistemler genellikle yüksek karbon emisyonu ve düşük verimlilikle çalışan, sadece elektrik veya ısı üreten doğrusal yapılara sahiptir. Önerilen tasarım ise enerji üretimi, piroliz ve desalinasyon süreçlerini kaskad atık ısı döngüsünde birleştirerek bütüncül bir teknolojik yaklaşım sunmaktadır. Geleneksel nükleer santraller yüksek sıcaklıktaki soğutma sularını denize deşarj ederek termal kirlilik riski oluştururken, geliştirilen kuru soğutma uyumlu "sCO2" döngüsü ile çevreye termal deşarj yapılmaması planlanmaktadır. Birincil soğutma döngüsünde mekanik pompalar yerine kapiler kuvvetle çalışan potasyum ısı borularının kullanılması, olası mekanik arıza ve plansız duruş risklerini önemli ölçüde azaltmaktadır. Bu özelliklerin uygulanabilirliği detaylı mühendislik analizleriyle incelenmiştir. Nokta kinetiği ve "Runge-Kutta" sayısal yöntemiyle gerçekleştirilen soğuk başlatma simülasyonları, sistemin gecikmeli nötron marjı altında kalarak hedef güce stabil bir şekilde ulaştığını göstermektedir. Risk Öncelik Sayısı tabanlı güvenlik analizleri ve tekli hata kriteri doğrulamaları; bir kontrol çubuğunun sıkışması durumunda dahi kalan 6 çubuğun sistemi -6994.3 pcm seviyesinde güvenli alt kritik duruma getirebildiğini ortaya koymuştur. "TRISO" yakıt partiküllerinin U-238 rezonans tutulumuna dayalı "Doppler" genişlemesi ve moderatörün spektral kayma özellikleri sayesinde reaktörün pasif güvenlikli yapısı fiziksel modellerle doğrulanmıştır. Ekonomik fizibilite analizleri, modüler seri üretim ile "nth-of-a-kind" ilk kurulum maliyetlerinin 3.5 ile 7.0 USD/We bandına düşebileceğini ve </w:t>
                      </w:r>
                      <w:r w:rsidR="00423A16">
                        <w:t xml:space="preserve">37 </w:t>
                      </w:r>
                      <w:r w:rsidRPr="005A2338">
                        <w:t xml:space="preserve">milyon Amerikan Doları düzeyindeki bir yatırımın yaklaşık </w:t>
                      </w:r>
                      <w:r w:rsidR="00423A16">
                        <w:t>8</w:t>
                      </w:r>
                      <w:r>
                        <w:t xml:space="preserve"> </w:t>
                      </w:r>
                      <w:r w:rsidRPr="005A2338">
                        <w:t>yılda amorti edilebileceğini göstermektedir.</w:t>
                      </w:r>
                    </w:p>
                  </w:txbxContent>
                </v:textbox>
                <w10:wrap type="square" anchorx="margin"/>
              </v:rect>
            </w:pict>
          </mc:Fallback>
        </mc:AlternateContent>
      </w:r>
      <w:r>
        <w:rPr>
          <w:rFonts w:ascii="Times New Roman" w:eastAsia="Times New Roman" w:hAnsi="Times New Roman" w:cs="Times New Roman"/>
          <w:sz w:val="24"/>
          <w:szCs w:val="24"/>
        </w:rPr>
        <w:t>Teknolojik Üstünlük ve Rekabet</w:t>
      </w:r>
    </w:p>
    <w:p w14:paraId="1FDDED06" w14:textId="41575891" w:rsidR="00D511E5" w:rsidRPr="00B75A29" w:rsidRDefault="00B75A29" w:rsidP="00B75A29">
      <w:pPr>
        <w:pStyle w:val="Balk2"/>
        <w:numPr>
          <w:ilvl w:val="1"/>
          <w:numId w:val="2"/>
        </w:numPr>
        <w:tabs>
          <w:tab w:val="left" w:pos="2277"/>
        </w:tabs>
        <w:spacing w:before="72"/>
        <w:ind w:left="2277" w:hanging="576"/>
        <w:rPr>
          <w:rFonts w:ascii="Times New Roman" w:eastAsia="Times New Roman" w:hAnsi="Times New Roman" w:cs="Times New Roman"/>
          <w:sz w:val="24"/>
          <w:szCs w:val="24"/>
        </w:rPr>
      </w:pPr>
      <w:r>
        <w:rPr>
          <w:noProof/>
        </w:rPr>
        <w:lastRenderedPageBreak/>
        <mc:AlternateContent>
          <mc:Choice Requires="wps">
            <w:drawing>
              <wp:anchor distT="45720" distB="45720" distL="114300" distR="114300" simplePos="0" relativeHeight="251668480" behindDoc="0" locked="0" layoutInCell="1" hidden="0" allowOverlap="1" wp14:anchorId="7939D3AD" wp14:editId="69D6F3C8">
                <wp:simplePos x="0" y="0"/>
                <wp:positionH relativeFrom="margin">
                  <wp:align>left</wp:align>
                </wp:positionH>
                <wp:positionV relativeFrom="paragraph">
                  <wp:posOffset>390525</wp:posOffset>
                </wp:positionV>
                <wp:extent cx="5867400" cy="3642360"/>
                <wp:effectExtent l="0" t="0" r="19050" b="15240"/>
                <wp:wrapSquare wrapText="bothSides" distT="45720" distB="45720" distL="114300" distR="114300"/>
                <wp:docPr id="10" name="Dikdörtgen 10"/>
                <wp:cNvGraphicFramePr/>
                <a:graphic xmlns:a="http://schemas.openxmlformats.org/drawingml/2006/main">
                  <a:graphicData uri="http://schemas.microsoft.com/office/word/2010/wordprocessingShape">
                    <wps:wsp>
                      <wps:cNvSpPr/>
                      <wps:spPr>
                        <a:xfrm>
                          <a:off x="0" y="0"/>
                          <a:ext cx="5867400" cy="3642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8CD4E0A" w14:textId="229E48DF" w:rsidR="00D511E5" w:rsidRDefault="005A2338" w:rsidP="00B75A29">
                            <w:pPr>
                              <w:jc w:val="both"/>
                              <w:textDirection w:val="btLr"/>
                            </w:pPr>
                            <w:r w:rsidRPr="005A2338">
                              <w:t xml:space="preserve">Entegre Liman Ekosistemi konsepti kapsamında sunulması planlanan sıfır emisyonlu kıyı elektriği satış fiyatı, detaylı ekonomik fizibilite analizleri sonucunda belirlenmiştir. Tesisin 1.4 MWe elektrik üretim kapasitesi ve 17 yıllık kesintisiz işletme ömrü varsayımıyla, riskleri minimize eden muhafazakar bir yaklaşımla ilk kurulum maliyeti 17 milyon USD/MWe baz alınmış ve </w:t>
                            </w:r>
                            <w:r w:rsidR="004A6C6B">
                              <w:t xml:space="preserve">liman ünitelerinin toplu masraflarıyla beraber </w:t>
                            </w:r>
                            <w:r w:rsidRPr="005A2338">
                              <w:t>toplam</w:t>
                            </w:r>
                            <w:r w:rsidR="004A6C6B">
                              <w:t>da</w:t>
                            </w:r>
                            <w:r w:rsidRPr="005A2338">
                              <w:t xml:space="preserve"> </w:t>
                            </w:r>
                            <w:r w:rsidR="00AC57A1">
                              <w:t>37</w:t>
                            </w:r>
                            <w:r w:rsidRPr="005A2338">
                              <w:t xml:space="preserve"> milyon Amerikan Doları olarak hesaplanmıştır. Kapiler kuvvetle çalışan pasif potasyum ısı borularının kullanılmasıyla bakım gereksinimlerinin azaltılması öngörülmüş; bu sayede operasyonel maliyet 17 USD/MWh bandında değerlendirilerek 17 yıllık toplam operasyonel gider 3.4 milyon Amerikan Doları olarak doğrulanmıştır. Literatürdeki teknolojik ve ekonomik modellere göre mikroreaktörlerin modüler seri üretim ve yüzde 12.6 öğrenme eğrisi ile "nth-of-a-kind" maliyetlerinin 3.5 ile 7.0 USD/We seviyelerine düşeceği öngörülse de, fizibilite hesaplamalarının güvenilirliği açısından üst limitler tercih edilmiştir. Bu maliyet kalemleri ışığında, sistemin salt enerji üretim maliyeti 134 USD/MWh olarak bulunmuştur. Sektör standartlarına uygun yüzde 14 oranındaki kâr marjı eklenerek hedeflenen nihai elektrik birim satış fiyatı yaklaşık 15</w:t>
                            </w:r>
                            <w:r w:rsidR="00AC57A1">
                              <w:t>1.</w:t>
                            </w:r>
                            <w:r w:rsidR="004A6C6B">
                              <w:t>4</w:t>
                            </w:r>
                            <w:r w:rsidRPr="005A2338">
                              <w:t xml:space="preserve"> USD/MWh olarak belirlenmiştir</w:t>
                            </w:r>
                            <w:r w:rsidR="00423A16">
                              <w:t xml:space="preserve">. </w:t>
                            </w:r>
                            <w:r w:rsidRPr="005A2338">
                              <w:t>Ayrıca, türbin çalışma sıcaklığının 700°C seviyesine çıkarılmasıyla artan nikel alaşım donanım maliyetinin, "sCO2" döngüsünün sağladığı yüksek verimle yaratılan 18 USD/MWh değerindeki birim maliyet düşüşü ile santral ömrünün ilk yarısında amorti edilebileceği ve toplamda 1 milyon Amerikan Doları net operasyonel tasarruf sağlanabileceği termodinamik hesaplamalarla tespit edilmiştir.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939D3AD" id="Dikdörtgen 10" o:spid="_x0000_s1036" style="position:absolute;left:0;text-align:left;margin-left:0;margin-top:30.75pt;width:462pt;height:286.8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2PGQIAAEgEAAAOAAAAZHJzL2Uyb0RvYy54bWysVNuOGjEMfa/Uf4jyXmZggWVHDKtqKVWl&#10;VYu07QeYTIaJlFvjAMPf1wkU2LZSparzEJzEsY+Pj5k/9kazvQyonK35cFByJq1wjbLbmn/7uno3&#10;4wwj2Aa0s7LmR4n8cfH2zfzgKzlyndONDIyCWKwOvuZdjL4qChSdNIAD56Wly9YFA5G2YVs0AQ4U&#10;3ehiVJbT4uBC44MTEpFOl6dLvsjx21aK+KVtUUama07YYl5DXjdpLRZzqLYBfKfEGQb8AwoDylLS&#10;S6glRGC7oH4LZZQIDl0bB8KZwrWtEjLXQNUMy1+qeenAy1wLkYP+QhP+v7Di8/7FrwPRcPBYIZmp&#10;ir4NJv0SPtZnso4XsmQfmaDDyWx6Py6JU0F3d9Px6G6a6Syuz33A+FE6w5JR80DdyCTB/hkjpSTX&#10;ny4pGzqtmpXSOm/CdvOkA9sDdW6Vv9QsevLKTVt2qPnDZDQhIEACajVEMo1vao52m/O9eoG3gcv8&#10;/SlwArYE7E4AcoSTWIyKpFitTM1nl9dQdRKaD7Zh8ehJ5pbEzhMyNJxpSaNBRtZaBKX/7kdlakvV&#10;XpuSrNhveqaosGFmOh1tXHNcB4ZerBQhfgaMawgk4SGlJ1lT4u87CARGf7Kkm4fhOFEV82Y8uU8N&#10;DLc3m9sbsKJzNC3E6Ml8inl2UoOse7+LrlW5kVcoZ9Ak19ys82ilebjdZ6/rH8DiBwAAAP//AwBQ&#10;SwMEFAAGAAgAAAAhACNZVNvbAAAABwEAAA8AAABkcnMvZG93bnJldi54bWxMj81OwzAQhO9IvIO1&#10;SFwQddLS0oY4FUTiSCVSHsCNlyTCXkex88Pbs5zgODOrmW/z4+KsmHAInScF6SoBgVR701Gj4OP8&#10;er8HEaImo60nVPCNAY7F9VWuM+Nnesepio3gEgqZVtDG2GdShrpFp8PK90icffrB6chyaKQZ9Mzl&#10;zsp1kuyk0x3xQqt7LFusv6rRKTiHTVeirR7DNFVvL+V452Z9Uur2Znl+AhFxiX/H8IvP6FAw08WP&#10;ZIKwCviRqGCXbkFwelg/sHFhY7NNQRa5/M9f/AAAAP//AwBQSwECLQAUAAYACAAAACEAtoM4kv4A&#10;AADhAQAAEwAAAAAAAAAAAAAAAAAAAAAAW0NvbnRlbnRfVHlwZXNdLnhtbFBLAQItABQABgAIAAAA&#10;IQA4/SH/1gAAAJQBAAALAAAAAAAAAAAAAAAAAC8BAABfcmVscy8ucmVsc1BLAQItABQABgAIAAAA&#10;IQCw/b2PGQIAAEgEAAAOAAAAAAAAAAAAAAAAAC4CAABkcnMvZTJvRG9jLnhtbFBLAQItABQABgAI&#10;AAAAIQAjWVTb2wAAAAcBAAAPAAAAAAAAAAAAAAAAAHMEAABkcnMvZG93bnJldi54bWxQSwUGAAAA&#10;AAQABADzAAAAewUAAAAA&#10;">
                <v:stroke startarrowwidth="narrow" startarrowlength="short" endarrowwidth="narrow" endarrowlength="short"/>
                <v:textbox inset="2.53958mm,1.2694mm,2.53958mm,1.2694mm">
                  <w:txbxContent>
                    <w:p w14:paraId="78CD4E0A" w14:textId="229E48DF" w:rsidR="00D511E5" w:rsidRDefault="005A2338" w:rsidP="00B75A29">
                      <w:pPr>
                        <w:jc w:val="both"/>
                        <w:textDirection w:val="btLr"/>
                      </w:pPr>
                      <w:r w:rsidRPr="005A2338">
                        <w:t xml:space="preserve">Entegre Liman Ekosistemi konsepti kapsamında sunulması planlanan sıfır emisyonlu kıyı elektriği satış fiyatı, detaylı ekonomik fizibilite analizleri sonucunda belirlenmiştir. Tesisin 1.4 MWe elektrik üretim kapasitesi ve 17 yıllık kesintisiz işletme ömrü varsayımıyla, riskleri minimize eden muhafazakar bir yaklaşımla ilk kurulum maliyeti 17 milyon USD/MWe baz alınmış ve </w:t>
                      </w:r>
                      <w:r w:rsidR="004A6C6B">
                        <w:t xml:space="preserve">liman ünitelerinin toplu masraflarıyla beraber </w:t>
                      </w:r>
                      <w:r w:rsidRPr="005A2338">
                        <w:t>toplam</w:t>
                      </w:r>
                      <w:r w:rsidR="004A6C6B">
                        <w:t>da</w:t>
                      </w:r>
                      <w:r w:rsidRPr="005A2338">
                        <w:t xml:space="preserve"> </w:t>
                      </w:r>
                      <w:r w:rsidR="00AC57A1">
                        <w:t>37</w:t>
                      </w:r>
                      <w:r w:rsidRPr="005A2338">
                        <w:t xml:space="preserve"> milyon Amerikan Doları olarak hesaplanmıştır. Kapiler kuvvetle çalışan pasif potasyum ısı borularının kullanılmasıyla bakım gereksinimlerinin azaltılması öngörülmüş; bu sayede operasyonel maliyet 17 USD/MWh bandında değerlendirilerek 17 yıllık toplam operasyonel gider 3.4 milyon Amerikan Doları olarak doğrulanmıştır. Literatürdeki teknolojik ve ekonomik modellere göre mikroreaktörlerin modüler seri üretim ve yüzde 12.6 öğrenme eğrisi ile "nth-of-a-kind" maliyetlerinin 3.5 ile 7.0 USD/We seviyelerine düşeceği öngörülse de, fizibilite hesaplamalarının güvenilirliği açısından üst limitler tercih edilmiştir. Bu maliyet kalemleri ışığında, sistemin salt enerji üretim maliyeti 134 USD/MWh olarak bulunmuştur. Sektör standartlarına uygun yüzde 14 oranındaki kâr marjı eklenerek hedeflenen nihai elektrik birim satış fiyatı yaklaşık 15</w:t>
                      </w:r>
                      <w:r w:rsidR="00AC57A1">
                        <w:t>1.</w:t>
                      </w:r>
                      <w:r w:rsidR="004A6C6B">
                        <w:t>4</w:t>
                      </w:r>
                      <w:r w:rsidRPr="005A2338">
                        <w:t xml:space="preserve"> USD/MWh olarak belirlenmiştir</w:t>
                      </w:r>
                      <w:r w:rsidR="00423A16">
                        <w:t xml:space="preserve">. </w:t>
                      </w:r>
                      <w:r w:rsidRPr="005A2338">
                        <w:t>Ayrıca, türbin çalışma sıcaklığının 700°C seviyesine çıkarılmasıyla artan nikel alaşım donanım maliyetinin, "sCO2" döngüsünün sağladığı yüksek verimle yaratılan 18 USD/MWh değerindeki birim maliyet düşüşü ile santral ömrünün ilk yarısında amorti edilebileceği ve toplamda 1 milyon Amerikan Doları net operasyonel tasarruf sağlanabileceği termodinamik hesaplamalarla tespit edilmiştir.</w:t>
                      </w:r>
                    </w:p>
                  </w:txbxContent>
                </v:textbox>
                <w10:wrap type="square" anchorx="margin"/>
              </v:rect>
            </w:pict>
          </mc:Fallback>
        </mc:AlternateContent>
      </w:r>
      <w:r>
        <w:rPr>
          <w:rFonts w:ascii="Times New Roman" w:eastAsia="Times New Roman" w:hAnsi="Times New Roman" w:cs="Times New Roman"/>
          <w:sz w:val="24"/>
          <w:szCs w:val="24"/>
        </w:rPr>
        <w:t>Ürün Fiyatı</w:t>
      </w:r>
    </w:p>
    <w:p w14:paraId="1FDACFE1" w14:textId="5980E829" w:rsidR="00D511E5" w:rsidRDefault="00D511E5">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2865B645" w14:textId="0C4C33A0" w:rsidR="00D511E5" w:rsidRDefault="00000000">
      <w:pPr>
        <w:pStyle w:val="Balk2"/>
        <w:numPr>
          <w:ilvl w:val="1"/>
          <w:numId w:val="2"/>
        </w:numPr>
        <w:tabs>
          <w:tab w:val="left" w:pos="2277"/>
        </w:tabs>
        <w:ind w:left="2277" w:hanging="576"/>
        <w:rPr>
          <w:rFonts w:ascii="Times New Roman" w:eastAsia="Times New Roman" w:hAnsi="Times New Roman" w:cs="Times New Roman"/>
          <w:sz w:val="24"/>
          <w:szCs w:val="24"/>
        </w:rPr>
      </w:pPr>
      <w:r>
        <w:rPr>
          <w:rFonts w:ascii="Times New Roman" w:eastAsia="Times New Roman" w:hAnsi="Times New Roman" w:cs="Times New Roman"/>
          <w:sz w:val="24"/>
          <w:szCs w:val="24"/>
        </w:rPr>
        <w:t>Ürün Maliyet</w:t>
      </w:r>
      <w:r w:rsidR="00B75A29">
        <w:rPr>
          <w:rFonts w:ascii="Times New Roman" w:eastAsia="Times New Roman" w:hAnsi="Times New Roman" w:cs="Times New Roman"/>
          <w:sz w:val="24"/>
          <w:szCs w:val="24"/>
        </w:rPr>
        <w:t>i</w:t>
      </w:r>
    </w:p>
    <w:p w14:paraId="77C027F5" w14:textId="77777777" w:rsidR="00D511E5" w:rsidRDefault="00000000">
      <w:pPr>
        <w:pBdr>
          <w:top w:val="nil"/>
          <w:left w:val="nil"/>
          <w:bottom w:val="nil"/>
          <w:right w:val="nil"/>
          <w:between w:val="nil"/>
        </w:pBdr>
        <w:ind w:left="141"/>
        <w:rPr>
          <w:rFonts w:ascii="Times New Roman" w:eastAsia="Times New Roman" w:hAnsi="Times New Roman" w:cs="Times New Roman"/>
          <w:color w:val="000000"/>
          <w:sz w:val="24"/>
          <w:szCs w:val="24"/>
        </w:rPr>
        <w:sectPr w:rsidR="00D511E5">
          <w:pgSz w:w="11910" w:h="16840"/>
          <w:pgMar w:top="1320" w:right="1275" w:bottom="1100" w:left="1275" w:header="0" w:footer="916" w:gutter="0"/>
          <w:cols w:space="708"/>
        </w:sectPr>
      </w:pPr>
      <w:r>
        <w:rPr>
          <w:noProof/>
        </w:rPr>
        <mc:AlternateContent>
          <mc:Choice Requires="wps">
            <w:drawing>
              <wp:anchor distT="45720" distB="45720" distL="114300" distR="114300" simplePos="0" relativeHeight="251669504" behindDoc="0" locked="0" layoutInCell="1" hidden="0" allowOverlap="1" wp14:anchorId="07CB93B9" wp14:editId="0CC3AE3A">
                <wp:simplePos x="0" y="0"/>
                <wp:positionH relativeFrom="margin">
                  <wp:align>left</wp:align>
                </wp:positionH>
                <wp:positionV relativeFrom="paragraph">
                  <wp:posOffset>194945</wp:posOffset>
                </wp:positionV>
                <wp:extent cx="5867400" cy="3429000"/>
                <wp:effectExtent l="0" t="0" r="19050" b="19050"/>
                <wp:wrapSquare wrapText="bothSides" distT="45720" distB="45720" distL="114300" distR="114300"/>
                <wp:docPr id="4" name="Dikdörtgen 4"/>
                <wp:cNvGraphicFramePr/>
                <a:graphic xmlns:a="http://schemas.openxmlformats.org/drawingml/2006/main">
                  <a:graphicData uri="http://schemas.microsoft.com/office/word/2010/wordprocessingShape">
                    <wps:wsp>
                      <wps:cNvSpPr/>
                      <wps:spPr>
                        <a:xfrm>
                          <a:off x="0" y="0"/>
                          <a:ext cx="5867400" cy="34290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1F11D10" w14:textId="005D2600" w:rsidR="00D511E5" w:rsidRDefault="005A2338" w:rsidP="00B75A29">
                            <w:pPr>
                              <w:jc w:val="both"/>
                              <w:textDirection w:val="btLr"/>
                            </w:pPr>
                            <w:r w:rsidRPr="005A2338">
                              <w:t>Entegre Liman Ekosistemi konseptinde üretilen enerjinin tahmini birim maliyeti, muhafazakar bir senaryo çerçevesinde 134 USD/MWh olarak hesaplanmıştır. Bu değer; sistemin 1.4 MWe kapasiteye, yüzde 97 kapasite faktörüne ve 17 yıllık kesintisiz işletme ömrüne sahip olduğu varsayımlarına dayanmaktadır. Doğrulama çalışmalarında ilk kurulum maliyeti, modüler seri üretimle 3.5 ile 7.0 USD/We seviyelerine inme potansiyeline rağmen, riskleri minimize etmek adına üst limitten değerlendirilerek 17 milyon USD/M</w:t>
                            </w:r>
                            <w:r w:rsidR="004A6C6B" w:rsidRPr="005A2338">
                              <w:t>w</w:t>
                            </w:r>
                            <w:r w:rsidRPr="005A2338">
                              <w:t>e</w:t>
                            </w:r>
                            <w:r w:rsidR="004A6C6B">
                              <w:t xml:space="preserve"> </w:t>
                            </w:r>
                            <w:r w:rsidRPr="005A2338">
                              <w:t>olarak baz alınmıştır. Operasyonel maliyet ise hareketli parça içermeyen pasif potasyum ısı boruları sayesinde 17 USD/MWh bandında değerlendirilmiş ve 17 yıllık toplam operasyonel gider 3.4 milyon Amerikan Doları olarak öngörülmüştür. Ek olarak, sistemin 700°C seviyesine çıkarılan çalışma sıcaklığı maliyetli nikel alaşımların kullanımını gerektirse de, "sCO2" döngüsünün sağladığı yüksek verim sayesinde 18 USD/MWh tutarında net maliyet düşüşü elde edileceği analiz edilmiştir. Bu verim artışının, donanım kaynaklı ek maliyetleri hızla amorti ederek santral ömrünün ilk yarısı tamamlanmadan 1 milyon Amerikan Doları tutarında net operasyonel tasarruf sağlayacağı görülmüş ve birim maliyet varsayımları mühendislik düzeyinde doğrulanmıştır.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7CB93B9" id="Dikdörtgen 4" o:spid="_x0000_s1037" style="position:absolute;left:0;text-align:left;margin-left:0;margin-top:15.35pt;width:462pt;height:270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XvBFwIAAEgEAAAOAAAAZHJzL2Uyb0RvYy54bWysVNuO2jAQfa/Uf7D8XpJQ2IWIsKqWUlVa&#10;tUjbfsDg2MSSb7UNCX/fsaFc2odKVXkwY894fObMmSyeBq3IgfsgrWloNSop4YbZVppdQ79/W7+b&#10;URIimBaUNbyhRx7o0/Ltm0Xvaj62nVUt9wSTmFD3rqFdjK4uisA6riGMrOMGncJ6DRG3fle0HnrM&#10;rlUxLsuHore+dd4yHgKerk5Ousz5heAsfhUi8EhUQxFbzKvP6zatxXIB9c6D6yQ7w4B/QKFBGnz0&#10;kmoFEcjeyz9Sacm8DVbEEbO6sEJIxnMNWE1V/lbNaweO51qQnOAuNIX/l5Z9Oby6jUcaehfqgGaq&#10;YhBep3/ER4ZM1vFCFh8iYXg4nT08TkrklKHv/WQ8L3GDeYrrdedD/MStJsloqMduZJLg8BLiKfRX&#10;SHotWCXbtVQqb/xu+6w8OQB2bp1/5+x3YcqQvqHz6XiKQAAFJBRENLVrGxrMLr93dyPcJkbMV9h3&#10;YQnYCkJ3ApBdJ7FoGVGxSuqGzi63oe44tB9NS+LRocwNip0mZEFTojiOBhpZaxGk+nsckqgMcnlt&#10;SrLisB2IxMKqKiVLR1vbHjeeBMfWEhG/QIgb8CjhCp9HWePDP/bgEYz6bFA382qSqIp5M5k+pgb6&#10;W8/21gOGdRanBRk9mc8xz05qkLEf9tEKmRt5hXIGjXLNUjiPVpqH232Oun4Alj8BAAD//wMAUEsD&#10;BBQABgAIAAAAIQAF3Ua+2gAAAAcBAAAPAAAAZHJzL2Rvd25yZXYueG1sTI/NTsQwDITvSLxDZCQu&#10;iE3ZBQql6QoqcWQlujyAtzFtReNUTfrD22NOcJwZa+Zzvl9dr2YaQ+fZwM0mAUVce9txY+Dj+Hr9&#10;ACpEZIu9ZzLwTQH2xflZjpn1C7/TXMVGSQmHDA20MQ6Z1qFuyWHY+IFYsk8/Oowix0bbERcpd73e&#10;Jsm9dtixLLQ4UNlS/VVNzsAx7LqS+ioN81y9vZTTlVvwYMzlxfr8BCrSGv+O4Rdf0KEQppOf2AbV&#10;G5BHooFdkoKS9HF7K8bJwF0qji5y/Z+/+AEAAP//AwBQSwECLQAUAAYACAAAACEAtoM4kv4AAADh&#10;AQAAEwAAAAAAAAAAAAAAAAAAAAAAW0NvbnRlbnRfVHlwZXNdLnhtbFBLAQItABQABgAIAAAAIQA4&#10;/SH/1gAAAJQBAAALAAAAAAAAAAAAAAAAAC8BAABfcmVscy8ucmVsc1BLAQItABQABgAIAAAAIQAb&#10;GXvBFwIAAEgEAAAOAAAAAAAAAAAAAAAAAC4CAABkcnMvZTJvRG9jLnhtbFBLAQItABQABgAIAAAA&#10;IQAF3Ua+2gAAAAcBAAAPAAAAAAAAAAAAAAAAAHEEAABkcnMvZG93bnJldi54bWxQSwUGAAAAAAQA&#10;BADzAAAAeAUAAAAA&#10;">
                <v:stroke startarrowwidth="narrow" startarrowlength="short" endarrowwidth="narrow" endarrowlength="short"/>
                <v:textbox inset="2.53958mm,1.2694mm,2.53958mm,1.2694mm">
                  <w:txbxContent>
                    <w:p w14:paraId="31F11D10" w14:textId="005D2600" w:rsidR="00D511E5" w:rsidRDefault="005A2338" w:rsidP="00B75A29">
                      <w:pPr>
                        <w:jc w:val="both"/>
                        <w:textDirection w:val="btLr"/>
                      </w:pPr>
                      <w:r w:rsidRPr="005A2338">
                        <w:t>Entegre Liman Ekosistemi konseptinde üretilen enerjinin tahmini birim maliyeti, muhafazakar bir senaryo çerçevesinde 134 USD/MWh olarak hesaplanmıştır. Bu değer; sistemin 1.4 MWe kapasiteye, yüzde 97 kapasite faktörüne ve 17 yıllık kesintisiz işletme ömrüne sahip olduğu varsayımlarına dayanmaktadır. Doğrulama çalışmalarında ilk kurulum maliyeti, modüler seri üretimle 3.5 ile 7.0 USD/We seviyelerine inme potansiyeline rağmen, riskleri minimize etmek adına üst limitten değerlendirilerek 17 milyon USD/M</w:t>
                      </w:r>
                      <w:r w:rsidR="004A6C6B" w:rsidRPr="005A2338">
                        <w:t>w</w:t>
                      </w:r>
                      <w:r w:rsidRPr="005A2338">
                        <w:t>e</w:t>
                      </w:r>
                      <w:r w:rsidR="004A6C6B">
                        <w:t xml:space="preserve"> </w:t>
                      </w:r>
                      <w:r w:rsidRPr="005A2338">
                        <w:t>olarak baz alınmıştır. Operasyonel maliyet ise hareketli parça içermeyen pasif potasyum ısı boruları sayesinde 17 USD/MWh bandında değerlendirilmiş ve 17 yıllık toplam operasyonel gider 3.4 milyon Amerikan Doları olarak öngörülmüştür. Ek olarak, sistemin 700°C seviyesine çıkarılan çalışma sıcaklığı maliyetli nikel alaşımların kullanımını gerektirse de, "sCO2" döngüsünün sağladığı yüksek verim sayesinde 18 USD/MWh tutarında net maliyet düşüşü elde edileceği analiz edilmiştir. Bu verim artışının, donanım kaynaklı ek maliyetleri hızla amorti ederek santral ömrünün ilk yarısı tamamlanmadan 1 milyon Amerikan Doları tutarında net operasyonel tasarruf sağlayacağı görülmüş ve birim maliyet varsayımları mühendislik düzeyinde doğrulanmıştır.</w:t>
                      </w:r>
                    </w:p>
                  </w:txbxContent>
                </v:textbox>
                <w10:wrap type="square" anchorx="margin"/>
              </v:rect>
            </w:pict>
          </mc:Fallback>
        </mc:AlternateContent>
      </w:r>
    </w:p>
    <w:p w14:paraId="21C9DBC4" w14:textId="32EDF260" w:rsidR="00D511E5" w:rsidRDefault="00000000">
      <w:pPr>
        <w:pStyle w:val="Balk2"/>
        <w:numPr>
          <w:ilvl w:val="1"/>
          <w:numId w:val="2"/>
        </w:numPr>
        <w:tabs>
          <w:tab w:val="left" w:pos="2277"/>
        </w:tabs>
        <w:spacing w:before="72"/>
        <w:ind w:left="2277" w:hanging="576"/>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Mevcut Teknoloji ve Patent Durum</w:t>
      </w:r>
      <w:r w:rsidR="00B75A29">
        <w:rPr>
          <w:rFonts w:ascii="Times New Roman" w:eastAsia="Times New Roman" w:hAnsi="Times New Roman" w:cs="Times New Roman"/>
          <w:sz w:val="24"/>
          <w:szCs w:val="24"/>
        </w:rPr>
        <w:t>u</w:t>
      </w:r>
    </w:p>
    <w:p w14:paraId="2C3E96C3" w14:textId="77777777" w:rsidR="00D511E5" w:rsidRDefault="00D511E5">
      <w:pPr>
        <w:pBdr>
          <w:top w:val="nil"/>
          <w:left w:val="nil"/>
          <w:bottom w:val="nil"/>
          <w:right w:val="nil"/>
          <w:between w:val="nil"/>
        </w:pBdr>
        <w:spacing w:before="2"/>
        <w:rPr>
          <w:rFonts w:ascii="Times New Roman" w:eastAsia="Times New Roman" w:hAnsi="Times New Roman" w:cs="Times New Roman"/>
          <w:i/>
          <w:iCs/>
          <w:color w:val="000000"/>
          <w:sz w:val="24"/>
          <w:szCs w:val="24"/>
        </w:rPr>
      </w:pPr>
    </w:p>
    <w:tbl>
      <w:tblPr>
        <w:tblStyle w:val="a"/>
        <w:tblW w:w="906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12"/>
        <w:gridCol w:w="2112"/>
        <w:gridCol w:w="2235"/>
        <w:gridCol w:w="2406"/>
      </w:tblGrid>
      <w:tr w:rsidR="00D511E5" w14:paraId="242B934E" w14:textId="77777777">
        <w:trPr>
          <w:trHeight w:val="414"/>
        </w:trPr>
        <w:tc>
          <w:tcPr>
            <w:tcW w:w="2312" w:type="dxa"/>
          </w:tcPr>
          <w:p w14:paraId="782A8716" w14:textId="77777777" w:rsidR="00D511E5" w:rsidRDefault="00000000">
            <w:pPr>
              <w:pBdr>
                <w:top w:val="nil"/>
                <w:left w:val="nil"/>
                <w:bottom w:val="nil"/>
                <w:right w:val="nil"/>
                <w:between w:val="nil"/>
              </w:pBdr>
              <w:spacing w:line="206" w:lineRule="auto"/>
              <w:ind w:left="11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Buluş Başlığı</w:t>
            </w:r>
          </w:p>
        </w:tc>
        <w:tc>
          <w:tcPr>
            <w:tcW w:w="2112" w:type="dxa"/>
          </w:tcPr>
          <w:p w14:paraId="128D4571" w14:textId="77777777" w:rsidR="00D511E5" w:rsidRDefault="00000000">
            <w:pPr>
              <w:pBdr>
                <w:top w:val="nil"/>
                <w:left w:val="nil"/>
                <w:bottom w:val="nil"/>
                <w:right w:val="nil"/>
                <w:between w:val="nil"/>
              </w:pBdr>
              <w:spacing w:line="206" w:lineRule="auto"/>
              <w:ind w:left="10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Başvuru Numarası</w:t>
            </w:r>
          </w:p>
        </w:tc>
        <w:tc>
          <w:tcPr>
            <w:tcW w:w="2235" w:type="dxa"/>
          </w:tcPr>
          <w:p w14:paraId="50ADA9A3" w14:textId="77777777" w:rsidR="00D511E5" w:rsidRDefault="00000000">
            <w:pPr>
              <w:pBdr>
                <w:top w:val="nil"/>
                <w:left w:val="nil"/>
                <w:bottom w:val="nil"/>
                <w:right w:val="nil"/>
                <w:between w:val="nil"/>
              </w:pBdr>
              <w:spacing w:line="208" w:lineRule="auto"/>
              <w:ind w:left="10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Buluşun Proje Çıktıları ile İlişkisi</w:t>
            </w:r>
          </w:p>
        </w:tc>
        <w:tc>
          <w:tcPr>
            <w:tcW w:w="2406" w:type="dxa"/>
          </w:tcPr>
          <w:p w14:paraId="3151A4C9" w14:textId="37BE1495" w:rsidR="00D511E5" w:rsidRDefault="00000000">
            <w:pPr>
              <w:pBdr>
                <w:top w:val="nil"/>
                <w:left w:val="nil"/>
                <w:bottom w:val="nil"/>
                <w:right w:val="nil"/>
                <w:between w:val="nil"/>
              </w:pBdr>
              <w:tabs>
                <w:tab w:val="left" w:pos="770"/>
                <w:tab w:val="left" w:pos="1768"/>
              </w:tabs>
              <w:spacing w:line="208" w:lineRule="auto"/>
              <w:ind w:left="107" w:right="9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Proje</w:t>
            </w:r>
            <w:r w:rsidR="00AC57A1">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Çıktısının</w:t>
            </w:r>
            <w:r w:rsidR="00AC57A1">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Özgün</w:t>
            </w:r>
            <w:r w:rsidR="00AC57A1">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Yönleri</w:t>
            </w:r>
          </w:p>
        </w:tc>
      </w:tr>
      <w:tr w:rsidR="00D511E5" w14:paraId="6836C567" w14:textId="77777777">
        <w:trPr>
          <w:trHeight w:val="208"/>
        </w:trPr>
        <w:tc>
          <w:tcPr>
            <w:tcW w:w="2312" w:type="dxa"/>
          </w:tcPr>
          <w:p w14:paraId="37F92D8C" w14:textId="303DBC8C" w:rsidR="00D511E5" w:rsidRDefault="00E77721" w:rsidP="00E77721">
            <w:pPr>
              <w:pBdr>
                <w:top w:val="nil"/>
                <w:left w:val="nil"/>
                <w:bottom w:val="nil"/>
                <w:right w:val="nil"/>
                <w:between w:val="nil"/>
              </w:pBdr>
              <w:rPr>
                <w:rFonts w:ascii="Times New Roman" w:eastAsia="Times New Roman" w:hAnsi="Times New Roman" w:cs="Times New Roman"/>
                <w:color w:val="000000"/>
                <w:sz w:val="24"/>
                <w:szCs w:val="24"/>
              </w:rPr>
            </w:pPr>
            <w:r w:rsidRPr="00E77721">
              <w:rPr>
                <w:rFonts w:ascii="Times New Roman" w:eastAsia="Times New Roman" w:hAnsi="Times New Roman" w:cs="Times New Roman"/>
                <w:color w:val="000000"/>
                <w:sz w:val="24"/>
                <w:szCs w:val="24"/>
              </w:rPr>
              <w:t>TRISO Kaplamalı Partikül Yakıtı</w:t>
            </w:r>
          </w:p>
        </w:tc>
        <w:tc>
          <w:tcPr>
            <w:tcW w:w="2112" w:type="dxa"/>
          </w:tcPr>
          <w:p w14:paraId="6D552CB9" w14:textId="54AC7EB3" w:rsidR="00D511E5" w:rsidRDefault="00E77721" w:rsidP="00E77721">
            <w:pPr>
              <w:pBdr>
                <w:top w:val="nil"/>
                <w:left w:val="nil"/>
                <w:bottom w:val="nil"/>
                <w:right w:val="nil"/>
                <w:between w:val="nil"/>
              </w:pBdr>
              <w:rPr>
                <w:rFonts w:ascii="Times New Roman" w:eastAsia="Times New Roman" w:hAnsi="Times New Roman" w:cs="Times New Roman"/>
                <w:color w:val="000000"/>
                <w:sz w:val="24"/>
                <w:szCs w:val="24"/>
              </w:rPr>
            </w:pPr>
            <w:r w:rsidRPr="00E77721">
              <w:rPr>
                <w:rFonts w:ascii="Times New Roman" w:eastAsia="Times New Roman" w:hAnsi="Times New Roman" w:cs="Times New Roman"/>
                <w:color w:val="000000"/>
                <w:sz w:val="24"/>
                <w:szCs w:val="24"/>
              </w:rPr>
              <w:t>WO2009079068A2</w:t>
            </w:r>
          </w:p>
        </w:tc>
        <w:tc>
          <w:tcPr>
            <w:tcW w:w="2235" w:type="dxa"/>
          </w:tcPr>
          <w:p w14:paraId="77A19F61" w14:textId="3B382694" w:rsidR="00D511E5" w:rsidRDefault="005A2338" w:rsidP="00E77721">
            <w:pPr>
              <w:pBdr>
                <w:top w:val="nil"/>
                <w:left w:val="nil"/>
                <w:bottom w:val="nil"/>
                <w:right w:val="nil"/>
                <w:between w:val="nil"/>
              </w:pBdr>
              <w:rPr>
                <w:rFonts w:ascii="Times New Roman" w:eastAsia="Times New Roman" w:hAnsi="Times New Roman" w:cs="Times New Roman"/>
                <w:color w:val="000000"/>
                <w:sz w:val="24"/>
                <w:szCs w:val="24"/>
              </w:rPr>
            </w:pPr>
            <w:r w:rsidRPr="005A2338">
              <w:rPr>
                <w:rFonts w:ascii="Times New Roman" w:eastAsia="Times New Roman" w:hAnsi="Times New Roman" w:cs="Times New Roman"/>
                <w:color w:val="000000"/>
                <w:sz w:val="24"/>
                <w:szCs w:val="24"/>
              </w:rPr>
              <w:t>Projenin reaktör korunda kullanılacak olan uranyum oksikarbit matrisli, yüzde 19.75 zenginlikteki yüksek saflıkta düşük zenginleştirmeli uranyum temelli "TRISO" yakıt partiküllerinin çok katmanlı, pirolitik karbon ve silisyum karbür üretim süreci ile fisyon ürünlerini hapseden fiziksel yapısı bu patentlerin ana konusudur.</w:t>
            </w:r>
          </w:p>
        </w:tc>
        <w:tc>
          <w:tcPr>
            <w:tcW w:w="2406" w:type="dxa"/>
          </w:tcPr>
          <w:p w14:paraId="0E6C34EB" w14:textId="3E0536D6" w:rsidR="00D511E5" w:rsidRDefault="005A2338" w:rsidP="00E77721">
            <w:pPr>
              <w:pBdr>
                <w:top w:val="nil"/>
                <w:left w:val="nil"/>
                <w:bottom w:val="nil"/>
                <w:right w:val="nil"/>
                <w:between w:val="nil"/>
              </w:pBdr>
              <w:rPr>
                <w:rFonts w:ascii="Times New Roman" w:eastAsia="Times New Roman" w:hAnsi="Times New Roman" w:cs="Times New Roman"/>
                <w:color w:val="000000"/>
                <w:sz w:val="24"/>
                <w:szCs w:val="24"/>
              </w:rPr>
            </w:pPr>
            <w:r w:rsidRPr="005A2338">
              <w:rPr>
                <w:rFonts w:ascii="Times New Roman" w:eastAsia="Times New Roman" w:hAnsi="Times New Roman" w:cs="Times New Roman"/>
                <w:color w:val="000000"/>
                <w:sz w:val="24"/>
                <w:szCs w:val="24"/>
              </w:rPr>
              <w:t>"TRISO" teknolojisinin temel katman mimarisi mevcut patentlerle tescillenmiş olsa da; önerilen modelin özgün yönü, bu yakıtı izole kullanmak yerine kimyasal buhar biriktirme yöntemiyle kaplanmış moderatör donanımıyla entegre ederek hidrojen kaçağını önleyen bir bariyer konfigürasyonu sunmasıdır. Ek olarak, güç dönüşüm ve piroliz entegrasyonuyla desteklenen bu tasarım, tekil hata durumlarında yakıt erime noktasına 830°C uzaklıkta kalarak pasif güvenlikli bir yapı sağlamakta ve ilgili patentlerin uygulama alanını genişletmektedir.</w:t>
            </w:r>
          </w:p>
        </w:tc>
      </w:tr>
      <w:tr w:rsidR="00E77721" w14:paraId="2629E1B1" w14:textId="77777777">
        <w:trPr>
          <w:trHeight w:val="205"/>
        </w:trPr>
        <w:tc>
          <w:tcPr>
            <w:tcW w:w="2312" w:type="dxa"/>
          </w:tcPr>
          <w:p w14:paraId="183FFCCD" w14:textId="1CAE8727" w:rsidR="00E77721" w:rsidRDefault="00E77721" w:rsidP="00E77721">
            <w:pPr>
              <w:pBdr>
                <w:top w:val="nil"/>
                <w:left w:val="nil"/>
                <w:bottom w:val="nil"/>
                <w:right w:val="nil"/>
                <w:between w:val="nil"/>
              </w:pBdr>
              <w:rPr>
                <w:rFonts w:ascii="Times New Roman" w:eastAsia="Times New Roman" w:hAnsi="Times New Roman" w:cs="Times New Roman"/>
                <w:color w:val="000000"/>
                <w:sz w:val="24"/>
                <w:szCs w:val="24"/>
              </w:rPr>
            </w:pPr>
            <w:r w:rsidRPr="00E77721">
              <w:rPr>
                <w:rFonts w:ascii="Times New Roman" w:eastAsia="Times New Roman" w:hAnsi="Times New Roman" w:cs="Times New Roman"/>
                <w:color w:val="000000"/>
                <w:sz w:val="24"/>
                <w:szCs w:val="24"/>
              </w:rPr>
              <w:t>Isı Borusu Soğutmalı Nükleer Reaktör</w:t>
            </w:r>
          </w:p>
        </w:tc>
        <w:tc>
          <w:tcPr>
            <w:tcW w:w="2112" w:type="dxa"/>
          </w:tcPr>
          <w:p w14:paraId="69D20C07" w14:textId="273F4DD6" w:rsidR="00E77721" w:rsidRDefault="00E77721" w:rsidP="00E77721">
            <w:pPr>
              <w:pBdr>
                <w:top w:val="nil"/>
                <w:left w:val="nil"/>
                <w:bottom w:val="nil"/>
                <w:right w:val="nil"/>
                <w:between w:val="nil"/>
              </w:pBdr>
              <w:rPr>
                <w:rFonts w:ascii="Times New Roman" w:eastAsia="Times New Roman" w:hAnsi="Times New Roman" w:cs="Times New Roman"/>
                <w:color w:val="000000"/>
                <w:sz w:val="24"/>
                <w:szCs w:val="24"/>
              </w:rPr>
            </w:pPr>
            <w:r w:rsidRPr="00E77721">
              <w:rPr>
                <w:rFonts w:ascii="Times New Roman" w:eastAsia="Times New Roman" w:hAnsi="Times New Roman" w:cs="Times New Roman"/>
                <w:color w:val="000000"/>
                <w:sz w:val="24"/>
                <w:szCs w:val="24"/>
              </w:rPr>
              <w:t>US11158432B1</w:t>
            </w:r>
          </w:p>
        </w:tc>
        <w:tc>
          <w:tcPr>
            <w:tcW w:w="2235" w:type="dxa"/>
          </w:tcPr>
          <w:p w14:paraId="3A24544A" w14:textId="1B816F5A" w:rsidR="00E77721" w:rsidRDefault="005A2338" w:rsidP="00E77721">
            <w:pPr>
              <w:pBdr>
                <w:top w:val="nil"/>
                <w:left w:val="nil"/>
                <w:bottom w:val="nil"/>
                <w:right w:val="nil"/>
                <w:between w:val="nil"/>
              </w:pBdr>
              <w:rPr>
                <w:rFonts w:ascii="Times New Roman" w:eastAsia="Times New Roman" w:hAnsi="Times New Roman" w:cs="Times New Roman"/>
                <w:color w:val="000000"/>
                <w:sz w:val="24"/>
                <w:szCs w:val="24"/>
              </w:rPr>
            </w:pPr>
            <w:r w:rsidRPr="005A2338">
              <w:rPr>
                <w:rFonts w:ascii="Times New Roman" w:eastAsia="Times New Roman" w:hAnsi="Times New Roman" w:cs="Times New Roman"/>
                <w:color w:val="000000"/>
                <w:sz w:val="24"/>
                <w:szCs w:val="24"/>
              </w:rPr>
              <w:t>İlgili patent, reaktör korundaki ısıyı hareketli mekanik parça kullanmaksızın ısı boruları aracılığıyla ısı değiştiricilere aktaran mobil mikroreaktör mimarisini tanımlamaktadır. Geliştirilen tasarımın birincil soğutma felsefesi bu altyapıyı temel almaktadır.</w:t>
            </w:r>
          </w:p>
        </w:tc>
        <w:tc>
          <w:tcPr>
            <w:tcW w:w="2406" w:type="dxa"/>
          </w:tcPr>
          <w:p w14:paraId="1EC27C5E" w14:textId="7EEE8A17" w:rsidR="00E77721" w:rsidRDefault="005A2338" w:rsidP="00E77721">
            <w:pPr>
              <w:pBdr>
                <w:top w:val="nil"/>
                <w:left w:val="nil"/>
                <w:bottom w:val="nil"/>
                <w:right w:val="nil"/>
                <w:between w:val="nil"/>
              </w:pBdr>
              <w:rPr>
                <w:rFonts w:ascii="Times New Roman" w:eastAsia="Times New Roman" w:hAnsi="Times New Roman" w:cs="Times New Roman"/>
                <w:color w:val="000000"/>
                <w:sz w:val="24"/>
                <w:szCs w:val="24"/>
              </w:rPr>
            </w:pPr>
            <w:r w:rsidRPr="005A2338">
              <w:rPr>
                <w:rFonts w:ascii="Times New Roman" w:eastAsia="Times New Roman" w:hAnsi="Times New Roman" w:cs="Times New Roman"/>
                <w:color w:val="000000"/>
                <w:sz w:val="24"/>
                <w:szCs w:val="24"/>
              </w:rPr>
              <w:t>Mevcut patent ağırlıklı olarak uzay ve standart mobil uygulamalara odaklanırken; önerilen tasarım, yüksek çalışma sıcaklıklarında moderatörden sızabilecek hidrojeni engellemek için difüzyon bariyeri kullanması ve pasif güvenlik marjlarını doğrudan bir liman ekosistemine uyarlaması yönüyle özgünleşmektedir.</w:t>
            </w:r>
          </w:p>
        </w:tc>
      </w:tr>
      <w:tr w:rsidR="00E77721" w14:paraId="46084E11" w14:textId="77777777">
        <w:trPr>
          <w:trHeight w:val="206"/>
        </w:trPr>
        <w:tc>
          <w:tcPr>
            <w:tcW w:w="2312" w:type="dxa"/>
          </w:tcPr>
          <w:p w14:paraId="2FC3F7FA" w14:textId="6E90A8E7" w:rsidR="00E77721" w:rsidRDefault="00E77721" w:rsidP="00E77721">
            <w:pPr>
              <w:pBdr>
                <w:top w:val="nil"/>
                <w:left w:val="nil"/>
                <w:bottom w:val="nil"/>
                <w:right w:val="nil"/>
                <w:between w:val="nil"/>
              </w:pBdr>
              <w:rPr>
                <w:rFonts w:ascii="Times New Roman" w:eastAsia="Times New Roman" w:hAnsi="Times New Roman" w:cs="Times New Roman"/>
                <w:color w:val="000000"/>
                <w:sz w:val="24"/>
                <w:szCs w:val="24"/>
              </w:rPr>
            </w:pPr>
            <w:r w:rsidRPr="00E77721">
              <w:rPr>
                <w:rFonts w:ascii="Times New Roman" w:eastAsia="Times New Roman" w:hAnsi="Times New Roman" w:cs="Times New Roman"/>
                <w:color w:val="000000"/>
                <w:sz w:val="24"/>
                <w:szCs w:val="24"/>
              </w:rPr>
              <w:t xml:space="preserve">Süperkritik CO2 Güç </w:t>
            </w:r>
            <w:r w:rsidRPr="00E77721">
              <w:rPr>
                <w:rFonts w:ascii="Times New Roman" w:eastAsia="Times New Roman" w:hAnsi="Times New Roman" w:cs="Times New Roman"/>
                <w:color w:val="000000"/>
                <w:sz w:val="24"/>
                <w:szCs w:val="24"/>
              </w:rPr>
              <w:lastRenderedPageBreak/>
              <w:t>Döngüsü Sistemi</w:t>
            </w:r>
          </w:p>
        </w:tc>
        <w:tc>
          <w:tcPr>
            <w:tcW w:w="2112" w:type="dxa"/>
          </w:tcPr>
          <w:p w14:paraId="0C0CFFE6" w14:textId="1C1AD4CB" w:rsidR="00E77721" w:rsidRDefault="00E77721" w:rsidP="00E77721">
            <w:pPr>
              <w:pBdr>
                <w:top w:val="nil"/>
                <w:left w:val="nil"/>
                <w:bottom w:val="nil"/>
                <w:right w:val="nil"/>
                <w:between w:val="nil"/>
              </w:pBdr>
              <w:rPr>
                <w:rFonts w:ascii="Times New Roman" w:eastAsia="Times New Roman" w:hAnsi="Times New Roman" w:cs="Times New Roman"/>
                <w:color w:val="000000"/>
                <w:sz w:val="24"/>
                <w:szCs w:val="24"/>
              </w:rPr>
            </w:pPr>
            <w:r w:rsidRPr="00E77721">
              <w:rPr>
                <w:rFonts w:ascii="Times New Roman" w:eastAsia="Times New Roman" w:hAnsi="Times New Roman" w:cs="Times New Roman"/>
                <w:color w:val="000000"/>
                <w:sz w:val="24"/>
                <w:szCs w:val="24"/>
              </w:rPr>
              <w:lastRenderedPageBreak/>
              <w:t>US9341084B2</w:t>
            </w:r>
          </w:p>
        </w:tc>
        <w:tc>
          <w:tcPr>
            <w:tcW w:w="2235" w:type="dxa"/>
          </w:tcPr>
          <w:p w14:paraId="69C1D85E" w14:textId="325CFFCD" w:rsidR="00E77721" w:rsidRDefault="005A2338" w:rsidP="00E77721">
            <w:pPr>
              <w:pBdr>
                <w:top w:val="nil"/>
                <w:left w:val="nil"/>
                <w:bottom w:val="nil"/>
                <w:right w:val="nil"/>
                <w:between w:val="nil"/>
              </w:pBdr>
              <w:rPr>
                <w:rFonts w:ascii="Times New Roman" w:eastAsia="Times New Roman" w:hAnsi="Times New Roman" w:cs="Times New Roman"/>
                <w:color w:val="000000"/>
                <w:sz w:val="24"/>
                <w:szCs w:val="24"/>
              </w:rPr>
            </w:pPr>
            <w:r w:rsidRPr="005A2338">
              <w:rPr>
                <w:rFonts w:ascii="Times New Roman" w:eastAsia="Times New Roman" w:hAnsi="Times New Roman" w:cs="Times New Roman"/>
                <w:color w:val="000000"/>
                <w:sz w:val="24"/>
                <w:szCs w:val="24"/>
              </w:rPr>
              <w:t xml:space="preserve">Bu patent, yeniden </w:t>
            </w:r>
            <w:r w:rsidRPr="005A2338">
              <w:rPr>
                <w:rFonts w:ascii="Times New Roman" w:eastAsia="Times New Roman" w:hAnsi="Times New Roman" w:cs="Times New Roman"/>
                <w:color w:val="000000"/>
                <w:sz w:val="24"/>
                <w:szCs w:val="24"/>
              </w:rPr>
              <w:lastRenderedPageBreak/>
              <w:t>sıkıştırmalı kapalı "Brayton" döngüsü felsefesiyle süperkritik karbondioksit akışkanı kullanarak yüksek sıcaklıklı termal kaynaklardan elektrik üretimi sağlayan sistemleri kapsamaktadır. Projenin türbin ve güç dönüşüm aşaması bu ilkeye dayanmaktadır.</w:t>
            </w:r>
          </w:p>
        </w:tc>
        <w:tc>
          <w:tcPr>
            <w:tcW w:w="2406" w:type="dxa"/>
          </w:tcPr>
          <w:p w14:paraId="4C9688BB" w14:textId="2CEAF023" w:rsidR="00E77721" w:rsidRDefault="005A2338" w:rsidP="00E77721">
            <w:pPr>
              <w:pBdr>
                <w:top w:val="nil"/>
                <w:left w:val="nil"/>
                <w:bottom w:val="nil"/>
                <w:right w:val="nil"/>
                <w:between w:val="nil"/>
              </w:pBdr>
              <w:rPr>
                <w:rFonts w:ascii="Times New Roman" w:eastAsia="Times New Roman" w:hAnsi="Times New Roman" w:cs="Times New Roman"/>
                <w:color w:val="000000"/>
                <w:sz w:val="24"/>
                <w:szCs w:val="24"/>
              </w:rPr>
            </w:pPr>
            <w:r w:rsidRPr="005A2338">
              <w:rPr>
                <w:rFonts w:ascii="Times New Roman" w:eastAsia="Times New Roman" w:hAnsi="Times New Roman" w:cs="Times New Roman"/>
                <w:color w:val="000000"/>
                <w:sz w:val="24"/>
                <w:szCs w:val="24"/>
              </w:rPr>
              <w:lastRenderedPageBreak/>
              <w:t xml:space="preserve">Mevcut teknolojiler, </w:t>
            </w:r>
            <w:r w:rsidRPr="005A2338">
              <w:rPr>
                <w:rFonts w:ascii="Times New Roman" w:eastAsia="Times New Roman" w:hAnsi="Times New Roman" w:cs="Times New Roman"/>
                <w:color w:val="000000"/>
                <w:sz w:val="24"/>
                <w:szCs w:val="24"/>
              </w:rPr>
              <w:lastRenderedPageBreak/>
              <w:t>döngü sonundaki atık ısıyı standart bir kondansatör aracılığıyla atmosfere veya suya deşarj etmektedir. Buna karşın önerilen sistem; türbinden atılan orta dereceli ısıyı plastik atık piroliz tesisine, kalan düşük entalpili ısıyı ise desalinasyon ünitesine yönlendirerek kaskad atık ısı prensibiyle termal deşarjı sıfıra indiren döngüsel bir entegrasyon sunmaktadır.</w:t>
            </w:r>
          </w:p>
        </w:tc>
      </w:tr>
    </w:tbl>
    <w:p w14:paraId="74417099" w14:textId="77777777" w:rsidR="00D511E5" w:rsidRDefault="00D511E5">
      <w:pPr>
        <w:pBdr>
          <w:top w:val="nil"/>
          <w:left w:val="nil"/>
          <w:bottom w:val="nil"/>
          <w:right w:val="nil"/>
          <w:between w:val="nil"/>
        </w:pBdr>
        <w:spacing w:before="39"/>
        <w:rPr>
          <w:rFonts w:ascii="Times New Roman" w:eastAsia="Times New Roman" w:hAnsi="Times New Roman" w:cs="Times New Roman"/>
          <w:i/>
          <w:iCs/>
          <w:color w:val="000000"/>
          <w:sz w:val="24"/>
          <w:szCs w:val="24"/>
        </w:rPr>
      </w:pPr>
    </w:p>
    <w:p w14:paraId="0D89879C" w14:textId="521F6C9C" w:rsidR="00D511E5" w:rsidRDefault="00893781">
      <w:pPr>
        <w:pStyle w:val="Balk2"/>
        <w:numPr>
          <w:ilvl w:val="1"/>
          <w:numId w:val="2"/>
        </w:numPr>
        <w:tabs>
          <w:tab w:val="left" w:pos="2277"/>
        </w:tabs>
        <w:ind w:left="2277" w:hanging="576"/>
        <w:rPr>
          <w:rFonts w:ascii="Times New Roman" w:eastAsia="Times New Roman" w:hAnsi="Times New Roman" w:cs="Times New Roman"/>
          <w:sz w:val="24"/>
          <w:szCs w:val="24"/>
        </w:rPr>
      </w:pPr>
      <w:r>
        <w:rPr>
          <w:noProof/>
        </w:rPr>
        <mc:AlternateContent>
          <mc:Choice Requires="wps">
            <w:drawing>
              <wp:anchor distT="45720" distB="45720" distL="114300" distR="114300" simplePos="0" relativeHeight="251670528" behindDoc="0" locked="0" layoutInCell="1" hidden="0" allowOverlap="1" wp14:anchorId="101653EE" wp14:editId="1A968FD7">
                <wp:simplePos x="0" y="0"/>
                <wp:positionH relativeFrom="margin">
                  <wp:align>left</wp:align>
                </wp:positionH>
                <wp:positionV relativeFrom="paragraph">
                  <wp:posOffset>385445</wp:posOffset>
                </wp:positionV>
                <wp:extent cx="5867400" cy="2918460"/>
                <wp:effectExtent l="0" t="0" r="19050" b="15240"/>
                <wp:wrapSquare wrapText="bothSides" distT="45720" distB="45720" distL="114300" distR="114300"/>
                <wp:docPr id="24" name="Dikdörtgen 24"/>
                <wp:cNvGraphicFramePr/>
                <a:graphic xmlns:a="http://schemas.openxmlformats.org/drawingml/2006/main">
                  <a:graphicData uri="http://schemas.microsoft.com/office/word/2010/wordprocessingShape">
                    <wps:wsp>
                      <wps:cNvSpPr/>
                      <wps:spPr>
                        <a:xfrm>
                          <a:off x="0" y="0"/>
                          <a:ext cx="5867400" cy="29184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C5B5C05" w14:textId="34E94490" w:rsidR="00D511E5" w:rsidRDefault="00893781" w:rsidP="00E94128">
                            <w:pPr>
                              <w:jc w:val="both"/>
                              <w:textDirection w:val="btLr"/>
                            </w:pPr>
                            <w:r w:rsidRPr="00893781">
                              <w:t>Proje halihazırda teknoloji hazırlık seviyesi 2 aşamasında olup, kavramsal tasarım ve mühendislik modellemelerinden oluşan mevcut bilgi birikimi, destekleme programı kapsamında şirketleşme süreci tamamlandığında kurucu ortaklar tarafından imzalanacak "Fikri Mülkiyet Devir Sözleşmesi" ile ayni sermaye niteliğinde yeni kurulacak tüzel kişiliğe devredilecektir. Proje faaliyetleri sonucunda ortaya çıkacak donanımsal ve tasarımsal yeniliklerin, özellikle moderatör bariyeri ve kaskad atık ısı entegrasyonu gibi kritik bileşenlerin, tasarım optimizasyonları tamamlanana kadar ticari sır statüsünde ve gizlilik sözleşmeleri ile korunması planlanmaktadır. İlerleyen süreçlerde ulusal ve uluslararası koruma sağlamak amacıyla "Patent İşbirliği Antlaşması" başvurularının yapılması öngörülmektedir. Faaliyet serbestliği kapsamında uluslararası veri tabanlarında yapılan ön araştırmalarda, nükleer kojenerasyon ve piroliz kaskad entegrasyonunu doğrudan ihlal eden bir tescile rastlanmamış olup projenin faaliyet serbestliği teyit edilmiştir. Kurulacak girişimin markası "Supercritical Systems" olarak belirlenmiştir. Kurumsal kimlik ve logonun; liman ve sanayi şehirlerine kesintisiz güç sağlama ile deniz atıklarından yeşil geri dönüşüm sağlama vizyonunu yansıtacak şekilde, nükleer enerjinin sürekliliğini ve döngüsel ekonomiyi simgeleyen endüstriyel bir çizgide tasarlanması planlanmaktadır.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01653EE" id="Dikdörtgen 24" o:spid="_x0000_s1038" style="position:absolute;left:0;text-align:left;margin-left:0;margin-top:30.35pt;width:462pt;height:229.8pt;z-index:251670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HadGQIAAEgEAAAOAAAAZHJzL2Uyb0RvYy54bWysVNuO2jAQfa/Uf7D8XpIgYCEirKqlVJVW&#10;LdK2HzA4NrHkW21Dwt93bCiwbaVKVfNgxvb4zJkzMywfB63IkfsgrWloNSop4YbZVpp9Q7993byb&#10;UxIimBaUNbyhJx7o4+rtm2Xvaj62nVUt9wRBTKh719AuRlcXRWAd1xBG1nGDl8J6DRG3fl+0HnpE&#10;16oYl+Ws6K1vnbeMh4Cn6/MlXWV8ITiLX4QIPBLVUOQW8+rzuktrsVpCvffgOskuNOAfWGiQBoNe&#10;odYQgRy8/A1KS+ZtsCKOmNWFFUIynnPAbKryl2xeOnA854LiBHeVKfw/WPb5+OK2HmXoXagDmimL&#10;QXidfpEfGbJYp6tYfIiE4eF0PnuYlKgpw7vxoppPZlnO4vbc+RA/cqtJMhrqsRpZJDg+h4gh0fWn&#10;S4oWrJLtRiqVN36/e1KeHAErt8lfKhY+eeWmDOkbupiOp0gEsIGEgoimdm1Dg9nneK9ehHvgMn9/&#10;Ak7E1hC6M4GMcG4WLSN2rJK6ofPra6g7Du0H05J4ctjmBpudJmZBU6I4jgYaudciSPV3P0xTGcz2&#10;VpRkxWE3EImJVeMElo52tj1tPQmObSQyfoYQt+CxhSsMj22Ngb8fwCMZ9clg3yyqSZIq5s1k+pAK&#10;6O9vdvc3YFhncVpQ0bP5FPPspAIZ+/4QrZC5kDcqF9LYrrlYl9FK83C/z163P4DVDwAAAP//AwBQ&#10;SwMEFAAGAAgAAAAhAI500XXbAAAABwEAAA8AAABkcnMvZG93bnJldi54bWxMj81OwzAQhO9IvIO1&#10;SFwQtUmhhZBNBZE4gkTKA7jxkkT4J4qdH96e5QTHnRnNfFscVmfFTGPsg0e42SgQ5Jtget8ifBxf&#10;ru9BxKS90TZ4QvimCIfy/KzQuQmLf6e5Tq3gEh9zjdClNORSxqYjp+MmDOTZ+wyj04nPsZVm1AuX&#10;OyszpXbS6d7zQqcHqjpqvurJIRzjtq/I1vs4z/XrczVduUW/IV5erE+PIBKt6S8Mv/iMDiUzncLk&#10;TRQWgR9JCDu1B8HuQ3bLwgnhLlNbkGUh//OXPwAAAP//AwBQSwECLQAUAAYACAAAACEAtoM4kv4A&#10;AADhAQAAEwAAAAAAAAAAAAAAAAAAAAAAW0NvbnRlbnRfVHlwZXNdLnhtbFBLAQItABQABgAIAAAA&#10;IQA4/SH/1gAAAJQBAAALAAAAAAAAAAAAAAAAAC8BAABfcmVscy8ucmVsc1BLAQItABQABgAIAAAA&#10;IQA4mHadGQIAAEgEAAAOAAAAAAAAAAAAAAAAAC4CAABkcnMvZTJvRG9jLnhtbFBLAQItABQABgAI&#10;AAAAIQCOdNF12wAAAAcBAAAPAAAAAAAAAAAAAAAAAHMEAABkcnMvZG93bnJldi54bWxQSwUGAAAA&#10;AAQABADzAAAAewUAAAAA&#10;">
                <v:stroke startarrowwidth="narrow" startarrowlength="short" endarrowwidth="narrow" endarrowlength="short"/>
                <v:textbox inset="2.53958mm,1.2694mm,2.53958mm,1.2694mm">
                  <w:txbxContent>
                    <w:p w14:paraId="0C5B5C05" w14:textId="34E94490" w:rsidR="00D511E5" w:rsidRDefault="00893781" w:rsidP="00E94128">
                      <w:pPr>
                        <w:jc w:val="both"/>
                        <w:textDirection w:val="btLr"/>
                      </w:pPr>
                      <w:r w:rsidRPr="00893781">
                        <w:t>Proje halihazırda teknoloji hazırlık seviyesi 2 aşamasında olup, kavramsal tasarım ve mühendislik modellemelerinden oluşan mevcut bilgi birikimi, destekleme programı kapsamında şirketleşme süreci tamamlandığında kurucu ortaklar tarafından imzalanacak "Fikri Mülkiyet Devir Sözleşmesi" ile ayni sermaye niteliğinde yeni kurulacak tüzel kişiliğe devredilecektir. Proje faaliyetleri sonucunda ortaya çıkacak donanımsal ve tasarımsal yeniliklerin, özellikle moderatör bariyeri ve kaskad atık ısı entegrasyonu gibi kritik bileşenlerin, tasarım optimizasyonları tamamlanana kadar ticari sır statüsünde ve gizlilik sözleşmeleri ile korunması planlanmaktadır. İlerleyen süreçlerde ulusal ve uluslararası koruma sağlamak amacıyla "Patent İşbirliği Antlaşması" başvurularının yapılması öngörülmektedir. Faaliyet serbestliği kapsamında uluslararası veri tabanlarında yapılan ön araştırmalarda, nükleer kojenerasyon ve piroliz kaskad entegrasyonunu doğrudan ihlal eden bir tescile rastlanmamış olup projenin faaliyet serbestliği teyit edilmiştir. Kurulacak girişimin markası "Supercritical Systems" olarak belirlenmiştir. Kurumsal kimlik ve logonun; liman ve sanayi şehirlerine kesintisiz güç sağlama ile deniz atıklarından yeşil geri dönüşüm sağlama vizyonunu yansıtacak şekilde, nükleer enerjinin sürekliliğini ve döngüsel ekonomiyi simgeleyen endüstriyel bir çizgide tasarlanması planlanmaktadır.</w:t>
                      </w:r>
                    </w:p>
                  </w:txbxContent>
                </v:textbox>
                <w10:wrap type="square" anchorx="margin"/>
              </v:rect>
            </w:pict>
          </mc:Fallback>
        </mc:AlternateContent>
      </w:r>
      <w:r>
        <w:rPr>
          <w:rFonts w:ascii="Times New Roman" w:eastAsia="Times New Roman" w:hAnsi="Times New Roman" w:cs="Times New Roman"/>
          <w:sz w:val="24"/>
          <w:szCs w:val="24"/>
        </w:rPr>
        <w:t>Fikri Mülkiyet Haklar</w:t>
      </w:r>
      <w:r w:rsidR="00A00A7E">
        <w:rPr>
          <w:rFonts w:ascii="Times New Roman" w:eastAsia="Times New Roman" w:hAnsi="Times New Roman" w:cs="Times New Roman"/>
          <w:sz w:val="24"/>
          <w:szCs w:val="24"/>
        </w:rPr>
        <w:t>ı</w:t>
      </w:r>
    </w:p>
    <w:p w14:paraId="33D7068C" w14:textId="01DB38D1" w:rsidR="00D511E5" w:rsidRDefault="00D511E5" w:rsidP="00CB5D70">
      <w:pPr>
        <w:pBdr>
          <w:top w:val="nil"/>
          <w:left w:val="nil"/>
          <w:bottom w:val="nil"/>
          <w:right w:val="nil"/>
          <w:between w:val="nil"/>
        </w:pBdr>
        <w:rPr>
          <w:rFonts w:ascii="Times New Roman" w:eastAsia="Times New Roman" w:hAnsi="Times New Roman" w:cs="Times New Roman"/>
          <w:color w:val="000000"/>
          <w:sz w:val="24"/>
          <w:szCs w:val="24"/>
        </w:rPr>
        <w:sectPr w:rsidR="00D511E5">
          <w:pgSz w:w="11910" w:h="16840"/>
          <w:pgMar w:top="1320" w:right="1275" w:bottom="1100" w:left="1275" w:header="0" w:footer="916" w:gutter="0"/>
          <w:cols w:space="708"/>
        </w:sectPr>
      </w:pPr>
    </w:p>
    <w:p w14:paraId="72E47677" w14:textId="5B701C59" w:rsidR="00D511E5" w:rsidRPr="00893781" w:rsidRDefault="0004070C" w:rsidP="00893781">
      <w:pPr>
        <w:pStyle w:val="Balk2"/>
        <w:numPr>
          <w:ilvl w:val="1"/>
          <w:numId w:val="2"/>
        </w:numPr>
        <w:tabs>
          <w:tab w:val="left" w:pos="2277"/>
        </w:tabs>
        <w:spacing w:before="72"/>
        <w:ind w:left="2277" w:hanging="576"/>
        <w:rPr>
          <w:rFonts w:ascii="Times New Roman" w:eastAsia="Times New Roman" w:hAnsi="Times New Roman" w:cs="Times New Roman"/>
          <w:sz w:val="24"/>
          <w:szCs w:val="24"/>
        </w:rPr>
      </w:pPr>
      <w:r>
        <w:rPr>
          <w:noProof/>
        </w:rPr>
        <w:lastRenderedPageBreak/>
        <mc:AlternateContent>
          <mc:Choice Requires="wps">
            <w:drawing>
              <wp:anchor distT="45720" distB="45720" distL="114300" distR="114300" simplePos="0" relativeHeight="251671552" behindDoc="0" locked="0" layoutInCell="1" hidden="0" allowOverlap="1" wp14:anchorId="35950362" wp14:editId="130648B7">
                <wp:simplePos x="0" y="0"/>
                <wp:positionH relativeFrom="margin">
                  <wp:align>left</wp:align>
                </wp:positionH>
                <wp:positionV relativeFrom="paragraph">
                  <wp:posOffset>390525</wp:posOffset>
                </wp:positionV>
                <wp:extent cx="5867400" cy="7673340"/>
                <wp:effectExtent l="0" t="0" r="19050" b="22860"/>
                <wp:wrapSquare wrapText="bothSides" distT="45720" distB="45720" distL="114300" distR="114300"/>
                <wp:docPr id="19" name="Dikdörtgen 19"/>
                <wp:cNvGraphicFramePr/>
                <a:graphic xmlns:a="http://schemas.openxmlformats.org/drawingml/2006/main">
                  <a:graphicData uri="http://schemas.microsoft.com/office/word/2010/wordprocessingShape">
                    <wps:wsp>
                      <wps:cNvSpPr/>
                      <wps:spPr>
                        <a:xfrm>
                          <a:off x="0" y="0"/>
                          <a:ext cx="5867400" cy="76733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8919378" w14:textId="4750D822" w:rsidR="00D511E5" w:rsidRDefault="0004070C" w:rsidP="0004070C">
                            <w:pPr>
                              <w:jc w:val="both"/>
                              <w:textDirection w:val="btLr"/>
                            </w:pPr>
                            <w:r w:rsidRPr="0004070C">
                              <w:t>Entegre Liman Ekosistemi konsepti; nükleer güvenlik, çevresel etki ve denizcilik emisyonları olmak üzere üç temel alanda bağlayıcı ulusal ve uluslararası regülasyonlara tabidir. Nükleer güvenlik kapsamında, reaktörün konumlandırılması ve işletilmesi Nükleer Düzenleme Kurumu (NDK) mevzuatlarına ve Uluslararası Atom Enerjisi Ajansı (IAEA) güvenlik standartlarına uygun olarak planlanmaktadır. Tasarımda kullanılan yüzde 19.75 zenginlik seviyesindeki uranyum yakıtı, Nükleer Silahların Yayılmasının Önlenmesi Antlaşması (NPT) çerçevesinde belirlenen silahlanma eşiğinin (yüzde 20) hassasiyetle altında tutularak uluslararası güvence (safeguards) denetimlerine tam uyum sağlamaktadır. Çevresel etki ve sanayi güvenliği boyutunda proje, ulusal Çevresel Etki Değerlendirmesi (ÇED) yönetmeliği kriterlerine tabidir. Kuru soğutma uyumlu döngü kullanılarak deniz ekosistemine termal veya kimyasal su deşarjı yapılmaması, kıyı koruma ve su kirliliği mevzuatlarına uyum sürecini doğrudan hızlandırmaktadır. Ayrıca, piroliz tesisinde üretilecek olan sentez gazının operasyonel yönetimi, Avrupa Birliği'nin patlayıcı ortamlar için şart koştuğu ATEX direktifleri doğrultusunda tesisin reaktör adasından fiziksel olarak izole edilmesiyle sağlanacaktır. Denizcilik ve ticaret mevzuatları tarafında ise proje; Uluslararası Denizcilik Örgütü (IMO) MARPOL Ek VI standartları ile Avrupa Birliği Emisyon Ticaret Sistemi (EU ETS) regülasyonlarını ihlal eden değil, aksine bu regülasyonlara uyumu kolaylaştıran bir çözüm olarak konumlanmaktadır. Tesisin sağlayacağı sıfır emisyonlu kıyı elektriği altyapısı, müşterilerimiz olan liman işletmelerinin bu bağlayıcı uluslararası karbon kotalarına yasal olarak uyum sağlamasını garanti altına almaktadır.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5950362" id="Dikdörtgen 19" o:spid="_x0000_s1039" style="position:absolute;left:0;text-align:left;margin-left:0;margin-top:30.75pt;width:462pt;height:604.2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CSdGQIAAEgEAAAOAAAAZHJzL2Uyb0RvYy54bWysVNuO2jAQfa/Uf7D8XhLubERYVUupKq1a&#10;pG0/YHBsYsm32oaEv+/YUGDbSpWq5sGM7fGZM2dmWD72WpEj90FaU9PhoKSEG2YbafY1/fZ1825B&#10;SYhgGlDW8JqeeKCPq7dvlp2r+Mi2VjXcEwQxoepcTdsYXVUUgbVcQxhYxw1eCus1RNz6fdF46BBd&#10;q2JUlrOis75x3jIeAp6uz5d0lfGF4Cx+ESLwSFRNkVvMq8/rLq3FagnV3oNrJbvQgH9goUEaDHqF&#10;WkMEcvDyNygtmbfBijhgVhdWCMl4zgGzGZa/ZPPSguM5FxQnuKtM4f/Bss/HF7f1KEPnQhXQTFn0&#10;wuv0i/xIn8U6XcXifSQMD6eL2XxSoqYM7+az+Xg8yXIWt+fOh/iRW02SUVOP1cgiwfE5RAyJrj9d&#10;UrRglWw2Uqm88fvdk/LkCFi5Tf5SsfDJKzdlSFfTh+loikQAG0goiGhq19Q0mH2O9+pFuAcu8/cn&#10;4ERsDaE9E8gI52bRMmLHKqlruri+hqrl0HwwDYknh21usNlpYhY0JYrjaKCRey2CVH/3wzSVwWxv&#10;RUlW7Hc9kZjYcJzA0tHONqetJ8GxjUTGzxDiFjy28BDDY1tj4O8H8EhGfTLYNw/DSZIq5s1kOk8F&#10;9Pc3u/sbMKy1OC2o6Nl8inl2UoGMfX+IVshcyBuVC2ls11ysy2ilebjfZ6/bH8DqBwAAAP//AwBQ&#10;SwMEFAAGAAgAAAAhAEvi9OPbAAAACAEAAA8AAABkcnMvZG93bnJldi54bWxMj81OxDAMhO9IvENk&#10;JC6ITbdAoaXpCipxBIkuD5BtTFuROFWT/vD2mBMcPTMaf1MeNmfFglMYPCnY7xIQSK03A3UKPo4v&#10;1w8gQtRktPWECr4xwKE6Pyt1YfxK77g0sRNcQqHQCvoYx0LK0PbodNj5EYm9Tz85HfmcOmkmvXK5&#10;szJNkkw6PRB/6PWIdY/tVzM7BcdwM9Rom/uwLM3rcz1fuVW/KXV5sT09goi4xb8w/OIzOlTMdPIz&#10;mSCsAh4SFWT7OxDs5uktCyeOpVmeg6xK+X9A9QMAAP//AwBQSwECLQAUAAYACAAAACEAtoM4kv4A&#10;AADhAQAAEwAAAAAAAAAAAAAAAAAAAAAAW0NvbnRlbnRfVHlwZXNdLnhtbFBLAQItABQABgAIAAAA&#10;IQA4/SH/1gAAAJQBAAALAAAAAAAAAAAAAAAAAC8BAABfcmVscy8ucmVsc1BLAQItABQABgAIAAAA&#10;IQAACCSdGQIAAEgEAAAOAAAAAAAAAAAAAAAAAC4CAABkcnMvZTJvRG9jLnhtbFBLAQItABQABgAI&#10;AAAAIQBL4vTj2wAAAAgBAAAPAAAAAAAAAAAAAAAAAHMEAABkcnMvZG93bnJldi54bWxQSwUGAAAA&#10;AAQABADzAAAAewUAAAAA&#10;">
                <v:stroke startarrowwidth="narrow" startarrowlength="short" endarrowwidth="narrow" endarrowlength="short"/>
                <v:textbox inset="2.53958mm,1.2694mm,2.53958mm,1.2694mm">
                  <w:txbxContent>
                    <w:p w14:paraId="38919378" w14:textId="4750D822" w:rsidR="00D511E5" w:rsidRDefault="0004070C" w:rsidP="0004070C">
                      <w:pPr>
                        <w:jc w:val="both"/>
                        <w:textDirection w:val="btLr"/>
                      </w:pPr>
                      <w:r w:rsidRPr="0004070C">
                        <w:t>Entegre Liman Ekosistemi konsepti; nükleer güvenlik, çevresel etki ve denizcilik emisyonları olmak üzere üç temel alanda bağlayıcı ulusal ve uluslararası regülasyonlara tabidir. Nükleer güvenlik kapsamında, reaktörün konumlandırılması ve işletilmesi Nükleer Düzenleme Kurumu (NDK) mevzuatlarına ve Uluslararası Atom Enerjisi Ajansı (IAEA) güvenlik standartlarına uygun olarak planlanmaktadır. Tasarımda kullanılan yüzde 19.75 zenginlik seviyesindeki uranyum yakıtı, Nükleer Silahların Yayılmasının Önlenmesi Antlaşması (NPT) çerçevesinde belirlenen silahlanma eşiğinin (yüzde 20) hassasiyetle altında tutularak uluslararası güvence (safeguards) denetimlerine tam uyum sağlamaktadır. Çevresel etki ve sanayi güvenliği boyutunda proje, ulusal Çevresel Etki Değerlendirmesi (ÇED) yönetmeliği kriterlerine tabidir. Kuru soğutma uyumlu döngü kullanılarak deniz ekosistemine termal veya kimyasal su deşarjı yapılmaması, kıyı koruma ve su kirliliği mevzuatlarına uyum sürecini doğrudan hızlandırmaktadır. Ayrıca, piroliz tesisinde üretilecek olan sentez gazının operasyonel yönetimi, Avrupa Birliği'nin patlayıcı ortamlar için şart koştuğu ATEX direktifleri doğrultusunda tesisin reaktör adasından fiziksel olarak izole edilmesiyle sağlanacaktır. Denizcilik ve ticaret mevzuatları tarafında ise proje; Uluslararası Denizcilik Örgütü (IMO) MARPOL Ek VI standartları ile Avrupa Birliği Emisyon Ticaret Sistemi (EU ETS) regülasyonlarını ihlal eden değil, aksine bu regülasyonlara uyumu kolaylaştıran bir çözüm olarak konumlanmaktadır. Tesisin sağlayacağı sıfır emisyonlu kıyı elektriği altyapısı, müşterilerimiz olan liman işletmelerinin bu bağlayıcı uluslararası karbon kotalarına yasal olarak uyum sağlamasını garanti altına almaktadır.</w:t>
                      </w:r>
                    </w:p>
                  </w:txbxContent>
                </v:textbox>
                <w10:wrap type="square" anchorx="margin"/>
              </v:rect>
            </w:pict>
          </mc:Fallback>
        </mc:AlternateContent>
      </w:r>
      <w:r>
        <w:rPr>
          <w:rFonts w:ascii="Times New Roman" w:eastAsia="Times New Roman" w:hAnsi="Times New Roman" w:cs="Times New Roman"/>
          <w:sz w:val="24"/>
          <w:szCs w:val="24"/>
        </w:rPr>
        <w:t>Mevzuat ve Regülasyonla</w:t>
      </w:r>
      <w:r w:rsidR="00893781">
        <w:rPr>
          <w:rFonts w:ascii="Times New Roman" w:eastAsia="Times New Roman" w:hAnsi="Times New Roman" w:cs="Times New Roman"/>
          <w:sz w:val="24"/>
          <w:szCs w:val="24"/>
        </w:rPr>
        <w:t>r</w:t>
      </w:r>
    </w:p>
    <w:p w14:paraId="77C79113" w14:textId="328DA20B" w:rsidR="00D511E5" w:rsidRDefault="00D511E5" w:rsidP="005947E9">
      <w:pPr>
        <w:rPr>
          <w:rFonts w:ascii="Times New Roman" w:eastAsia="Times New Roman" w:hAnsi="Times New Roman" w:cs="Times New Roman"/>
          <w:i/>
          <w:iCs/>
          <w:sz w:val="24"/>
          <w:szCs w:val="24"/>
        </w:rPr>
        <w:sectPr w:rsidR="00D511E5">
          <w:pgSz w:w="11910" w:h="16840"/>
          <w:pgMar w:top="1320" w:right="1275" w:bottom="1100" w:left="1275" w:header="0" w:footer="916" w:gutter="0"/>
          <w:cols w:space="708"/>
        </w:sectPr>
      </w:pPr>
    </w:p>
    <w:p w14:paraId="3E1573D3" w14:textId="77777777" w:rsidR="00D511E5" w:rsidRDefault="00000000">
      <w:pPr>
        <w:pStyle w:val="Balk1"/>
        <w:numPr>
          <w:ilvl w:val="0"/>
          <w:numId w:val="2"/>
        </w:numPr>
        <w:tabs>
          <w:tab w:val="left" w:pos="573"/>
        </w:tabs>
      </w:pPr>
      <w:r>
        <w:rPr>
          <w:rFonts w:ascii="Times New Roman" w:eastAsia="Times New Roman" w:hAnsi="Times New Roman" w:cs="Times New Roman"/>
          <w:sz w:val="24"/>
          <w:szCs w:val="24"/>
        </w:rPr>
        <w:lastRenderedPageBreak/>
        <w:t>Ekip</w:t>
      </w:r>
    </w:p>
    <w:p w14:paraId="58092B1C" w14:textId="362E8B13" w:rsidR="00D511E5" w:rsidRDefault="0004070C">
      <w:pPr>
        <w:pStyle w:val="Balk2"/>
        <w:numPr>
          <w:ilvl w:val="1"/>
          <w:numId w:val="2"/>
        </w:numPr>
        <w:tabs>
          <w:tab w:val="left" w:pos="2277"/>
        </w:tabs>
        <w:spacing w:before="38"/>
        <w:ind w:left="2277" w:hanging="576"/>
        <w:rPr>
          <w:rFonts w:ascii="Times New Roman" w:eastAsia="Times New Roman" w:hAnsi="Times New Roman" w:cs="Times New Roman"/>
          <w:sz w:val="24"/>
          <w:szCs w:val="24"/>
        </w:rPr>
      </w:pPr>
      <w:r>
        <w:rPr>
          <w:noProof/>
        </w:rPr>
        <mc:AlternateContent>
          <mc:Choice Requires="wps">
            <w:drawing>
              <wp:anchor distT="45720" distB="45720" distL="114300" distR="114300" simplePos="0" relativeHeight="251672576" behindDoc="0" locked="0" layoutInCell="1" hidden="0" allowOverlap="1" wp14:anchorId="5BAB0C3B" wp14:editId="329A303F">
                <wp:simplePos x="0" y="0"/>
                <wp:positionH relativeFrom="margin">
                  <wp:align>left</wp:align>
                </wp:positionH>
                <wp:positionV relativeFrom="paragraph">
                  <wp:posOffset>388620</wp:posOffset>
                </wp:positionV>
                <wp:extent cx="5867400" cy="1684020"/>
                <wp:effectExtent l="0" t="0" r="19050" b="11430"/>
                <wp:wrapSquare wrapText="bothSides" distT="45720" distB="45720" distL="114300" distR="114300"/>
                <wp:docPr id="18" name="Dikdörtgen 18"/>
                <wp:cNvGraphicFramePr/>
                <a:graphic xmlns:a="http://schemas.openxmlformats.org/drawingml/2006/main">
                  <a:graphicData uri="http://schemas.microsoft.com/office/word/2010/wordprocessingShape">
                    <wps:wsp>
                      <wps:cNvSpPr/>
                      <wps:spPr>
                        <a:xfrm>
                          <a:off x="0" y="0"/>
                          <a:ext cx="5867400" cy="16840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B5A6DA2" w14:textId="02A10D1A" w:rsidR="00D511E5" w:rsidRDefault="0004070C" w:rsidP="0004070C">
                            <w:pPr>
                              <w:jc w:val="both"/>
                              <w:textDirection w:val="btLr"/>
                            </w:pPr>
                            <w:r w:rsidRPr="0004070C">
                              <w:t>"Supercritical Systems" proje ekibi, Hacettepe Üniversitesi Nükleer Enerji Mühendisliği bölümü</w:t>
                            </w:r>
                            <w:r>
                              <w:t xml:space="preserve"> son sınıfında</w:t>
                            </w:r>
                            <w:r w:rsidRPr="0004070C">
                              <w:t xml:space="preserve"> eğitim gören ve araştırma faaliyetleri yürüten iki temel üyeden oluşmaktadır.</w:t>
                            </w:r>
                            <w:r>
                              <w:t xml:space="preserve"> </w:t>
                            </w:r>
                            <w:r w:rsidRPr="0004070C">
                              <w:t>Takım lideri Emir Yarkın Yaman; projenin teknik entegrasyonundan, dokümantasyonundan ve temel nükleer mühendislik hesaplamalarından sorumludur. Görev tanımları arasında reaktör ve kor tasarımı, temel nötronik analizler, kinetik modellemeler ve sistemin ekonomik fizibilite hesaplamalarının gerçekleştirilmesi yer almaktadır</w:t>
                            </w:r>
                            <w:r>
                              <w:t xml:space="preserve">. </w:t>
                            </w:r>
                            <w:r w:rsidRPr="0004070C">
                              <w:t>Takım üyesi Yasin Şengül ise yenilikçi konseptin geliştirilmesi, sistem entegrasyonu ve projenin ticari mimarisinin kurgulanmasında görev almaktadır. Sorumlulukları arasında genel sistem modellemesi, entegre tesisin çoklu nakit akışı ve temel gelir modellemelerinin oluşturulması ile termodinamik çevrim araştırmalarının yürütülmesi bulunmaktadır.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BAB0C3B" id="Dikdörtgen 18" o:spid="_x0000_s1040" style="position:absolute;left:0;text-align:left;margin-left:0;margin-top:30.6pt;width:462pt;height:132.6pt;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uWvGQIAAEgEAAAOAAAAZHJzL2Uyb0RvYy54bWysVNuO2jAQfa/Uf7D8XpIgYNmIsKqWUlVa&#10;tStt+wGD4xBLvtVjCPx9x4YC21aqVDUPZmyPz5w5M8Pi4WA028uAytmGV6OSM2mFa5XdNvzb1/W7&#10;OWcYwbagnZUNP0rkD8u3bxaDr+XY9U63MjACsVgPvuF9jL4uChS9NIAj56Wly84FA5G2YVu0AQZC&#10;N7oYl+WsGFxofXBCItLp6nTJlxm/66SIX7oOZWS64cQt5jXkdZPWYrmAehvA90qcacA/sDCgLAW9&#10;QK0gAtsF9RuUUSI4dF0cCWcK13VKyJwDZVOVv2Tz0oOXORcSB/1FJvx/sOLz/sU/B5Jh8FgjmSmL&#10;QxdM+iV+7JDFOl7EkofIBB1O57O7SUmaCrqrZvNJOc5yFtfnPmD8KJ1hyWh4oGpkkWD/hJFCkutP&#10;lxQNnVbtWmmdN2G7edSB7YEqt85fKhY9eeWmLRsafj8dT4kIUAN1GiKZxrcNR7vN8V69wFvgMn9/&#10;Ak7EVoD9iUBGODWLUZE6VivT8PnlNdS9hPaDbVk8empzS83OEzM0nGlJo0FG7rUISv/dj9LUlrK9&#10;FiVZ8bA5MEWJVZMElo42rj0+B4ZerBUxfgKMzxCohSsKT21Ngb/vIBAZ/clS39xXkyRVzJvJ9C4V&#10;MNzebG5vwIre0bSQoifzMebZSQWy7v0uuk7lQl6pnElTu+ZinUcrzcPtPntd/wCWPwAAAP//AwBQ&#10;SwMEFAAGAAgAAAAhANKEFqrbAAAABwEAAA8AAABkcnMvZG93bnJldi54bWxMj81OwzAQhO9IvIO1&#10;SFwQdZpWoQ3ZVBCJI0ikPIAbL0mEf6LY+eHtWU5w3JnRzLfFabVGzDSG3juE7SYBQa7xunctwsf5&#10;5f4AIkTltDLeEcI3BTiV11eFyrVf3DvNdWwFl7iQK4QuxiGXMjQdWRU2fiDH3qcfrYp8jq3Uo1q4&#10;3BqZJkkmreodL3RqoKqj5queLMI57PqKTP0Q5rl+fa6mO7uoN8Tbm/XpEUSkNf6F4Ref0aFkpouf&#10;nA7CIPAjESHbpiDYPaZ7Fi4IuzTbgywL+Z+//AEAAP//AwBQSwECLQAUAAYACAAAACEAtoM4kv4A&#10;AADhAQAAEwAAAAAAAAAAAAAAAAAAAAAAW0NvbnRlbnRfVHlwZXNdLnhtbFBLAQItABQABgAIAAAA&#10;IQA4/SH/1gAAAJQBAAALAAAAAAAAAAAAAAAAAC8BAABfcmVscy8ucmVsc1BLAQItABQABgAIAAAA&#10;IQAOquWvGQIAAEgEAAAOAAAAAAAAAAAAAAAAAC4CAABkcnMvZTJvRG9jLnhtbFBLAQItABQABgAI&#10;AAAAIQDShBaq2wAAAAcBAAAPAAAAAAAAAAAAAAAAAHMEAABkcnMvZG93bnJldi54bWxQSwUGAAAA&#10;AAQABADzAAAAewUAAAAA&#10;">
                <v:stroke startarrowwidth="narrow" startarrowlength="short" endarrowwidth="narrow" endarrowlength="short"/>
                <v:textbox inset="2.53958mm,1.2694mm,2.53958mm,1.2694mm">
                  <w:txbxContent>
                    <w:p w14:paraId="1B5A6DA2" w14:textId="02A10D1A" w:rsidR="00D511E5" w:rsidRDefault="0004070C" w:rsidP="0004070C">
                      <w:pPr>
                        <w:jc w:val="both"/>
                        <w:textDirection w:val="btLr"/>
                      </w:pPr>
                      <w:r w:rsidRPr="0004070C">
                        <w:t>"Supercritical Systems" proje ekibi, Hacettepe Üniversitesi Nükleer Enerji Mühendisliği bölümü</w:t>
                      </w:r>
                      <w:r>
                        <w:t xml:space="preserve"> son sınıfında</w:t>
                      </w:r>
                      <w:r w:rsidRPr="0004070C">
                        <w:t xml:space="preserve"> eğitim gören ve araştırma faaliyetleri yürüten iki temel üyeden oluşmaktadır.</w:t>
                      </w:r>
                      <w:r>
                        <w:t xml:space="preserve"> </w:t>
                      </w:r>
                      <w:r w:rsidRPr="0004070C">
                        <w:t>Takım lideri Emir Yarkın Yaman; projenin teknik entegrasyonundan, dokümantasyonundan ve temel nükleer mühendislik hesaplamalarından sorumludur. Görev tanımları arasında reaktör ve kor tasarımı, temel nötronik analizler, kinetik modellemeler ve sistemin ekonomik fizibilite hesaplamalarının gerçekleştirilmesi yer almaktadır</w:t>
                      </w:r>
                      <w:r>
                        <w:t xml:space="preserve">. </w:t>
                      </w:r>
                      <w:r w:rsidRPr="0004070C">
                        <w:t>Takım üyesi Yasin Şengül ise yenilikçi konseptin geliştirilmesi, sistem entegrasyonu ve projenin ticari mimarisinin kurgulanmasında görev almaktadır. Sorumlulukları arasında genel sistem modellemesi, entegre tesisin çoklu nakit akışı ve temel gelir modellemelerinin oluşturulması ile termodinamik çevrim araştırmalarının yürütülmesi bulunmaktadır.</w:t>
                      </w:r>
                    </w:p>
                  </w:txbxContent>
                </v:textbox>
                <w10:wrap type="square" anchorx="margin"/>
              </v:rect>
            </w:pict>
          </mc:Fallback>
        </mc:AlternateContent>
      </w:r>
      <w:r>
        <w:rPr>
          <w:rFonts w:ascii="Times New Roman" w:eastAsia="Times New Roman" w:hAnsi="Times New Roman" w:cs="Times New Roman"/>
          <w:sz w:val="24"/>
          <w:szCs w:val="24"/>
        </w:rPr>
        <w:t>Ekip ve Deneyim</w:t>
      </w:r>
    </w:p>
    <w:p w14:paraId="7328EA8A" w14:textId="00902D82" w:rsidR="00D511E5" w:rsidRDefault="00D511E5">
      <w:pPr>
        <w:pBdr>
          <w:top w:val="nil"/>
          <w:left w:val="nil"/>
          <w:bottom w:val="nil"/>
          <w:right w:val="nil"/>
          <w:between w:val="nil"/>
        </w:pBdr>
        <w:ind w:left="141"/>
        <w:rPr>
          <w:rFonts w:ascii="Times New Roman" w:eastAsia="Times New Roman" w:hAnsi="Times New Roman" w:cs="Times New Roman"/>
          <w:color w:val="000000"/>
          <w:sz w:val="24"/>
          <w:szCs w:val="24"/>
        </w:rPr>
      </w:pPr>
    </w:p>
    <w:p w14:paraId="03BAB1FD" w14:textId="77777777" w:rsidR="00D511E5" w:rsidRDefault="00D511E5">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4FD277DD" w14:textId="3E53FD94" w:rsidR="00D511E5" w:rsidRPr="0004070C" w:rsidRDefault="00000000" w:rsidP="0004070C">
      <w:pPr>
        <w:pStyle w:val="Balk2"/>
        <w:numPr>
          <w:ilvl w:val="1"/>
          <w:numId w:val="2"/>
        </w:numPr>
        <w:tabs>
          <w:tab w:val="left" w:pos="2277"/>
        </w:tabs>
        <w:ind w:left="2277" w:hanging="576"/>
        <w:rPr>
          <w:rFonts w:ascii="Times New Roman" w:eastAsia="Times New Roman" w:hAnsi="Times New Roman" w:cs="Times New Roman"/>
          <w:sz w:val="24"/>
          <w:szCs w:val="24"/>
        </w:rPr>
      </w:pPr>
      <w:r>
        <w:rPr>
          <w:rFonts w:ascii="Times New Roman" w:eastAsia="Times New Roman" w:hAnsi="Times New Roman" w:cs="Times New Roman"/>
          <w:sz w:val="24"/>
          <w:szCs w:val="24"/>
        </w:rPr>
        <w:t>Ortaklık Yapıs</w:t>
      </w:r>
      <w:r w:rsidR="0004070C">
        <w:rPr>
          <w:rFonts w:ascii="Times New Roman" w:eastAsia="Times New Roman" w:hAnsi="Times New Roman" w:cs="Times New Roman"/>
          <w:sz w:val="24"/>
          <w:szCs w:val="24"/>
        </w:rPr>
        <w:t>ı</w:t>
      </w:r>
    </w:p>
    <w:p w14:paraId="584D2BA1" w14:textId="77777777" w:rsidR="00D511E5" w:rsidRDefault="00000000">
      <w:pPr>
        <w:pBdr>
          <w:top w:val="nil"/>
          <w:left w:val="nil"/>
          <w:bottom w:val="nil"/>
          <w:right w:val="nil"/>
          <w:between w:val="nil"/>
        </w:pBdr>
        <w:ind w:left="141"/>
        <w:rPr>
          <w:rFonts w:ascii="Times New Roman" w:eastAsia="Times New Roman" w:hAnsi="Times New Roman" w:cs="Times New Roman"/>
          <w:color w:val="000000"/>
          <w:sz w:val="24"/>
          <w:szCs w:val="24"/>
        </w:rPr>
        <w:sectPr w:rsidR="00D511E5">
          <w:pgSz w:w="11910" w:h="16840"/>
          <w:pgMar w:top="1560" w:right="1275" w:bottom="1100" w:left="1275" w:header="0" w:footer="916" w:gutter="0"/>
          <w:cols w:space="708"/>
        </w:sectPr>
      </w:pPr>
      <w:r>
        <w:rPr>
          <w:noProof/>
        </w:rPr>
        <mc:AlternateContent>
          <mc:Choice Requires="wps">
            <w:drawing>
              <wp:anchor distT="45720" distB="45720" distL="114300" distR="114300" simplePos="0" relativeHeight="251673600" behindDoc="0" locked="0" layoutInCell="1" hidden="0" allowOverlap="1" wp14:anchorId="628EC3C2" wp14:editId="0BCD83BB">
                <wp:simplePos x="0" y="0"/>
                <wp:positionH relativeFrom="margin">
                  <wp:align>left</wp:align>
                </wp:positionH>
                <wp:positionV relativeFrom="paragraph">
                  <wp:posOffset>191135</wp:posOffset>
                </wp:positionV>
                <wp:extent cx="5867400" cy="4991100"/>
                <wp:effectExtent l="0" t="0" r="19050" b="19050"/>
                <wp:wrapSquare wrapText="bothSides" distT="45720" distB="45720" distL="114300" distR="114300"/>
                <wp:docPr id="1" name="Dikdörtgen 1"/>
                <wp:cNvGraphicFramePr/>
                <a:graphic xmlns:a="http://schemas.openxmlformats.org/drawingml/2006/main">
                  <a:graphicData uri="http://schemas.microsoft.com/office/word/2010/wordprocessingShape">
                    <wps:wsp>
                      <wps:cNvSpPr/>
                      <wps:spPr>
                        <a:xfrm>
                          <a:off x="0" y="0"/>
                          <a:ext cx="5867400" cy="49911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8559E91" w14:textId="3D9C4D46" w:rsidR="00D511E5" w:rsidRDefault="0004070C" w:rsidP="0004070C">
                            <w:pPr>
                              <w:jc w:val="both"/>
                              <w:textDirection w:val="btLr"/>
                            </w:pPr>
                            <w:r w:rsidRPr="0004070C">
                              <w:t>Kurulacak olan "Supercritical Systems" girişiminin ortaklık yapısı, projenin geliştirilmesinde temel sorumluluğu üstlenen çekirdek ekip üyeleri arasında eşit dağılım prensibine dayandırılmıştır. TÜBİTAK 1812 BİGG fonu haricinde şirkette dışarıdan bir yatırımcı veya pay sahibi bulunmayacaktır. Şirketin kurucu ortakları ve pay oranları; yüzde 50 hisse ile Emir Yarkın Yaman ve yüzde 50 hisse ile Yasin Şengül olarak belirlenmiştir.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28EC3C2" id="Dikdörtgen 1" o:spid="_x0000_s1041" style="position:absolute;left:0;text-align:left;margin-left:0;margin-top:15.05pt;width:462pt;height:393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JlmFgIAAEgEAAAOAAAAZHJzL2Uyb0RvYy54bWysVNuO2jAQfa/Uf7D8XpIg2F0iwqpaSlVp&#10;1SJt+wGD4xBLvtVjIPx9x4YC21aqVDUPZsYenzlzPMP8cTCa7WVA5WzDq1HJmbTCtcpuG/7t6+rd&#10;A2cYwbagnZUNP0rkj4u3b+YHX8ux651uZWAEYrE++Ib3Mfq6KFD00gCOnJeWDjsXDERyw7ZoAxwI&#10;3ehiXJZ3xcGF1gcnJCLtLk+HfJHxu06K+KXrUEamG07cYl5DXjdpLRZzqLcBfK/EmQb8AwsDylLS&#10;C9QSIrBdUL9BGSWCQ9fFkXCmcF2nhMw1UDVV+Us1Lz14mWshcdBfZML/Bys+71/8OpAMB481kpmq&#10;GLpg0i/xY0MW63gRSw6RCdqcPtzdT0rSVNDZZDarKnIIp7he9wHjR+kMS0bDA71GFgn2zxhPoT9D&#10;UjZ0WrUrpXV2wnbzpAPbA73cKn9n9Fdh2rJDw2fT8ZSIADVQpyGSaXzbcLTbnO/VDbwFLvP3J+BE&#10;bAnYnwhkhBQGtVGROlYr0/CHy22oewntB9uyePTU5paanSdmaDjTkkaDjHw9gtJ/jyMRtSUtr4+S&#10;rDhsBqaosGqawNLWxrXHdWDoxUoR42fAuIZALVxRemprSvx9B4HI6E+W+mZWTZJUMTuT6X16wHB7&#10;srk9ASt6R9NCip7Mp5hnJ+lg3ftddJ3KD3mlciZN7Zpb4TxaaR5u/Rx1/QNY/AAAAP//AwBQSwME&#10;FAAGAAgAAAAhAAXhjBfbAAAABwEAAA8AAABkcnMvZG93bnJldi54bWxMj81OwzAQhO9IvIO1SFwQ&#10;ddKiUkKcCiJxBImUB9jGSxIRr6PY+eHtWU5w3JnRzLf5cXW9mmkMnWcD6SYBRVx723Fj4OP0cnsA&#10;FSKyxd4zGfimAMfi8iLHzPqF32muYqOkhEOGBtoYh0zrULfkMGz8QCzepx8dRjnHRtsRFyl3vd4m&#10;yV477FgWWhyobKn+qiZn4BR2XUl9dR/muXp9Lqcbt+CbMddX69MjqEhr/AvDL76gQyFMZz+xDao3&#10;II9EA7skBSXuw/ZOhLOBQ7pPQRe5/s9f/AAAAP//AwBQSwECLQAUAAYACAAAACEAtoM4kv4AAADh&#10;AQAAEwAAAAAAAAAAAAAAAAAAAAAAW0NvbnRlbnRfVHlwZXNdLnhtbFBLAQItABQABgAIAAAAIQA4&#10;/SH/1gAAAJQBAAALAAAAAAAAAAAAAAAAAC8BAABfcmVscy8ucmVsc1BLAQItABQABgAIAAAAIQCe&#10;yJlmFgIAAEgEAAAOAAAAAAAAAAAAAAAAAC4CAABkcnMvZTJvRG9jLnhtbFBLAQItABQABgAIAAAA&#10;IQAF4YwX2wAAAAcBAAAPAAAAAAAAAAAAAAAAAHAEAABkcnMvZG93bnJldi54bWxQSwUGAAAAAAQA&#10;BADzAAAAeAUAAAAA&#10;">
                <v:stroke startarrowwidth="narrow" startarrowlength="short" endarrowwidth="narrow" endarrowlength="short"/>
                <v:textbox inset="2.53958mm,1.2694mm,2.53958mm,1.2694mm">
                  <w:txbxContent>
                    <w:p w14:paraId="08559E91" w14:textId="3D9C4D46" w:rsidR="00D511E5" w:rsidRDefault="0004070C" w:rsidP="0004070C">
                      <w:pPr>
                        <w:jc w:val="both"/>
                        <w:textDirection w:val="btLr"/>
                      </w:pPr>
                      <w:r w:rsidRPr="0004070C">
                        <w:t>Kurulacak olan "Supercritical Systems" girişiminin ortaklık yapısı, projenin geliştirilmesinde temel sorumluluğu üstlenen çekirdek ekip üyeleri arasında eşit dağılım prensibine dayandırılmıştır. TÜBİTAK 1812 BİGG fonu haricinde şirkette dışarıdan bir yatırımcı veya pay sahibi bulunmayacaktır. Şirketin kurucu ortakları ve pay oranları; yüzde 50 hisse ile Emir Yarkın Yaman ve yüzde 50 hisse ile Yasin Şengül olarak belirlenmiştir.</w:t>
                      </w:r>
                    </w:p>
                  </w:txbxContent>
                </v:textbox>
                <w10:wrap type="square" anchorx="margin"/>
              </v:rect>
            </w:pict>
          </mc:Fallback>
        </mc:AlternateContent>
      </w:r>
    </w:p>
    <w:p w14:paraId="3930E6F3" w14:textId="41C06E3B" w:rsidR="00D511E5" w:rsidRPr="0004070C" w:rsidRDefault="00CB5D70" w:rsidP="0004070C">
      <w:pPr>
        <w:pStyle w:val="Balk2"/>
        <w:numPr>
          <w:ilvl w:val="1"/>
          <w:numId w:val="2"/>
        </w:numPr>
        <w:tabs>
          <w:tab w:val="left" w:pos="2277"/>
        </w:tabs>
        <w:spacing w:before="72"/>
        <w:ind w:left="2277" w:hanging="576"/>
        <w:rPr>
          <w:rFonts w:ascii="Times New Roman" w:eastAsia="Times New Roman" w:hAnsi="Times New Roman" w:cs="Times New Roman"/>
          <w:sz w:val="24"/>
          <w:szCs w:val="24"/>
        </w:rPr>
      </w:pPr>
      <w:r>
        <w:rPr>
          <w:noProof/>
        </w:rPr>
        <w:lastRenderedPageBreak/>
        <mc:AlternateContent>
          <mc:Choice Requires="wps">
            <w:drawing>
              <wp:anchor distT="45720" distB="45720" distL="114300" distR="114300" simplePos="0" relativeHeight="251674624" behindDoc="0" locked="0" layoutInCell="1" hidden="0" allowOverlap="1" wp14:anchorId="7C0736F1" wp14:editId="0E51B5D0">
                <wp:simplePos x="0" y="0"/>
                <wp:positionH relativeFrom="margin">
                  <wp:align>left</wp:align>
                </wp:positionH>
                <wp:positionV relativeFrom="paragraph">
                  <wp:posOffset>390525</wp:posOffset>
                </wp:positionV>
                <wp:extent cx="5867400" cy="1783080"/>
                <wp:effectExtent l="0" t="0" r="19050" b="26670"/>
                <wp:wrapSquare wrapText="bothSides" distT="45720" distB="45720" distL="114300" distR="114300"/>
                <wp:docPr id="16" name="Dikdörtgen 16"/>
                <wp:cNvGraphicFramePr/>
                <a:graphic xmlns:a="http://schemas.openxmlformats.org/drawingml/2006/main">
                  <a:graphicData uri="http://schemas.microsoft.com/office/word/2010/wordprocessingShape">
                    <wps:wsp>
                      <wps:cNvSpPr/>
                      <wps:spPr>
                        <a:xfrm>
                          <a:off x="0" y="0"/>
                          <a:ext cx="5867400" cy="178308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37D4839" w14:textId="78A62413" w:rsidR="00D511E5" w:rsidRDefault="00CB5D70" w:rsidP="00CB5D70">
                            <w:pPr>
                              <w:jc w:val="both"/>
                              <w:textDirection w:val="btLr"/>
                            </w:pPr>
                            <w:r w:rsidRPr="00CB5D70">
                              <w:t>Supercritical Systems girişimindeki görev dağılımı, kurucu ortakların lisans düzeyindeki akademik yetkinliklerine ve mühendislik becerilerine göre şekillendirilmiştir. Emir Yarkın Yaman, projenin teknik yürütücüsü olarak görev alacaktır. Temel sorumlulukları arasında proje yönetimi, reaktör tasarımı, nötronik ve kinetik hesaplamaların yapılması ile genel teknik entegrasyonun sağlanması yer almaktadır. Ayrıca ekonomik fizibilite analizlerinin mühendislik temellerini oluşturacaktır. Yasin Şengül ise genel sistem modellemesi ve araştırma geliştirme süreçlerinden sorumlu olacaktır. Görev tanımları içinde yenilikçi konseptin geliştirilmesi, kapsamlı literatür taramalarının yapılması, termodinamik çevrim araştırmalarının yürütülmesi ve entegre tesisin çoklu nakit akışı ile gelir modellemelerinin kurgulanması bulunmaktadır.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C0736F1" id="Dikdörtgen 16" o:spid="_x0000_s1042" style="position:absolute;left:0;text-align:left;margin-left:0;margin-top:30.75pt;width:462pt;height:140.4pt;z-index:251674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vIGQIAAEgEAAAOAAAAZHJzL2Uyb0RvYy54bWysVNuO2jAQfa/Uf7D8XpJQYNmIsKqWUlVa&#10;dZG2/YDBsYkl32obEv6+Y0OBbStVqpoHM7bHZ86cmWHxMGhFDtwHaU1Dq1FJCTfMttLsGvrt6/rd&#10;nJIQwbSgrOENPfJAH5Zv3yx6V/Ox7axquScIYkLdu4Z2Mbq6KALruIYwso4bvBTWa4i49bui9dAj&#10;ulbFuCxnRW9967xlPAQ8XZ0u6TLjC8FZfBYi8EhUQ5FbzKvP6zatxXIB9c6D6yQ704B/YKFBGgx6&#10;gVpBBLL38jcoLZm3wYo4YlYXVgjJeM4Bs6nKX7J56cDxnAuKE9xFpvD/YNmXw4vbeJShd6EOaKYs&#10;BuF1+kV+ZMhiHS9i8SEShofT+exuUqKmDO+qu/n7cp7lLK7PnQ/xE7eaJKOhHquRRYLDU4gYEl1/&#10;uqRowSrZrqVSeeN320flyQGwcuv8pWLhk1duypC+offT8RSJADaQUBDR1K5taDC7HO/Vi3ALXObv&#10;T8CJ2ApCdyKQEU7NomXEjlVSN3R+eQ11x6H9aFoSjw7b3GCz08QsaEoUx9FAI/daBKn+7odpKoPZ&#10;XouSrDhsByIxsWqWwNLR1rbHjSfBsbVExk8Q4gY8tnCF4bGtMfD3PXgkoz4b7Jv7apKkinkzmd6l&#10;Avrbm+3tDRjWWZwWVPRkPsY8O6lAxn7YRytkLuSVypk0tmsu1nm00jzc7rPX9Q9g+QMAAP//AwBQ&#10;SwMEFAAGAAgAAAAhANmIymzbAAAABwEAAA8AAABkcnMvZG93bnJldi54bWxMj81OwzAQhO9IvIO1&#10;SFwQdZqUAiGbCiJxpBIpD+DGSxJhr6PY+eHtMSc47sxo5tvisFojZhp97xhhu0lAEDdO99wifJxe&#10;bx9A+KBYK+OYEL7Jw6G8vChUrt3C7zTXoRWxhH2uELoQhlxK33Rkld+4gTh6n260KsRzbKUe1RLL&#10;rZFpkuylVT3HhU4NVHXUfNWTRTj5rK/I1Pd+nuu3l2q6sYs6Il5frc9PIAKt4S8Mv/gRHcrIdHYT&#10;ay8MQnwkIOy3dyCi+5juonBGyHZpBrIs5H/+8gcAAP//AwBQSwECLQAUAAYACAAAACEAtoM4kv4A&#10;AADhAQAAEwAAAAAAAAAAAAAAAAAAAAAAW0NvbnRlbnRfVHlwZXNdLnhtbFBLAQItABQABgAIAAAA&#10;IQA4/SH/1gAAAJQBAAALAAAAAAAAAAAAAAAAAC8BAABfcmVscy8ucmVsc1BLAQItABQABgAIAAAA&#10;IQC+Z4vIGQIAAEgEAAAOAAAAAAAAAAAAAAAAAC4CAABkcnMvZTJvRG9jLnhtbFBLAQItABQABgAI&#10;AAAAIQDZiMps2wAAAAcBAAAPAAAAAAAAAAAAAAAAAHMEAABkcnMvZG93bnJldi54bWxQSwUGAAAA&#10;AAQABADzAAAAewUAAAAA&#10;">
                <v:stroke startarrowwidth="narrow" startarrowlength="short" endarrowwidth="narrow" endarrowlength="short"/>
                <v:textbox inset="2.53958mm,1.2694mm,2.53958mm,1.2694mm">
                  <w:txbxContent>
                    <w:p w14:paraId="337D4839" w14:textId="78A62413" w:rsidR="00D511E5" w:rsidRDefault="00CB5D70" w:rsidP="00CB5D70">
                      <w:pPr>
                        <w:jc w:val="both"/>
                        <w:textDirection w:val="btLr"/>
                      </w:pPr>
                      <w:r w:rsidRPr="00CB5D70">
                        <w:t>Supercritical Systems girişimindeki görev dağılımı, kurucu ortakların lisans düzeyindeki akademik yetkinliklerine ve mühendislik becerilerine göre şekillendirilmiştir. Emir Yarkın Yaman, projenin teknik yürütücüsü olarak görev alacaktır. Temel sorumlulukları arasında proje yönetimi, reaktör tasarımı, nötronik ve kinetik hesaplamaların yapılması ile genel teknik entegrasyonun sağlanması yer almaktadır. Ayrıca ekonomik fizibilite analizlerinin mühendislik temellerini oluşturacaktır. Yasin Şengül ise genel sistem modellemesi ve araştırma geliştirme süreçlerinden sorumlu olacaktır. Görev tanımları içinde yenilikçi konseptin geliştirilmesi, kapsamlı literatür taramalarının yapılması, termodinamik çevrim araştırmalarının yürütülmesi ve entegre tesisin çoklu nakit akışı ile gelir modellemelerinin kurgulanması bulunmaktadır.</w:t>
                      </w:r>
                    </w:p>
                  </w:txbxContent>
                </v:textbox>
                <w10:wrap type="square" anchorx="margin"/>
              </v:rect>
            </w:pict>
          </mc:Fallback>
        </mc:AlternateContent>
      </w:r>
      <w:r>
        <w:rPr>
          <w:rFonts w:ascii="Times New Roman" w:eastAsia="Times New Roman" w:hAnsi="Times New Roman" w:cs="Times New Roman"/>
          <w:sz w:val="24"/>
          <w:szCs w:val="24"/>
        </w:rPr>
        <w:t>İş Paylaşım</w:t>
      </w:r>
      <w:r w:rsidR="0004070C">
        <w:rPr>
          <w:rFonts w:ascii="Times New Roman" w:eastAsia="Times New Roman" w:hAnsi="Times New Roman" w:cs="Times New Roman"/>
          <w:sz w:val="24"/>
          <w:szCs w:val="24"/>
        </w:rPr>
        <w:t>ı</w:t>
      </w:r>
    </w:p>
    <w:p w14:paraId="2418CAED" w14:textId="077F828F" w:rsidR="00D511E5" w:rsidRDefault="00D511E5">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006BF6EE" w14:textId="2AB7C345" w:rsidR="00D511E5" w:rsidRPr="00423A16" w:rsidRDefault="00000000" w:rsidP="00423A16">
      <w:pPr>
        <w:pStyle w:val="Balk2"/>
        <w:numPr>
          <w:ilvl w:val="1"/>
          <w:numId w:val="2"/>
        </w:numPr>
        <w:tabs>
          <w:tab w:val="left" w:pos="2277"/>
        </w:tabs>
        <w:ind w:left="2277" w:hanging="576"/>
        <w:rPr>
          <w:rFonts w:ascii="Times New Roman" w:eastAsia="Times New Roman" w:hAnsi="Times New Roman" w:cs="Times New Roman"/>
          <w:sz w:val="24"/>
          <w:szCs w:val="24"/>
        </w:rPr>
      </w:pPr>
      <w:r>
        <w:rPr>
          <w:rFonts w:ascii="Times New Roman" w:eastAsia="Times New Roman" w:hAnsi="Times New Roman" w:cs="Times New Roman"/>
          <w:sz w:val="24"/>
          <w:szCs w:val="24"/>
        </w:rPr>
        <w:t>İş Birlikler</w:t>
      </w:r>
      <w:r w:rsidR="00CB5D70">
        <w:rPr>
          <w:noProof/>
        </w:rPr>
        <mc:AlternateContent>
          <mc:Choice Requires="wps">
            <w:drawing>
              <wp:anchor distT="45720" distB="45720" distL="114300" distR="114300" simplePos="0" relativeHeight="251675648" behindDoc="0" locked="0" layoutInCell="1" hidden="0" allowOverlap="1" wp14:anchorId="43E81785" wp14:editId="480EA6DF">
                <wp:simplePos x="0" y="0"/>
                <wp:positionH relativeFrom="margin">
                  <wp:align>left</wp:align>
                </wp:positionH>
                <wp:positionV relativeFrom="paragraph">
                  <wp:posOffset>922655</wp:posOffset>
                </wp:positionV>
                <wp:extent cx="5867400" cy="4541520"/>
                <wp:effectExtent l="0" t="0" r="19050" b="11430"/>
                <wp:wrapSquare wrapText="bothSides" distT="45720" distB="45720" distL="114300" distR="114300"/>
                <wp:docPr id="17" name="Dikdörtgen 17"/>
                <wp:cNvGraphicFramePr/>
                <a:graphic xmlns:a="http://schemas.openxmlformats.org/drawingml/2006/main">
                  <a:graphicData uri="http://schemas.microsoft.com/office/word/2010/wordprocessingShape">
                    <wps:wsp>
                      <wps:cNvSpPr/>
                      <wps:spPr>
                        <a:xfrm>
                          <a:off x="0" y="0"/>
                          <a:ext cx="5867400" cy="45415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1B4EEFF" w14:textId="44F44B4A" w:rsidR="00D511E5" w:rsidRDefault="00CB5D70" w:rsidP="00CB5D70">
                            <w:pPr>
                              <w:jc w:val="both"/>
                              <w:textDirection w:val="btLr"/>
                            </w:pPr>
                            <w:r w:rsidRPr="00CB5D70">
                              <w:t>Projenin mevcut teknoloji hazırlık seviyesi göz önüne alındığında, geniş çaplı ticari iş birliklerinden ziyade teknik doğrulamayı, mentorluğu ve akademik danışmanlığı merkeze alan bir iş birliği ağı planlanmaktadır.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3E81785" id="Dikdörtgen 17" o:spid="_x0000_s1043" style="position:absolute;left:0;text-align:left;margin-left:0;margin-top:72.65pt;width:462pt;height:357.6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azMGQIAAEgEAAAOAAAAZHJzL2Uyb0RvYy54bWysVNuO2jAQfa/Uf7D8XpIgsrARYVUtpaq0&#10;alfa9gMGxyaWfKttSPj7jg0Ftq1UqWoezNgenzlzZoblw6gVOXAfpDUtrSYlJdww20mza+m3r5t3&#10;C0pCBNOBsoa39MgDfVi9fbMcXMOntreq454giAnN4Frax+iaogis5xrCxDpu8FJYryHi1u+KzsOA&#10;6FoV07K8KwbrO+ct4yHg6fp0SVcZXwjO4hchAo9EtRS5xbz6vG7TWqyW0Ow8uF6yMw34BxYapMGg&#10;F6g1RCB7L3+D0pJ5G6yIE2Z1YYWQjOccMJuq/CWblx4cz7mgOMFdZAr/D5Z9Pry4Z48yDC40Ac2U&#10;xSi8Tr/Ij4xZrONFLD5GwvCwXtzNZyVqyvBuVs+qeprlLK7PnQ/xI7eaJKOlHquRRYLDU4gYEl1/&#10;uqRowSrZbaRSeeN320flyQGwcpv8pWLhk1duypChpff1tEYigA0kFEQ0tetaGswux3v1ItwCl/n7&#10;E3AitobQnwhkhFOzaBmxY5XULV1cXkPTc+g+mI7Eo8M2N9jsNDELmhLFcTTQyL0WQaq/+2GaymC2&#10;16IkK47bkUhMrJonsHS0td3x2ZPg2EYi4ycI8Rk8tnCF4bGtMfD3PXgkoz4Z7Jv7apakinkzq+ep&#10;gP72Znt7A4b1FqcFFT2ZjzHPTiqQse/30QqZC3mlciaN7ZqLdR6tNA+3++x1/QNY/QAAAP//AwBQ&#10;SwMEFAAGAAgAAAAhAAG8mhXbAAAACAEAAA8AAABkcnMvZG93bnJldi54bWxMj81OxDAMhO9IvENk&#10;JC6ITdk/ltJ0BZU4gkSXB/A2pq1onKpJf3h7zAmOnhmNv8mOi+vURENoPRu4WyWgiCtvW64NfJxe&#10;bg+gQkS22HkmA98U4JhfXmSYWj/zO01lrJWUcEjRQBNjn2odqoYchpXvicX79IPDKOdQazvgLOWu&#10;0+sk2WuHLcuHBnsqGqq+ytEZOIVNW1BX3odpKl+fi/HGzfhmzPXV8vQIKtIS/8Lwiy/okAvT2Y9s&#10;g+oMyJAo6na3ASX2w3orytnAYZ/sQOeZ/j8g/wEAAP//AwBQSwECLQAUAAYACAAAACEAtoM4kv4A&#10;AADhAQAAEwAAAAAAAAAAAAAAAAAAAAAAW0NvbnRlbnRfVHlwZXNdLnhtbFBLAQItABQABgAIAAAA&#10;IQA4/SH/1gAAAJQBAAALAAAAAAAAAAAAAAAAAC8BAABfcmVscy8ucmVsc1BLAQItABQABgAIAAAA&#10;IQDKlazMGQIAAEgEAAAOAAAAAAAAAAAAAAAAAC4CAABkcnMvZTJvRG9jLnhtbFBLAQItABQABgAI&#10;AAAAIQABvJoV2wAAAAgBAAAPAAAAAAAAAAAAAAAAAHMEAABkcnMvZG93bnJldi54bWxQSwUGAAAA&#10;AAQABADzAAAAewUAAAAA&#10;">
                <v:stroke startarrowwidth="narrow" startarrowlength="short" endarrowwidth="narrow" endarrowlength="short"/>
                <v:textbox inset="2.53958mm,1.2694mm,2.53958mm,1.2694mm">
                  <w:txbxContent>
                    <w:p w14:paraId="41B4EEFF" w14:textId="44F44B4A" w:rsidR="00D511E5" w:rsidRDefault="00CB5D70" w:rsidP="00CB5D70">
                      <w:pPr>
                        <w:jc w:val="both"/>
                        <w:textDirection w:val="btLr"/>
                      </w:pPr>
                      <w:r w:rsidRPr="00CB5D70">
                        <w:t>Projenin mevcut teknoloji hazırlık seviyesi göz önüne alındığında, geniş çaplı ticari iş birliklerinden ziyade teknik doğrulamayı, mentorluğu ve akademik danışmanlığı merkeze alan bir iş birliği ağı planlanmaktadır.</w:t>
                      </w:r>
                    </w:p>
                  </w:txbxContent>
                </v:textbox>
                <w10:wrap type="square" anchorx="margin"/>
              </v:rect>
            </w:pict>
          </mc:Fallback>
        </mc:AlternateContent>
      </w:r>
      <w:r w:rsidR="00423A16">
        <w:rPr>
          <w:rFonts w:ascii="Times New Roman" w:eastAsia="Times New Roman" w:hAnsi="Times New Roman" w:cs="Times New Roman"/>
          <w:sz w:val="24"/>
          <w:szCs w:val="24"/>
        </w:rPr>
        <w:t>i</w:t>
      </w:r>
    </w:p>
    <w:p w14:paraId="3B9127C5" w14:textId="66446139" w:rsidR="00D511E5" w:rsidRDefault="00D511E5" w:rsidP="00CB5D70">
      <w:pPr>
        <w:pBdr>
          <w:top w:val="nil"/>
          <w:left w:val="nil"/>
          <w:bottom w:val="nil"/>
          <w:right w:val="nil"/>
          <w:between w:val="nil"/>
        </w:pBdr>
        <w:rPr>
          <w:rFonts w:ascii="Times New Roman" w:eastAsia="Times New Roman" w:hAnsi="Times New Roman" w:cs="Times New Roman"/>
          <w:color w:val="000000"/>
          <w:sz w:val="24"/>
          <w:szCs w:val="24"/>
        </w:rPr>
        <w:sectPr w:rsidR="00D511E5">
          <w:pgSz w:w="11910" w:h="16840"/>
          <w:pgMar w:top="1320" w:right="1275" w:bottom="1100" w:left="1275" w:header="0" w:footer="916" w:gutter="0"/>
          <w:cols w:space="708"/>
        </w:sectPr>
      </w:pPr>
    </w:p>
    <w:p w14:paraId="18051C86" w14:textId="0BC2B232" w:rsidR="00D511E5" w:rsidRPr="00CB5D70" w:rsidRDefault="00CB5D70" w:rsidP="00CB5D70">
      <w:pPr>
        <w:pStyle w:val="Balk2"/>
        <w:numPr>
          <w:ilvl w:val="1"/>
          <w:numId w:val="2"/>
        </w:numPr>
        <w:tabs>
          <w:tab w:val="left" w:pos="2277"/>
        </w:tabs>
        <w:spacing w:before="72"/>
        <w:ind w:left="2277" w:hanging="576"/>
        <w:rPr>
          <w:rFonts w:ascii="Times New Roman" w:eastAsia="Times New Roman" w:hAnsi="Times New Roman" w:cs="Times New Roman"/>
          <w:sz w:val="24"/>
          <w:szCs w:val="24"/>
        </w:rPr>
      </w:pPr>
      <w:r>
        <w:rPr>
          <w:noProof/>
        </w:rPr>
        <w:lastRenderedPageBreak/>
        <mc:AlternateContent>
          <mc:Choice Requires="wps">
            <w:drawing>
              <wp:anchor distT="45720" distB="45720" distL="114300" distR="114300" simplePos="0" relativeHeight="251676672" behindDoc="0" locked="0" layoutInCell="1" hidden="0" allowOverlap="1" wp14:anchorId="2653AD8B" wp14:editId="473AE994">
                <wp:simplePos x="0" y="0"/>
                <wp:positionH relativeFrom="margin">
                  <wp:align>left</wp:align>
                </wp:positionH>
                <wp:positionV relativeFrom="paragraph">
                  <wp:posOffset>268605</wp:posOffset>
                </wp:positionV>
                <wp:extent cx="5867400" cy="7795260"/>
                <wp:effectExtent l="0" t="0" r="19050" b="15240"/>
                <wp:wrapSquare wrapText="bothSides" distT="45720" distB="45720" distL="114300" distR="114300"/>
                <wp:docPr id="9" name="Dikdörtgen 9"/>
                <wp:cNvGraphicFramePr/>
                <a:graphic xmlns:a="http://schemas.openxmlformats.org/drawingml/2006/main">
                  <a:graphicData uri="http://schemas.microsoft.com/office/word/2010/wordprocessingShape">
                    <wps:wsp>
                      <wps:cNvSpPr/>
                      <wps:spPr>
                        <a:xfrm>
                          <a:off x="0" y="0"/>
                          <a:ext cx="5867400" cy="77952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FE1B032" w14:textId="519000A2" w:rsidR="00D511E5" w:rsidRDefault="00CB5D70" w:rsidP="00CB5D70">
                            <w:pPr>
                              <w:jc w:val="both"/>
                              <w:textDirection w:val="btLr"/>
                            </w:pPr>
                            <w:r w:rsidRPr="00CB5D70">
                              <w:t>Supercritical Systems ekibinin temel misyonu; yenilikçi nükleer teknoloji çözümlerini döngüsel ekonomi prensipleriyle birleştirerek, liman ve sanayi şehirlerinin enerji ile atık sorunlarına mühendislik temelli, sürdürülebilir ve yerli bir alternatif sunmaktır. Ekibimiz, sadece bir enerji santrali tasarlamayı değil, ekosistemi bütüncül olarak iyileştiren "Entegre Liman Ekosistemi" vizyonunu teknik bir gerçekliğe dönüştürmeyi amaçlamaktadır. Henüz kavramsal tasarım aşamasında olan projemize olan bağlılığımız; teorik bilginin pratik sorunlara çözüm üretme potansiyeline olan inancımızdan ve Türkiye’nin nükleer teknoloji ekosistemine genç mühendisler olarak nitelikli bir katkı sunma hedefimizden beslenmektedir.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653AD8B" id="Dikdörtgen 9" o:spid="_x0000_s1044" style="position:absolute;left:0;text-align:left;margin-left:0;margin-top:21.15pt;width:462pt;height:613.8pt;z-index:2516766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FV9FwIAAEgEAAAOAAAAZHJzL2Uyb0RvYy54bWysVNuOGjEMfa/Uf4jyXmZA3HbEsKqWUlVa&#10;tUjbfoDJZJhIuTUOMPx9nUCBbStVqjoPwUmc4+Njm8VjbzQ7yIDK2ZoPByVn0grXKLur+bev63dz&#10;zjCCbUA7K2t+ksgfl2/fLI6+kiPXOd3IwAjEYnX0Ne9i9FVRoOikARw4Ly1dti4YiLQNu6IJcCR0&#10;o4tRWU6LowuND05IRDpdnS/5MuO3rRTxS9uijEzXnLjFvIa8btNaLBdQ7QL4TokLDfgHFgaUpaBX&#10;qBVEYPugfoMySgSHro0D4Uzh2lYJmXOgbIblL9m8dOBlzoXEQX+VCf8frPh8ePGbQDIcPVZIZsqi&#10;b4NJv8SP9Vms01Us2Ucm6HAyn87GJWkq6G42e5iMplnO4vbcB4wfpTMsGTUPVI0sEhyeMVJIcv3p&#10;kqKh06pZK63zJuy2TzqwA1Dl1vlLxaInr9y0ZceaU/AJEQFqoFZDJNP4puZodzneqxd4D1zm70/A&#10;idgKsDsTyAjnZjEqUsdqZWo+v76GqpPQfLANiydPbW6p2XlihoYzLWk0yMi9FkHpv/tRmtpStrei&#10;JCv2254pSmw4T2DpaOua0yYw9GKtiPEzYNxAoBYeUnhqawr8fQ+ByOhPlvrmYThOUsW8GU9mqYDh&#10;/mZ7fwNWdI6mhRQ9m08xz04qkHXv99G1KhfyRuVCmto1F+syWmke7vfZ6/YHsPwBAAD//wMAUEsD&#10;BBQABgAIAAAAIQCx3Ecu3AAAAAgBAAAPAAAAZHJzL2Rvd25yZXYueG1sTI/NTsMwEITvSLyDtUhc&#10;EHVIq9KEOBVE4ggSKQ/gxtskwl5HsfPD27Oc4Lgzo9lviuPqrJhxDL0nBQ+bBARS401PrYLP0+v9&#10;AUSImoy2nlDBNwY4ltdXhc6NX+gD5zq2gkso5FpBF+OQSxmaDp0OGz8gsXfxo9ORz7GVZtQLlzsr&#10;0yTZS6d74g+dHrDqsPmqJ6fgFLZ9hbZ+DPNcv71U051b9LtStzfr8xOIiGv8C8MvPqNDyUxnP5EJ&#10;wirgIVHBLt2CYDdLdyycOZbuswxkWcj/A8ofAAAA//8DAFBLAQItABQABgAIAAAAIQC2gziS/gAA&#10;AOEBAAATAAAAAAAAAAAAAAAAAAAAAABbQ29udGVudF9UeXBlc10ueG1sUEsBAi0AFAAGAAgAAAAh&#10;ADj9If/WAAAAlAEAAAsAAAAAAAAAAAAAAAAALwEAAF9yZWxzLy5yZWxzUEsBAi0AFAAGAAgAAAAh&#10;AEQ0VX0XAgAASAQAAA4AAAAAAAAAAAAAAAAALgIAAGRycy9lMm9Eb2MueG1sUEsBAi0AFAAGAAgA&#10;AAAhALHcRy7cAAAACAEAAA8AAAAAAAAAAAAAAAAAcQQAAGRycy9kb3ducmV2LnhtbFBLBQYAAAAA&#10;BAAEAPMAAAB6BQAAAAA=&#10;">
                <v:stroke startarrowwidth="narrow" startarrowlength="short" endarrowwidth="narrow" endarrowlength="short"/>
                <v:textbox inset="2.53958mm,1.2694mm,2.53958mm,1.2694mm">
                  <w:txbxContent>
                    <w:p w14:paraId="4FE1B032" w14:textId="519000A2" w:rsidR="00D511E5" w:rsidRDefault="00CB5D70" w:rsidP="00CB5D70">
                      <w:pPr>
                        <w:jc w:val="both"/>
                        <w:textDirection w:val="btLr"/>
                      </w:pPr>
                      <w:r w:rsidRPr="00CB5D70">
                        <w:t>Supercritical Systems ekibinin temel misyonu; yenilikçi nükleer teknoloji çözümlerini döngüsel ekonomi prensipleriyle birleştirerek, liman ve sanayi şehirlerinin enerji ile atık sorunlarına mühendislik temelli, sürdürülebilir ve yerli bir alternatif sunmaktır. Ekibimiz, sadece bir enerji santrali tasarlamayı değil, ekosistemi bütüncül olarak iyileştiren "Entegre Liman Ekosistemi" vizyonunu teknik bir gerçekliğe dönüştürmeyi amaçlamaktadır. Henüz kavramsal tasarım aşamasında olan projemize olan bağlılığımız; teorik bilginin pratik sorunlara çözüm üretme potansiyeline olan inancımızdan ve Türkiye’nin nükleer teknoloji ekosistemine genç mühendisler olarak nitelikli bir katkı sunma hedefimizden beslenmektedir.</w:t>
                      </w:r>
                    </w:p>
                  </w:txbxContent>
                </v:textbox>
                <w10:wrap type="square" anchorx="margin"/>
              </v:rect>
            </w:pict>
          </mc:Fallback>
        </mc:AlternateContent>
      </w:r>
      <w:r>
        <w:rPr>
          <w:rFonts w:ascii="Times New Roman" w:eastAsia="Times New Roman" w:hAnsi="Times New Roman" w:cs="Times New Roman"/>
          <w:sz w:val="24"/>
          <w:szCs w:val="24"/>
        </w:rPr>
        <w:t>Ekibin Misyonu ve Değerleri</w:t>
      </w:r>
    </w:p>
    <w:p w14:paraId="1723FBBA" w14:textId="343C6385" w:rsidR="00D511E5" w:rsidRDefault="00D511E5">
      <w:pPr>
        <w:pBdr>
          <w:top w:val="nil"/>
          <w:left w:val="nil"/>
          <w:bottom w:val="nil"/>
          <w:right w:val="nil"/>
          <w:between w:val="nil"/>
        </w:pBdr>
        <w:ind w:left="141"/>
        <w:rPr>
          <w:rFonts w:ascii="Times New Roman" w:eastAsia="Times New Roman" w:hAnsi="Times New Roman" w:cs="Times New Roman"/>
          <w:color w:val="000000"/>
          <w:sz w:val="24"/>
          <w:szCs w:val="24"/>
        </w:rPr>
        <w:sectPr w:rsidR="00D511E5">
          <w:pgSz w:w="11910" w:h="16840"/>
          <w:pgMar w:top="1320" w:right="1275" w:bottom="1100" w:left="1275" w:header="0" w:footer="916" w:gutter="0"/>
          <w:cols w:space="708"/>
        </w:sectPr>
      </w:pPr>
    </w:p>
    <w:p w14:paraId="5A7CC724" w14:textId="215FD184" w:rsidR="00D511E5" w:rsidRDefault="00000000">
      <w:pPr>
        <w:pStyle w:val="Balk1"/>
        <w:numPr>
          <w:ilvl w:val="0"/>
          <w:numId w:val="2"/>
        </w:numPr>
        <w:tabs>
          <w:tab w:val="left" w:pos="573"/>
        </w:tabs>
      </w:pPr>
      <w:r>
        <w:rPr>
          <w:rFonts w:ascii="Times New Roman" w:eastAsia="Times New Roman" w:hAnsi="Times New Roman" w:cs="Times New Roman"/>
          <w:sz w:val="24"/>
          <w:szCs w:val="24"/>
        </w:rPr>
        <w:lastRenderedPageBreak/>
        <w:t>İş Modeli ve Finansal Öngörüle</w:t>
      </w:r>
      <w:r w:rsidR="00CB5D70">
        <w:rPr>
          <w:rFonts w:ascii="Times New Roman" w:eastAsia="Times New Roman" w:hAnsi="Times New Roman" w:cs="Times New Roman"/>
          <w:sz w:val="24"/>
          <w:szCs w:val="24"/>
        </w:rPr>
        <w:t>r</w:t>
      </w:r>
    </w:p>
    <w:p w14:paraId="7FF08F3C" w14:textId="37B070B3" w:rsidR="00D511E5" w:rsidRDefault="004F5A7C">
      <w:pPr>
        <w:pStyle w:val="Balk2"/>
        <w:numPr>
          <w:ilvl w:val="1"/>
          <w:numId w:val="2"/>
        </w:numPr>
        <w:tabs>
          <w:tab w:val="left" w:pos="2277"/>
        </w:tabs>
        <w:spacing w:before="38"/>
        <w:ind w:left="2277" w:hanging="576"/>
        <w:rPr>
          <w:rFonts w:ascii="Times New Roman" w:eastAsia="Times New Roman" w:hAnsi="Times New Roman" w:cs="Times New Roman"/>
          <w:sz w:val="24"/>
          <w:szCs w:val="24"/>
        </w:rPr>
      </w:pPr>
      <w:r>
        <w:rPr>
          <w:noProof/>
        </w:rPr>
        <mc:AlternateContent>
          <mc:Choice Requires="wps">
            <w:drawing>
              <wp:anchor distT="45720" distB="45720" distL="114300" distR="114300" simplePos="0" relativeHeight="251677696" behindDoc="0" locked="0" layoutInCell="1" hidden="0" allowOverlap="1" wp14:anchorId="6348D172" wp14:editId="64C56B72">
                <wp:simplePos x="0" y="0"/>
                <wp:positionH relativeFrom="margin">
                  <wp:align>left</wp:align>
                </wp:positionH>
                <wp:positionV relativeFrom="paragraph">
                  <wp:posOffset>388620</wp:posOffset>
                </wp:positionV>
                <wp:extent cx="5867400" cy="3642360"/>
                <wp:effectExtent l="0" t="0" r="19050" b="15240"/>
                <wp:wrapSquare wrapText="bothSides" distT="45720" distB="45720" distL="114300" distR="114300"/>
                <wp:docPr id="15" name="Dikdörtgen 15"/>
                <wp:cNvGraphicFramePr/>
                <a:graphic xmlns:a="http://schemas.openxmlformats.org/drawingml/2006/main">
                  <a:graphicData uri="http://schemas.microsoft.com/office/word/2010/wordprocessingShape">
                    <wps:wsp>
                      <wps:cNvSpPr/>
                      <wps:spPr>
                        <a:xfrm>
                          <a:off x="0" y="0"/>
                          <a:ext cx="5867400" cy="3642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55F66E4" w14:textId="450621AC" w:rsidR="004F5A7C" w:rsidRDefault="004F5A7C" w:rsidP="004F5A7C">
                            <w:pPr>
                              <w:jc w:val="both"/>
                              <w:textDirection w:val="btLr"/>
                            </w:pPr>
                            <w:r w:rsidRPr="004F5A7C">
                              <w:t>Entegre Liman Ekosistemi projesinin gelir modeli, endüstriyel simbiyoz prensibi çerçevesinde çeşitlendirilmiş çoklu nakit akışlarına dayanmaktadır. Tek bir enerji kaynağının sunduğu kademeli atık ısı potansiyeli, farklı paydaşlara hitap eden "B2B" yani işletmeden işletmeye ve "B2G" yani işletmeden devlete iş modellerini mümkün kılmaktadır</w:t>
                            </w:r>
                            <w:r>
                              <w:t xml:space="preserve">. </w:t>
                            </w:r>
                            <w:r w:rsidRPr="004F5A7C">
                              <w:t>Girişimin birincil gelir kaynağı, limana yanaşan ticari gemilere sunulacak olan "cold ironing" yani kıyı elektriği hizmetidir. Bu "B2B" modelinde gemilerin, limanda beklerken dizel jeneratörlerini kapatıp mikroreaktör tabanlı temiz enerjiyi kullanmaları karşılığında, karbon vergisi tasarrufları da gözetilerek optimize edilmiş bir birim fiyat üzerinden elektrik satışı gerçekleştirilecektir. İkinci bir gelir kalemi olarak; liman işletmeleri, denizcilik firmaları ve yerel yönetimlerle yapılacak anlaşmalar kapsamında, plastik ve katı atıkların tesise kabulü için atık bertaraf ücreti alınması öngörülmektedir. Bu modelde tesis, hem bir enerji üretim merkezi hem de çevre mevzuatlarına uyumlu bir geri dönüşüm noktası olarak hizmet verecektir</w:t>
                            </w:r>
                            <w:r>
                              <w:t xml:space="preserve">. </w:t>
                            </w:r>
                            <w:r w:rsidRPr="004F5A7C">
                              <w:t>Kaskad atık ısı döngüsünün çıktıları olan sentez gazı ve katı karbon, bölgedeki sanayi kuruluşlarına endüstriyel hammadde olarak "B2B" modeliyle pazarlanacaktır. Benzer şekilde, desalinasyon ünitesinden elde edilen tatlı suyun, liman operasyonları veya çevre fabrikaların kullanımına sunulmasıyla ek bir satış geliri hedeflenmektedir. Son olarak, tesisin sıfır emisyonlu üretim yapısı sayesinde elde edilecek karbon kredilerinin uluslararası piyasalarda satılması, projenin finansal sürdürülebilirliğine katkı sağlayacak pazar tabanlı bir diğer gelir kaynağı olarak değerlendirilmektedir.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348D172" id="Dikdörtgen 15" o:spid="_x0000_s1045" style="position:absolute;left:0;text-align:left;margin-left:0;margin-top:30.6pt;width:462pt;height:286.8pt;z-index:2516776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ioQGQIAAEgEAAAOAAAAZHJzL2Uyb0RvYy54bWysVNuOGjEMfa/Uf4jy3p2BBRZGDKtqKVWl&#10;VYu07QeYTIaJlFvjAMPf1wkU2LZSparzEJzEOT4+tpk/9kazvQyonK354K7kTFrhGmW3Nf/2dfVu&#10;yhlGsA1oZ2XNjxL54+Ltm/nBV3LoOqcbGRiBWKwOvuZdjL4qChSdNIB3zktLl60LBiJtw7ZoAhwI&#10;3ehiWJaT4uBC44MTEpFOl6dLvsj4bStF/NK2KCPTNSduMa8hr5u0Fos5VNsAvlPiTAP+gYUBZSno&#10;BWoJEdguqN+gjBLBoWvjnXCmcG2rhMw5UDaD8pdsXjrwMudC4qC/yIT/D1Z83r/4dSAZDh4rJDNl&#10;0bfBpF/ix/os1vEiluwjE3Q4nk4eRiVpKujufjIa3k+ynMX1uQ8YP0pnWDJqHqgaWSTYP2OkkOT6&#10;0yVFQ6dVs1Ja503Ybp50YHugyq3yl4pFT165acsONZ+Nh2MiAtRArYZIpvFNzdFuc7xXL/AWuMzf&#10;n4ATsSVgdyKQEU7NYlSkjtXK1Hx6eQ1VJ6H5YBsWj57a3FKz88QMDWda0miQkXstgtJ/96M0taVs&#10;r0VJVuw3PVOU2GCWwNLRxjXHdWDoxUoR42fAuIZALTyg8NTWFPj7DgKR0Z8s9c1sMEpSxbwZjR9S&#10;AcPtzeb2BqzoHE0LKXoyn2KenVQg697vomtVLuSVypk0tWsu1nm00jzc7rPX9Q9g8QMAAP//AwBQ&#10;SwMEFAAGAAgAAAAhAGeWQlTbAAAABwEAAA8AAABkcnMvZG93bnJldi54bWxMj81OwzAQhO9IvIO1&#10;SFwQdZpWpaRxKojEEaSmPIAbb5MIex3Fzg9vz3KC48ysZr7Nj4uzYsIhdJ4UrFcJCKTam44aBZ/n&#10;t8c9iBA1GW09oYJvDHAsbm9ynRk/0wmnKjaCSyhkWkEbY59JGeoWnQ4r3yNxdvWD05Hl0Egz6JnL&#10;nZVpkuyk0x3xQqt7LFusv6rRKTiHTVeirZ7CNFXvr+X44Gb9odT93fJyABFxiX/H8IvP6FAw08WP&#10;ZIKwCviRqGC3TkFw+pxu2biwsdnuQRa5/M9f/AAAAP//AwBQSwECLQAUAAYACAAAACEAtoM4kv4A&#10;AADhAQAAEwAAAAAAAAAAAAAAAAAAAAAAW0NvbnRlbnRfVHlwZXNdLnhtbFBLAQItABQABgAIAAAA&#10;IQA4/SH/1gAAAJQBAAALAAAAAAAAAAAAAAAAAC8BAABfcmVscy8ucmVsc1BLAQItABQABgAIAAAA&#10;IQAFxioQGQIAAEgEAAAOAAAAAAAAAAAAAAAAAC4CAABkcnMvZTJvRG9jLnhtbFBLAQItABQABgAI&#10;AAAAIQBnlkJU2wAAAAcBAAAPAAAAAAAAAAAAAAAAAHMEAABkcnMvZG93bnJldi54bWxQSwUGAAAA&#10;AAQABADzAAAAewUAAAAA&#10;">
                <v:stroke startarrowwidth="narrow" startarrowlength="short" endarrowwidth="narrow" endarrowlength="short"/>
                <v:textbox inset="2.53958mm,1.2694mm,2.53958mm,1.2694mm">
                  <w:txbxContent>
                    <w:p w14:paraId="455F66E4" w14:textId="450621AC" w:rsidR="004F5A7C" w:rsidRDefault="004F5A7C" w:rsidP="004F5A7C">
                      <w:pPr>
                        <w:jc w:val="both"/>
                        <w:textDirection w:val="btLr"/>
                      </w:pPr>
                      <w:r w:rsidRPr="004F5A7C">
                        <w:t>Entegre Liman Ekosistemi projesinin gelir modeli, endüstriyel simbiyoz prensibi çerçevesinde çeşitlendirilmiş çoklu nakit akışlarına dayanmaktadır. Tek bir enerji kaynağının sunduğu kademeli atık ısı potansiyeli, farklı paydaşlara hitap eden "B2B" yani işletmeden işletmeye ve "B2G" yani işletmeden devlete iş modellerini mümkün kılmaktadır</w:t>
                      </w:r>
                      <w:r>
                        <w:t xml:space="preserve">. </w:t>
                      </w:r>
                      <w:r w:rsidRPr="004F5A7C">
                        <w:t>Girişimin birincil gelir kaynağı, limana yanaşan ticari gemilere sunulacak olan "cold ironing" yani kıyı elektriği hizmetidir. Bu "B2B" modelinde gemilerin, limanda beklerken dizel jeneratörlerini kapatıp mikroreaktör tabanlı temiz enerjiyi kullanmaları karşılığında, karbon vergisi tasarrufları da gözetilerek optimize edilmiş bir birim fiyat üzerinden elektrik satışı gerçekleştirilecektir. İkinci bir gelir kalemi olarak; liman işletmeleri, denizcilik firmaları ve yerel yönetimlerle yapılacak anlaşmalar kapsamında, plastik ve katı atıkların tesise kabulü için atık bertaraf ücreti alınması öngörülmektedir. Bu modelde tesis, hem bir enerji üretim merkezi hem de çevre mevzuatlarına uyumlu bir geri dönüşüm noktası olarak hizmet verecektir</w:t>
                      </w:r>
                      <w:r>
                        <w:t xml:space="preserve">. </w:t>
                      </w:r>
                      <w:r w:rsidRPr="004F5A7C">
                        <w:t>Kaskad atık ısı döngüsünün çıktıları olan sentez gazı ve katı karbon, bölgedeki sanayi kuruluşlarına endüstriyel hammadde olarak "B2B" modeliyle pazarlanacaktır. Benzer şekilde, desalinasyon ünitesinden elde edilen tatlı suyun, liman operasyonları veya çevre fabrikaların kullanımına sunulmasıyla ek bir satış geliri hedeflenmektedir. Son olarak, tesisin sıfır emisyonlu üretim yapısı sayesinde elde edilecek karbon kredilerinin uluslararası piyasalarda satılması, projenin finansal sürdürülebilirliğine katkı sağlayacak pazar tabanlı bir diğer gelir kaynağı olarak değerlendirilmektedir.</w:t>
                      </w:r>
                    </w:p>
                  </w:txbxContent>
                </v:textbox>
                <w10:wrap type="square" anchorx="margin"/>
              </v:rect>
            </w:pict>
          </mc:Fallback>
        </mc:AlternateContent>
      </w:r>
      <w:r>
        <w:rPr>
          <w:rFonts w:ascii="Times New Roman" w:eastAsia="Times New Roman" w:hAnsi="Times New Roman" w:cs="Times New Roman"/>
          <w:sz w:val="24"/>
          <w:szCs w:val="24"/>
        </w:rPr>
        <w:t>İş Model</w:t>
      </w:r>
      <w:r w:rsidR="00CB5D70">
        <w:rPr>
          <w:rFonts w:ascii="Times New Roman" w:eastAsia="Times New Roman" w:hAnsi="Times New Roman" w:cs="Times New Roman"/>
          <w:sz w:val="24"/>
          <w:szCs w:val="24"/>
        </w:rPr>
        <w:t>i</w:t>
      </w:r>
    </w:p>
    <w:p w14:paraId="725FB3B2" w14:textId="1663C682" w:rsidR="00D511E5" w:rsidRDefault="00D511E5" w:rsidP="00CB5D70">
      <w:pPr>
        <w:pBdr>
          <w:top w:val="nil"/>
          <w:left w:val="nil"/>
          <w:bottom w:val="nil"/>
          <w:right w:val="nil"/>
          <w:between w:val="nil"/>
        </w:pBdr>
        <w:rPr>
          <w:rFonts w:ascii="Times New Roman" w:eastAsia="Times New Roman" w:hAnsi="Times New Roman" w:cs="Times New Roman"/>
          <w:color w:val="000000"/>
          <w:sz w:val="24"/>
          <w:szCs w:val="24"/>
        </w:rPr>
      </w:pPr>
    </w:p>
    <w:p w14:paraId="5C7DA375" w14:textId="1DFF51DE" w:rsidR="00D511E5" w:rsidRDefault="00D511E5">
      <w:pPr>
        <w:pBdr>
          <w:top w:val="nil"/>
          <w:left w:val="nil"/>
          <w:bottom w:val="nil"/>
          <w:right w:val="nil"/>
          <w:between w:val="nil"/>
        </w:pBdr>
        <w:spacing w:before="5"/>
        <w:rPr>
          <w:rFonts w:ascii="Times New Roman" w:eastAsia="Times New Roman" w:hAnsi="Times New Roman" w:cs="Times New Roman"/>
          <w:i/>
          <w:iCs/>
          <w:color w:val="000000"/>
          <w:sz w:val="24"/>
          <w:szCs w:val="24"/>
        </w:rPr>
      </w:pPr>
    </w:p>
    <w:p w14:paraId="5AF499A4" w14:textId="4433A0DD" w:rsidR="00D511E5" w:rsidRDefault="004F5A7C">
      <w:pPr>
        <w:pStyle w:val="Balk2"/>
        <w:numPr>
          <w:ilvl w:val="1"/>
          <w:numId w:val="2"/>
        </w:numPr>
        <w:tabs>
          <w:tab w:val="left" w:pos="2277"/>
        </w:tabs>
        <w:ind w:left="2277" w:hanging="576"/>
        <w:rPr>
          <w:rFonts w:ascii="Times New Roman" w:eastAsia="Times New Roman" w:hAnsi="Times New Roman" w:cs="Times New Roman"/>
          <w:sz w:val="24"/>
          <w:szCs w:val="24"/>
        </w:rPr>
      </w:pPr>
      <w:r>
        <w:rPr>
          <w:noProof/>
        </w:rPr>
        <mc:AlternateContent>
          <mc:Choice Requires="wps">
            <w:drawing>
              <wp:anchor distT="45720" distB="45720" distL="114300" distR="114300" simplePos="0" relativeHeight="251678720" behindDoc="0" locked="0" layoutInCell="1" hidden="0" allowOverlap="1" wp14:anchorId="0CACF27F" wp14:editId="0BAF1282">
                <wp:simplePos x="0" y="0"/>
                <wp:positionH relativeFrom="margin">
                  <wp:align>left</wp:align>
                </wp:positionH>
                <wp:positionV relativeFrom="paragraph">
                  <wp:posOffset>385445</wp:posOffset>
                </wp:positionV>
                <wp:extent cx="5867400" cy="3009900"/>
                <wp:effectExtent l="0" t="0" r="19050" b="19050"/>
                <wp:wrapSquare wrapText="bothSides" distT="45720" distB="45720" distL="114300" distR="114300"/>
                <wp:docPr id="14" name="Dikdörtgen 14"/>
                <wp:cNvGraphicFramePr/>
                <a:graphic xmlns:a="http://schemas.openxmlformats.org/drawingml/2006/main">
                  <a:graphicData uri="http://schemas.microsoft.com/office/word/2010/wordprocessingShape">
                    <wps:wsp>
                      <wps:cNvSpPr/>
                      <wps:spPr>
                        <a:xfrm>
                          <a:off x="0" y="0"/>
                          <a:ext cx="5867400" cy="30099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43322BC" w14:textId="4AA21AAF" w:rsidR="00D511E5" w:rsidRDefault="004F5A7C" w:rsidP="004F5A7C">
                            <w:pPr>
                              <w:jc w:val="both"/>
                              <w:textDirection w:val="btLr"/>
                            </w:pPr>
                            <w:r w:rsidRPr="004F5A7C">
                              <w:t>Müşteriye erişim stratejimiz, projenin kavramsal aşamada olması nedeniyle teknik diyalog ve akademik temelli ağ kurma süreçleri üzerine kurgulanmıştır. İlk aşamada, emisyon kısıtlamaları ve karbon vergisi gibi regülatif baskılar altında olan liman işletmeleriyle doğrudan kurumsal iletişim kanalları üzerinden temas kurulması planlanmaktadır. Bu süreçte, projenin sunduğu operasyonel verimlilik ve çevresel uyum verileri teknik sunumlar aracılığıyla paydaşlara aktarılacaktır. Ayrıca denizcilik ve enerji sektöründeki uluslararası fuarlar ile akademik kongreler, konseptin tanıtılması ve potansiyel "B2B" iş birliklerinin temellerinin atılması için birer platform olarak kullanılacaktır. Yerel yönetimler ve liman otoriteleriyle kurulacak olan diyaloglarda ise atık yönetimi ve temiz enerji odaklı iş birliği modelleri önerilerek projenin toplumsal ve çevresel faydaları vurgulanacaktır. İncelenen Marport gibi stratejik noktalarla yapılacak görüşmeler, sahadan gerçek verilerin toplanması ve tasarımın sektör ihtiyaçlarına göre optimize edilmesi açısından kritik bir erişim kanalı olarak değerlendirilmektedir.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CACF27F" id="Dikdörtgen 14" o:spid="_x0000_s1046" style="position:absolute;left:0;text-align:left;margin-left:0;margin-top:30.35pt;width:462pt;height:237pt;z-index:251678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U18FgIAAEgEAAAOAAAAZHJzL2Uyb0RvYy54bWysVNuOGjEMfa/Uf4jyXmagsAsjhlW1lKrS&#10;qou07QeYTIaJlFvjAMPf1wkU2LZSparzEOzEOT4+sZk/9EazvQyonK35cFByJq1wjbLbmn/7uno3&#10;5Qwj2Aa0s7LmR4n8YfH2zfzgKzlyndONDIxALFYHX/MuRl8VBYpOGsCB89LSYeuCgUhu2BZNgAOh&#10;G12MyvKuOLjQ+OCERKTd5emQLzJ+20oRn9sWZWS65sQt5jXkdZPWYjGHahvAd0qcacA/sDCgLCW9&#10;QC0hAtsF9RuUUSI4dG0cCGcK17ZKyFwDVTMsf6nmpQMvcy0kDvqLTPj/YMWX/YtfB5Lh4LFCMlMV&#10;fRtM+iV+rM9iHS9iyT4yQZuT6d39uCRNBZ29L8vZjBzCKa7XfcD4STrDklHzQK+RRYL9E8ZT6M+Q&#10;lA2dVs1KaZ2dsN086sD2QC+3yt8Z/VWYtuxQ89lkNCEiQA3UaohkGt/UHO0253t1A2+By/z9CTgR&#10;WwJ2JwIZIYVBZVSkjtXK1Hx6uQ1VJ6H5aBsWj57a3FKz88QMDWda0miQka9HUPrvcSSitqTl9VGS&#10;FftNzxQVNspKp62Na47rwNCLlSLGT4BxDYFaeEjpqa0p8fcdBCKjP1vqm9lwnKSK2RlP7tMDhtuT&#10;ze0JWNE5mhZS9GQ+xjw7SQfrPuyia1V+yCuVM2lq19wK59FK83Dr56jrH8DiBwAAAP//AwBQSwME&#10;FAAGAAgAAAAhAKsRjk3cAAAABwEAAA8AAABkcnMvZG93bnJldi54bWxMj81OwzAQhO9IvIO1SFwQ&#10;dWhL04ZsKojEkUqkPIAbL0mEf6LY+eHtWU5w3JnRzLf5cbFGTDSEzjuEh1UCglztdecahI/z6/0e&#10;RIjKaWW8I4RvCnAsrq9ylWk/u3eaqtgILnEhUwhtjH0mZahbsiqsfE+OvU8/WBX5HBqpBzVzuTVy&#10;nSQ7aVXneKFVPZUt1V/VaBHOYdOVZKo0TFP19lKOd3ZWJ8Tbm+X5CUSkJf6F4Ref0aFgposfnQ7C&#10;IPAjEWGXpCDYPay3LFwQHjfbFGSRy//8xQ8AAAD//wMAUEsBAi0AFAAGAAgAAAAhALaDOJL+AAAA&#10;4QEAABMAAAAAAAAAAAAAAAAAAAAAAFtDb250ZW50X1R5cGVzXS54bWxQSwECLQAUAAYACAAAACEA&#10;OP0h/9YAAACUAQAACwAAAAAAAAAAAAAAAAAvAQAAX3JlbHMvLnJlbHNQSwECLQAUAAYACAAAACEA&#10;9jVNfBYCAABIBAAADgAAAAAAAAAAAAAAAAAuAgAAZHJzL2Uyb0RvYy54bWxQSwECLQAUAAYACAAA&#10;ACEAqxGOTdwAAAAHAQAADwAAAAAAAAAAAAAAAABwBAAAZHJzL2Rvd25yZXYueG1sUEsFBgAAAAAE&#10;AAQA8wAAAHkFAAAAAA==&#10;">
                <v:stroke startarrowwidth="narrow" startarrowlength="short" endarrowwidth="narrow" endarrowlength="short"/>
                <v:textbox inset="2.53958mm,1.2694mm,2.53958mm,1.2694mm">
                  <w:txbxContent>
                    <w:p w14:paraId="543322BC" w14:textId="4AA21AAF" w:rsidR="00D511E5" w:rsidRDefault="004F5A7C" w:rsidP="004F5A7C">
                      <w:pPr>
                        <w:jc w:val="both"/>
                        <w:textDirection w:val="btLr"/>
                      </w:pPr>
                      <w:r w:rsidRPr="004F5A7C">
                        <w:t>Müşteriye erişim stratejimiz, projenin kavramsal aşamada olması nedeniyle teknik diyalog ve akademik temelli ağ kurma süreçleri üzerine kurgulanmıştır. İlk aşamada, emisyon kısıtlamaları ve karbon vergisi gibi regülatif baskılar altında olan liman işletmeleriyle doğrudan kurumsal iletişim kanalları üzerinden temas kurulması planlanmaktadır. Bu süreçte, projenin sunduğu operasyonel verimlilik ve çevresel uyum verileri teknik sunumlar aracılığıyla paydaşlara aktarılacaktır. Ayrıca denizcilik ve enerji sektöründeki uluslararası fuarlar ile akademik kongreler, konseptin tanıtılması ve potansiyel "B2B" iş birliklerinin temellerinin atılması için birer platform olarak kullanılacaktır. Yerel yönetimler ve liman otoriteleriyle kurulacak olan diyaloglarda ise atık yönetimi ve temiz enerji odaklı iş birliği modelleri önerilerek projenin toplumsal ve çevresel faydaları vurgulanacaktır. İncelenen Marport gibi stratejik noktalarla yapılacak görüşmeler, sahadan gerçek verilerin toplanması ve tasarımın sektör ihtiyaçlarına göre optimize edilmesi açısından kritik bir erişim kanalı olarak değerlendirilmektedir.</w:t>
                      </w:r>
                    </w:p>
                  </w:txbxContent>
                </v:textbox>
                <w10:wrap type="square" anchorx="margin"/>
              </v:rect>
            </w:pict>
          </mc:Fallback>
        </mc:AlternateContent>
      </w:r>
      <w:r>
        <w:rPr>
          <w:rFonts w:ascii="Times New Roman" w:eastAsia="Times New Roman" w:hAnsi="Times New Roman" w:cs="Times New Roman"/>
          <w:sz w:val="24"/>
          <w:szCs w:val="24"/>
        </w:rPr>
        <w:t>Müşteriye Erişim Stratejisi</w:t>
      </w:r>
    </w:p>
    <w:p w14:paraId="457A3B34" w14:textId="65C4A67B" w:rsidR="00D511E5" w:rsidRDefault="00D511E5" w:rsidP="004F5A7C">
      <w:pPr>
        <w:pBdr>
          <w:top w:val="nil"/>
          <w:left w:val="nil"/>
          <w:bottom w:val="nil"/>
          <w:right w:val="nil"/>
          <w:between w:val="nil"/>
        </w:pBdr>
        <w:rPr>
          <w:rFonts w:ascii="Times New Roman" w:eastAsia="Times New Roman" w:hAnsi="Times New Roman" w:cs="Times New Roman"/>
          <w:color w:val="000000"/>
          <w:sz w:val="24"/>
          <w:szCs w:val="24"/>
        </w:rPr>
        <w:sectPr w:rsidR="00D511E5">
          <w:pgSz w:w="11910" w:h="16840"/>
          <w:pgMar w:top="1320" w:right="1275" w:bottom="1100" w:left="1275" w:header="0" w:footer="916" w:gutter="0"/>
          <w:cols w:space="708"/>
        </w:sectPr>
      </w:pPr>
    </w:p>
    <w:p w14:paraId="7D3E24E3" w14:textId="77777777" w:rsidR="00D511E5" w:rsidRDefault="00000000">
      <w:pPr>
        <w:pStyle w:val="Balk2"/>
        <w:numPr>
          <w:ilvl w:val="1"/>
          <w:numId w:val="2"/>
        </w:numPr>
        <w:tabs>
          <w:tab w:val="left" w:pos="2277"/>
        </w:tabs>
        <w:spacing w:before="72"/>
        <w:ind w:left="2277" w:hanging="576"/>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Kritik İş Adımları</w:t>
      </w:r>
    </w:p>
    <w:p w14:paraId="04A4D2BD" w14:textId="77777777" w:rsidR="00D511E5" w:rsidRDefault="00D511E5" w:rsidP="00307C9D">
      <w:pPr>
        <w:pBdr>
          <w:top w:val="nil"/>
          <w:left w:val="nil"/>
          <w:bottom w:val="nil"/>
          <w:right w:val="nil"/>
          <w:between w:val="nil"/>
        </w:pBdr>
        <w:spacing w:before="3" w:after="1"/>
        <w:rPr>
          <w:rFonts w:ascii="Times New Roman" w:eastAsia="Times New Roman" w:hAnsi="Times New Roman" w:cs="Times New Roman"/>
          <w:i/>
          <w:iCs/>
          <w:color w:val="000000"/>
          <w:sz w:val="24"/>
          <w:szCs w:val="24"/>
        </w:rPr>
      </w:pPr>
    </w:p>
    <w:tbl>
      <w:tblPr>
        <w:tblStyle w:val="a0"/>
        <w:tblW w:w="9064"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20"/>
        <w:gridCol w:w="3022"/>
        <w:gridCol w:w="3022"/>
      </w:tblGrid>
      <w:tr w:rsidR="00D511E5" w14:paraId="3B42A03F" w14:textId="77777777">
        <w:trPr>
          <w:trHeight w:val="205"/>
        </w:trPr>
        <w:tc>
          <w:tcPr>
            <w:tcW w:w="3020" w:type="dxa"/>
          </w:tcPr>
          <w:p w14:paraId="4235548F" w14:textId="77777777" w:rsidR="00D511E5" w:rsidRDefault="00000000">
            <w:pPr>
              <w:pBdr>
                <w:top w:val="nil"/>
                <w:left w:val="nil"/>
                <w:bottom w:val="nil"/>
                <w:right w:val="nil"/>
                <w:between w:val="nil"/>
              </w:pBdr>
              <w:spacing w:line="186" w:lineRule="auto"/>
              <w:ind w:left="11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İş Tanımı</w:t>
            </w:r>
          </w:p>
        </w:tc>
        <w:tc>
          <w:tcPr>
            <w:tcW w:w="3022" w:type="dxa"/>
          </w:tcPr>
          <w:p w14:paraId="12F9B8C2" w14:textId="77777777" w:rsidR="00D511E5" w:rsidRDefault="00000000">
            <w:pPr>
              <w:pBdr>
                <w:top w:val="nil"/>
                <w:left w:val="nil"/>
                <w:bottom w:val="nil"/>
                <w:right w:val="nil"/>
                <w:between w:val="nil"/>
              </w:pBdr>
              <w:spacing w:line="186" w:lineRule="auto"/>
              <w:ind w:left="10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Öngörülen Gerçekleşme Tarihi</w:t>
            </w:r>
          </w:p>
        </w:tc>
        <w:tc>
          <w:tcPr>
            <w:tcW w:w="3022" w:type="dxa"/>
          </w:tcPr>
          <w:p w14:paraId="1131B6E8" w14:textId="77777777" w:rsidR="00D511E5" w:rsidRDefault="00000000">
            <w:pPr>
              <w:pBdr>
                <w:top w:val="nil"/>
                <w:left w:val="nil"/>
                <w:bottom w:val="nil"/>
                <w:right w:val="nil"/>
                <w:between w:val="nil"/>
              </w:pBdr>
              <w:spacing w:line="186" w:lineRule="auto"/>
              <w:ind w:left="10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Doğrulanabilir Başarım Ölçütleri</w:t>
            </w:r>
          </w:p>
        </w:tc>
      </w:tr>
      <w:tr w:rsidR="00D511E5" w14:paraId="352767BE" w14:textId="77777777">
        <w:trPr>
          <w:trHeight w:val="206"/>
        </w:trPr>
        <w:tc>
          <w:tcPr>
            <w:tcW w:w="3020" w:type="dxa"/>
          </w:tcPr>
          <w:p w14:paraId="060A730C" w14:textId="1CAD6D40" w:rsidR="00D511E5" w:rsidRDefault="00307C9D">
            <w:pPr>
              <w:pBdr>
                <w:top w:val="nil"/>
                <w:left w:val="nil"/>
                <w:bottom w:val="nil"/>
                <w:right w:val="nil"/>
                <w:between w:val="nil"/>
              </w:pBdr>
              <w:rPr>
                <w:rFonts w:ascii="Times New Roman" w:eastAsia="Times New Roman" w:hAnsi="Times New Roman" w:cs="Times New Roman"/>
                <w:color w:val="000000"/>
                <w:sz w:val="24"/>
                <w:szCs w:val="24"/>
              </w:rPr>
            </w:pPr>
            <w:r w:rsidRPr="00307C9D">
              <w:rPr>
                <w:rFonts w:ascii="Times New Roman" w:eastAsia="Times New Roman" w:hAnsi="Times New Roman" w:cs="Times New Roman"/>
                <w:color w:val="000000"/>
                <w:sz w:val="24"/>
                <w:szCs w:val="24"/>
              </w:rPr>
              <w:t>Kavramsal Tasarım ve Simülasyon Optimizasyonu</w:t>
            </w:r>
          </w:p>
        </w:tc>
        <w:tc>
          <w:tcPr>
            <w:tcW w:w="3022" w:type="dxa"/>
          </w:tcPr>
          <w:p w14:paraId="59EC44E3" w14:textId="11FEE9DD" w:rsidR="00D511E5" w:rsidRDefault="00307C9D">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Ocak 2027</w:t>
            </w:r>
          </w:p>
        </w:tc>
        <w:tc>
          <w:tcPr>
            <w:tcW w:w="3022" w:type="dxa"/>
          </w:tcPr>
          <w:p w14:paraId="581B94C6" w14:textId="0A99C739" w:rsidR="00D511E5" w:rsidRDefault="00307C9D">
            <w:pPr>
              <w:pBdr>
                <w:top w:val="nil"/>
                <w:left w:val="nil"/>
                <w:bottom w:val="nil"/>
                <w:right w:val="nil"/>
                <w:between w:val="nil"/>
              </w:pBdr>
              <w:rPr>
                <w:rFonts w:ascii="Times New Roman" w:eastAsia="Times New Roman" w:hAnsi="Times New Roman" w:cs="Times New Roman"/>
                <w:color w:val="000000"/>
                <w:sz w:val="24"/>
                <w:szCs w:val="24"/>
              </w:rPr>
            </w:pPr>
            <w:r w:rsidRPr="00307C9D">
              <w:rPr>
                <w:rFonts w:ascii="Times New Roman" w:eastAsia="Times New Roman" w:hAnsi="Times New Roman" w:cs="Times New Roman"/>
                <w:color w:val="000000"/>
                <w:sz w:val="24"/>
                <w:szCs w:val="24"/>
              </w:rPr>
              <w:t>Entegre sistemin kararlı durum ve kaza senaryolarını içeren teknik tasarım raporu.</w:t>
            </w:r>
          </w:p>
        </w:tc>
      </w:tr>
      <w:tr w:rsidR="00D511E5" w14:paraId="42864F21" w14:textId="77777777">
        <w:trPr>
          <w:trHeight w:val="208"/>
        </w:trPr>
        <w:tc>
          <w:tcPr>
            <w:tcW w:w="3020" w:type="dxa"/>
          </w:tcPr>
          <w:p w14:paraId="43C3A882" w14:textId="1919B4DC" w:rsidR="00D511E5" w:rsidRDefault="00307C9D">
            <w:pPr>
              <w:pBdr>
                <w:top w:val="nil"/>
                <w:left w:val="nil"/>
                <w:bottom w:val="nil"/>
                <w:right w:val="nil"/>
                <w:between w:val="nil"/>
              </w:pBdr>
              <w:rPr>
                <w:rFonts w:ascii="Times New Roman" w:eastAsia="Times New Roman" w:hAnsi="Times New Roman" w:cs="Times New Roman"/>
                <w:color w:val="000000"/>
                <w:sz w:val="24"/>
                <w:szCs w:val="24"/>
              </w:rPr>
            </w:pPr>
            <w:r w:rsidRPr="00307C9D">
              <w:rPr>
                <w:rFonts w:ascii="Times New Roman" w:eastAsia="Times New Roman" w:hAnsi="Times New Roman" w:cs="Times New Roman"/>
                <w:color w:val="000000"/>
                <w:sz w:val="24"/>
                <w:szCs w:val="24"/>
              </w:rPr>
              <w:t>Fikri Mülkiyet ve Patent Başvuruları</w:t>
            </w:r>
          </w:p>
        </w:tc>
        <w:tc>
          <w:tcPr>
            <w:tcW w:w="3022" w:type="dxa"/>
          </w:tcPr>
          <w:p w14:paraId="44245DD1" w14:textId="0FA9AD2D" w:rsidR="00D511E5" w:rsidRDefault="00307C9D">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Ocak 2028</w:t>
            </w:r>
          </w:p>
        </w:tc>
        <w:tc>
          <w:tcPr>
            <w:tcW w:w="3022" w:type="dxa"/>
          </w:tcPr>
          <w:p w14:paraId="422FE58E" w14:textId="109C5307" w:rsidR="00D511E5" w:rsidRDefault="00307C9D">
            <w:pPr>
              <w:pBdr>
                <w:top w:val="nil"/>
                <w:left w:val="nil"/>
                <w:bottom w:val="nil"/>
                <w:right w:val="nil"/>
                <w:between w:val="nil"/>
              </w:pBdr>
              <w:rPr>
                <w:rFonts w:ascii="Times New Roman" w:eastAsia="Times New Roman" w:hAnsi="Times New Roman" w:cs="Times New Roman"/>
                <w:color w:val="000000"/>
                <w:sz w:val="24"/>
                <w:szCs w:val="24"/>
              </w:rPr>
            </w:pPr>
            <w:r w:rsidRPr="00307C9D">
              <w:rPr>
                <w:rFonts w:ascii="Times New Roman" w:eastAsia="Times New Roman" w:hAnsi="Times New Roman" w:cs="Times New Roman"/>
                <w:color w:val="000000"/>
                <w:sz w:val="24"/>
                <w:szCs w:val="24"/>
              </w:rPr>
              <w:t>Resmi patent başvuru numaraları ve fikri mülkiyet dosyası.</w:t>
            </w:r>
          </w:p>
        </w:tc>
      </w:tr>
      <w:tr w:rsidR="00D511E5" w14:paraId="13A27074" w14:textId="77777777">
        <w:trPr>
          <w:trHeight w:val="205"/>
        </w:trPr>
        <w:tc>
          <w:tcPr>
            <w:tcW w:w="3020" w:type="dxa"/>
          </w:tcPr>
          <w:p w14:paraId="359676F6" w14:textId="089EAF58" w:rsidR="00D511E5" w:rsidRDefault="00307C9D">
            <w:pPr>
              <w:pBdr>
                <w:top w:val="nil"/>
                <w:left w:val="nil"/>
                <w:bottom w:val="nil"/>
                <w:right w:val="nil"/>
                <w:between w:val="nil"/>
              </w:pBdr>
              <w:rPr>
                <w:rFonts w:ascii="Times New Roman" w:eastAsia="Times New Roman" w:hAnsi="Times New Roman" w:cs="Times New Roman"/>
                <w:color w:val="000000"/>
                <w:sz w:val="24"/>
                <w:szCs w:val="24"/>
              </w:rPr>
            </w:pPr>
            <w:r w:rsidRPr="00307C9D">
              <w:rPr>
                <w:rFonts w:ascii="Times New Roman" w:eastAsia="Times New Roman" w:hAnsi="Times New Roman" w:cs="Times New Roman"/>
                <w:color w:val="000000"/>
                <w:sz w:val="24"/>
                <w:szCs w:val="24"/>
              </w:rPr>
              <w:t>Malzeme Bariyer Testleri</w:t>
            </w:r>
          </w:p>
        </w:tc>
        <w:tc>
          <w:tcPr>
            <w:tcW w:w="3022" w:type="dxa"/>
          </w:tcPr>
          <w:p w14:paraId="685E8A44" w14:textId="4F0370C7" w:rsidR="00D511E5" w:rsidRDefault="00307C9D">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Ocak 2029</w:t>
            </w:r>
          </w:p>
        </w:tc>
        <w:tc>
          <w:tcPr>
            <w:tcW w:w="3022" w:type="dxa"/>
          </w:tcPr>
          <w:p w14:paraId="0DEB36D0" w14:textId="14B4F77A" w:rsidR="00D511E5" w:rsidRDefault="00307C9D">
            <w:pPr>
              <w:pBdr>
                <w:top w:val="nil"/>
                <w:left w:val="nil"/>
                <w:bottom w:val="nil"/>
                <w:right w:val="nil"/>
                <w:between w:val="nil"/>
              </w:pBdr>
              <w:rPr>
                <w:rFonts w:ascii="Times New Roman" w:eastAsia="Times New Roman" w:hAnsi="Times New Roman" w:cs="Times New Roman"/>
                <w:color w:val="000000"/>
                <w:sz w:val="24"/>
                <w:szCs w:val="24"/>
              </w:rPr>
            </w:pPr>
            <w:r w:rsidRPr="00307C9D">
              <w:rPr>
                <w:rFonts w:ascii="Times New Roman" w:eastAsia="Times New Roman" w:hAnsi="Times New Roman" w:cs="Times New Roman"/>
                <w:color w:val="000000"/>
                <w:sz w:val="24"/>
                <w:szCs w:val="24"/>
              </w:rPr>
              <w:t>Laboratuvar test verileri, mikroyapı analizleri ve difüzyon katsayısı raporları.</w:t>
            </w:r>
          </w:p>
        </w:tc>
      </w:tr>
      <w:tr w:rsidR="00D511E5" w14:paraId="44FE13DF" w14:textId="77777777">
        <w:trPr>
          <w:trHeight w:val="208"/>
        </w:trPr>
        <w:tc>
          <w:tcPr>
            <w:tcW w:w="3020" w:type="dxa"/>
          </w:tcPr>
          <w:p w14:paraId="59C0D008" w14:textId="53F9EC9B" w:rsidR="00D511E5" w:rsidRDefault="00307C9D">
            <w:pPr>
              <w:pBdr>
                <w:top w:val="nil"/>
                <w:left w:val="nil"/>
                <w:bottom w:val="nil"/>
                <w:right w:val="nil"/>
                <w:between w:val="nil"/>
              </w:pBdr>
              <w:rPr>
                <w:rFonts w:ascii="Times New Roman" w:eastAsia="Times New Roman" w:hAnsi="Times New Roman" w:cs="Times New Roman"/>
                <w:color w:val="000000"/>
                <w:sz w:val="24"/>
                <w:szCs w:val="24"/>
              </w:rPr>
            </w:pPr>
            <w:r w:rsidRPr="00307C9D">
              <w:rPr>
                <w:rFonts w:ascii="Times New Roman" w:eastAsia="Times New Roman" w:hAnsi="Times New Roman" w:cs="Times New Roman"/>
                <w:color w:val="000000"/>
                <w:sz w:val="24"/>
                <w:szCs w:val="24"/>
              </w:rPr>
              <w:t>Isıl Entegrasyon Prototipi</w:t>
            </w:r>
          </w:p>
        </w:tc>
        <w:tc>
          <w:tcPr>
            <w:tcW w:w="3022" w:type="dxa"/>
          </w:tcPr>
          <w:p w14:paraId="54F99E18" w14:textId="4C0D3D58" w:rsidR="00D511E5" w:rsidRDefault="00307C9D">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Ocak 2030</w:t>
            </w:r>
          </w:p>
        </w:tc>
        <w:tc>
          <w:tcPr>
            <w:tcW w:w="3022" w:type="dxa"/>
          </w:tcPr>
          <w:p w14:paraId="0732DABC" w14:textId="39012903" w:rsidR="00D511E5" w:rsidRDefault="00307C9D">
            <w:pPr>
              <w:pBdr>
                <w:top w:val="nil"/>
                <w:left w:val="nil"/>
                <w:bottom w:val="nil"/>
                <w:right w:val="nil"/>
                <w:between w:val="nil"/>
              </w:pBdr>
              <w:rPr>
                <w:rFonts w:ascii="Times New Roman" w:eastAsia="Times New Roman" w:hAnsi="Times New Roman" w:cs="Times New Roman"/>
                <w:color w:val="000000"/>
                <w:sz w:val="24"/>
                <w:szCs w:val="24"/>
              </w:rPr>
            </w:pPr>
            <w:r w:rsidRPr="00307C9D">
              <w:rPr>
                <w:rFonts w:ascii="Times New Roman" w:eastAsia="Times New Roman" w:hAnsi="Times New Roman" w:cs="Times New Roman"/>
                <w:color w:val="000000"/>
                <w:sz w:val="24"/>
                <w:szCs w:val="24"/>
              </w:rPr>
              <w:t>Isıl verim ve sistem kararlılığını kanıtlayan prototip çalışma raporu.</w:t>
            </w:r>
          </w:p>
        </w:tc>
      </w:tr>
      <w:tr w:rsidR="00D511E5" w14:paraId="123F09AE" w14:textId="77777777">
        <w:trPr>
          <w:trHeight w:val="205"/>
        </w:trPr>
        <w:tc>
          <w:tcPr>
            <w:tcW w:w="3020" w:type="dxa"/>
          </w:tcPr>
          <w:p w14:paraId="624D26FB" w14:textId="4048E8D6" w:rsidR="00D511E5" w:rsidRDefault="00307C9D">
            <w:pPr>
              <w:pBdr>
                <w:top w:val="nil"/>
                <w:left w:val="nil"/>
                <w:bottom w:val="nil"/>
                <w:right w:val="nil"/>
                <w:between w:val="nil"/>
              </w:pBdr>
              <w:rPr>
                <w:rFonts w:ascii="Times New Roman" w:eastAsia="Times New Roman" w:hAnsi="Times New Roman" w:cs="Times New Roman"/>
                <w:color w:val="000000"/>
                <w:sz w:val="24"/>
                <w:szCs w:val="24"/>
              </w:rPr>
            </w:pPr>
            <w:r w:rsidRPr="00307C9D">
              <w:rPr>
                <w:rFonts w:ascii="Times New Roman" w:eastAsia="Times New Roman" w:hAnsi="Times New Roman" w:cs="Times New Roman"/>
                <w:color w:val="000000"/>
                <w:sz w:val="24"/>
                <w:szCs w:val="24"/>
              </w:rPr>
              <w:t>Stratejik İş Birliği ve Saha Fizibilitesi</w:t>
            </w:r>
          </w:p>
        </w:tc>
        <w:tc>
          <w:tcPr>
            <w:tcW w:w="3022" w:type="dxa"/>
          </w:tcPr>
          <w:p w14:paraId="44DD4446" w14:textId="5EEF6537" w:rsidR="00D511E5" w:rsidRDefault="00307C9D">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Ocak 2031</w:t>
            </w:r>
          </w:p>
        </w:tc>
        <w:tc>
          <w:tcPr>
            <w:tcW w:w="3022" w:type="dxa"/>
          </w:tcPr>
          <w:p w14:paraId="77910A24" w14:textId="7D575175" w:rsidR="00D511E5" w:rsidRDefault="00307C9D">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t>
            </w:r>
            <w:r w:rsidRPr="00307C9D">
              <w:rPr>
                <w:rFonts w:ascii="Times New Roman" w:eastAsia="Times New Roman" w:hAnsi="Times New Roman" w:cs="Times New Roman"/>
                <w:color w:val="000000"/>
                <w:sz w:val="24"/>
                <w:szCs w:val="24"/>
              </w:rPr>
              <w:t>ahaya özel teknik fizibilite raporları.</w:t>
            </w:r>
          </w:p>
        </w:tc>
      </w:tr>
      <w:tr w:rsidR="00D511E5" w14:paraId="061E747E" w14:textId="77777777">
        <w:trPr>
          <w:trHeight w:val="205"/>
        </w:trPr>
        <w:tc>
          <w:tcPr>
            <w:tcW w:w="3020" w:type="dxa"/>
          </w:tcPr>
          <w:p w14:paraId="176322C4" w14:textId="7803CBB5" w:rsidR="00D511E5" w:rsidRDefault="00307C9D">
            <w:pPr>
              <w:pBdr>
                <w:top w:val="nil"/>
                <w:left w:val="nil"/>
                <w:bottom w:val="nil"/>
                <w:right w:val="nil"/>
                <w:between w:val="nil"/>
              </w:pBdr>
              <w:rPr>
                <w:rFonts w:ascii="Times New Roman" w:eastAsia="Times New Roman" w:hAnsi="Times New Roman" w:cs="Times New Roman"/>
                <w:color w:val="000000"/>
                <w:sz w:val="24"/>
                <w:szCs w:val="24"/>
              </w:rPr>
            </w:pPr>
            <w:r w:rsidRPr="00307C9D">
              <w:rPr>
                <w:rFonts w:ascii="Times New Roman" w:eastAsia="Times New Roman" w:hAnsi="Times New Roman" w:cs="Times New Roman"/>
                <w:color w:val="000000"/>
                <w:sz w:val="24"/>
                <w:szCs w:val="24"/>
              </w:rPr>
              <w:t>Ticari Lansman ve Tasarım Lisanslama</w:t>
            </w:r>
          </w:p>
        </w:tc>
        <w:tc>
          <w:tcPr>
            <w:tcW w:w="3022" w:type="dxa"/>
          </w:tcPr>
          <w:p w14:paraId="513988C7" w14:textId="32040671" w:rsidR="00D511E5" w:rsidRDefault="00307C9D">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Ocak 2032</w:t>
            </w:r>
          </w:p>
        </w:tc>
        <w:tc>
          <w:tcPr>
            <w:tcW w:w="3022" w:type="dxa"/>
          </w:tcPr>
          <w:p w14:paraId="27411063" w14:textId="358FD222" w:rsidR="00D511E5" w:rsidRDefault="00307C9D">
            <w:pPr>
              <w:pBdr>
                <w:top w:val="nil"/>
                <w:left w:val="nil"/>
                <w:bottom w:val="nil"/>
                <w:right w:val="nil"/>
                <w:between w:val="nil"/>
              </w:pBdr>
              <w:rPr>
                <w:rFonts w:ascii="Times New Roman" w:eastAsia="Times New Roman" w:hAnsi="Times New Roman" w:cs="Times New Roman"/>
                <w:color w:val="000000"/>
                <w:sz w:val="24"/>
                <w:szCs w:val="24"/>
              </w:rPr>
            </w:pPr>
            <w:r w:rsidRPr="00307C9D">
              <w:rPr>
                <w:rFonts w:ascii="Times New Roman" w:eastAsia="Times New Roman" w:hAnsi="Times New Roman" w:cs="Times New Roman"/>
                <w:color w:val="000000"/>
                <w:sz w:val="24"/>
                <w:szCs w:val="24"/>
              </w:rPr>
              <w:t>İlk ticari satış sözleşmesi veya lisanslama anlaşması.</w:t>
            </w:r>
          </w:p>
        </w:tc>
      </w:tr>
    </w:tbl>
    <w:p w14:paraId="2001E606" w14:textId="77777777" w:rsidR="00D511E5" w:rsidRDefault="00D511E5">
      <w:pPr>
        <w:pBdr>
          <w:top w:val="nil"/>
          <w:left w:val="nil"/>
          <w:bottom w:val="nil"/>
          <w:right w:val="nil"/>
          <w:between w:val="nil"/>
        </w:pBdr>
        <w:rPr>
          <w:rFonts w:ascii="Times New Roman" w:eastAsia="Times New Roman" w:hAnsi="Times New Roman" w:cs="Times New Roman"/>
          <w:color w:val="000000"/>
          <w:sz w:val="24"/>
          <w:szCs w:val="24"/>
        </w:rPr>
        <w:sectPr w:rsidR="00D511E5">
          <w:pgSz w:w="11910" w:h="16840"/>
          <w:pgMar w:top="1320" w:right="1275" w:bottom="1100" w:left="1275" w:header="0" w:footer="916" w:gutter="0"/>
          <w:cols w:space="708"/>
        </w:sectPr>
      </w:pPr>
    </w:p>
    <w:p w14:paraId="08ABBEC1" w14:textId="46F4C27C" w:rsidR="00D511E5" w:rsidRPr="003265A9" w:rsidRDefault="00000000" w:rsidP="003265A9">
      <w:pPr>
        <w:pStyle w:val="Balk2"/>
        <w:numPr>
          <w:ilvl w:val="1"/>
          <w:numId w:val="2"/>
        </w:numPr>
        <w:tabs>
          <w:tab w:val="left" w:pos="2277"/>
        </w:tabs>
        <w:spacing w:before="72"/>
        <w:ind w:left="2277" w:hanging="576"/>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BaşaBaş Noktası Analiz</w:t>
      </w:r>
      <w:r w:rsidR="003265A9">
        <w:rPr>
          <w:rFonts w:ascii="Times New Roman" w:eastAsia="Times New Roman" w:hAnsi="Times New Roman" w:cs="Times New Roman"/>
          <w:sz w:val="24"/>
          <w:szCs w:val="24"/>
        </w:rPr>
        <w:t>i</w:t>
      </w:r>
    </w:p>
    <w:p w14:paraId="3FC1AB35" w14:textId="100F959A" w:rsidR="00D511E5" w:rsidRDefault="00000000">
      <w:pPr>
        <w:ind w:left="141"/>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Tablo 4.4</w:t>
      </w:r>
      <w:r w:rsidR="00701BCC">
        <w:rPr>
          <w:rFonts w:ascii="Times New Roman" w:eastAsia="Times New Roman" w:hAnsi="Times New Roman" w:cs="Times New Roman"/>
          <w:b/>
          <w:bCs/>
          <w:i/>
          <w:iCs/>
          <w:sz w:val="24"/>
          <w:szCs w:val="24"/>
        </w:rPr>
        <w:t>.</w:t>
      </w:r>
      <w:r>
        <w:rPr>
          <w:rFonts w:ascii="Times New Roman" w:eastAsia="Times New Roman" w:hAnsi="Times New Roman" w:cs="Times New Roman"/>
          <w:b/>
          <w:bCs/>
          <w:i/>
          <w:iCs/>
          <w:sz w:val="24"/>
          <w:szCs w:val="24"/>
        </w:rPr>
        <w:t>1 Gelirler</w:t>
      </w:r>
    </w:p>
    <w:p w14:paraId="03D1F9D5" w14:textId="77777777" w:rsidR="00D511E5" w:rsidRDefault="00D511E5">
      <w:pPr>
        <w:pBdr>
          <w:top w:val="nil"/>
          <w:left w:val="nil"/>
          <w:bottom w:val="nil"/>
          <w:right w:val="nil"/>
          <w:between w:val="nil"/>
        </w:pBdr>
        <w:spacing w:before="4"/>
        <w:rPr>
          <w:rFonts w:ascii="Times New Roman" w:eastAsia="Times New Roman" w:hAnsi="Times New Roman" w:cs="Times New Roman"/>
          <w:b/>
          <w:bCs/>
          <w:i/>
          <w:iCs/>
          <w:color w:val="000000"/>
          <w:sz w:val="24"/>
          <w:szCs w:val="24"/>
        </w:rPr>
      </w:pPr>
    </w:p>
    <w:tbl>
      <w:tblPr>
        <w:tblStyle w:val="a1"/>
        <w:tblW w:w="9064"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2"/>
        <w:gridCol w:w="4532"/>
      </w:tblGrid>
      <w:tr w:rsidR="00D511E5" w14:paraId="32D4BFC8" w14:textId="77777777">
        <w:trPr>
          <w:trHeight w:val="681"/>
        </w:trPr>
        <w:tc>
          <w:tcPr>
            <w:tcW w:w="4532" w:type="dxa"/>
          </w:tcPr>
          <w:p w14:paraId="296A113C" w14:textId="71DCF8EA" w:rsidR="00D511E5" w:rsidRDefault="00000000">
            <w:pPr>
              <w:pBdr>
                <w:top w:val="nil"/>
                <w:left w:val="nil"/>
                <w:bottom w:val="nil"/>
                <w:right w:val="nil"/>
                <w:between w:val="nil"/>
              </w:pBdr>
              <w:ind w:left="110" w:right="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Satılan ürün adedi</w:t>
            </w:r>
          </w:p>
        </w:tc>
        <w:tc>
          <w:tcPr>
            <w:tcW w:w="4532" w:type="dxa"/>
          </w:tcPr>
          <w:p w14:paraId="6523EEC1" w14:textId="77777777" w:rsidR="00D511E5" w:rsidRDefault="00D511E5">
            <w:pPr>
              <w:pBdr>
                <w:top w:val="nil"/>
                <w:left w:val="nil"/>
                <w:bottom w:val="nil"/>
                <w:right w:val="nil"/>
                <w:between w:val="nil"/>
              </w:pBdr>
              <w:spacing w:before="118"/>
              <w:rPr>
                <w:rFonts w:ascii="Times New Roman" w:eastAsia="Times New Roman" w:hAnsi="Times New Roman" w:cs="Times New Roman"/>
                <w:b/>
                <w:bCs/>
                <w:i/>
                <w:iCs/>
                <w:color w:val="000000"/>
                <w:sz w:val="24"/>
                <w:szCs w:val="24"/>
              </w:rPr>
            </w:pPr>
          </w:p>
          <w:p w14:paraId="2E8B58A7" w14:textId="779850F5" w:rsidR="00D511E5" w:rsidRDefault="00AD1BB3">
            <w:pPr>
              <w:pBdr>
                <w:top w:val="nil"/>
                <w:left w:val="nil"/>
                <w:bottom w:val="nil"/>
                <w:right w:val="nil"/>
                <w:between w:val="nil"/>
              </w:pBdr>
              <w:ind w:left="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237,920 MWh</w:t>
            </w:r>
          </w:p>
        </w:tc>
      </w:tr>
      <w:tr w:rsidR="00D511E5" w14:paraId="391FBF10" w14:textId="77777777">
        <w:trPr>
          <w:trHeight w:val="678"/>
        </w:trPr>
        <w:tc>
          <w:tcPr>
            <w:tcW w:w="4532" w:type="dxa"/>
          </w:tcPr>
          <w:p w14:paraId="26CE2F94" w14:textId="307C84CC" w:rsidR="00D511E5" w:rsidRDefault="00000000">
            <w:pPr>
              <w:pBdr>
                <w:top w:val="nil"/>
                <w:left w:val="nil"/>
                <w:bottom w:val="nil"/>
                <w:right w:val="nil"/>
                <w:between w:val="nil"/>
              </w:pBdr>
              <w:ind w:left="110" w:right="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Birim satış fiyatı</w:t>
            </w:r>
          </w:p>
        </w:tc>
        <w:tc>
          <w:tcPr>
            <w:tcW w:w="4532" w:type="dxa"/>
          </w:tcPr>
          <w:p w14:paraId="4F040506" w14:textId="77777777" w:rsidR="00D511E5" w:rsidRDefault="00D511E5">
            <w:pPr>
              <w:pBdr>
                <w:top w:val="nil"/>
                <w:left w:val="nil"/>
                <w:bottom w:val="nil"/>
                <w:right w:val="nil"/>
                <w:between w:val="nil"/>
              </w:pBdr>
              <w:spacing w:before="115"/>
              <w:rPr>
                <w:rFonts w:ascii="Times New Roman" w:eastAsia="Times New Roman" w:hAnsi="Times New Roman" w:cs="Times New Roman"/>
                <w:b/>
                <w:bCs/>
                <w:i/>
                <w:iCs/>
                <w:color w:val="000000"/>
                <w:sz w:val="24"/>
                <w:szCs w:val="24"/>
              </w:rPr>
            </w:pPr>
          </w:p>
          <w:p w14:paraId="6841A339" w14:textId="4E65144D" w:rsidR="00D511E5" w:rsidRDefault="00AD1BB3">
            <w:pPr>
              <w:pBdr>
                <w:top w:val="nil"/>
                <w:left w:val="nil"/>
                <w:bottom w:val="nil"/>
                <w:right w:val="nil"/>
                <w:between w:val="nil"/>
              </w:pBdr>
              <w:spacing w:before="1"/>
              <w:ind w:left="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151.</w:t>
            </w:r>
            <w:r w:rsidR="004A6C6B">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xml:space="preserve"> USD</w:t>
            </w:r>
            <w:r w:rsidR="00AC57A1">
              <w:rPr>
                <w:rFonts w:ascii="Times New Roman" w:eastAsia="Times New Roman" w:hAnsi="Times New Roman" w:cs="Times New Roman"/>
                <w:color w:val="000000"/>
                <w:sz w:val="24"/>
                <w:szCs w:val="24"/>
              </w:rPr>
              <w:t>/MWh</w:t>
            </w:r>
          </w:p>
        </w:tc>
      </w:tr>
      <w:tr w:rsidR="00D511E5" w14:paraId="1806650D" w14:textId="77777777">
        <w:trPr>
          <w:trHeight w:val="681"/>
        </w:trPr>
        <w:tc>
          <w:tcPr>
            <w:tcW w:w="4532" w:type="dxa"/>
          </w:tcPr>
          <w:p w14:paraId="11F19E3C" w14:textId="6295D28C" w:rsidR="00D511E5" w:rsidRDefault="00000000">
            <w:pPr>
              <w:pBdr>
                <w:top w:val="nil"/>
                <w:left w:val="nil"/>
                <w:bottom w:val="nil"/>
                <w:right w:val="nil"/>
                <w:between w:val="nil"/>
              </w:pBdr>
              <w:ind w:left="110" w:right="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Satış gelirleri</w:t>
            </w:r>
          </w:p>
        </w:tc>
        <w:tc>
          <w:tcPr>
            <w:tcW w:w="4532" w:type="dxa"/>
          </w:tcPr>
          <w:p w14:paraId="7D5019F7" w14:textId="77777777" w:rsidR="00D511E5" w:rsidRDefault="00D511E5">
            <w:pPr>
              <w:pBdr>
                <w:top w:val="nil"/>
                <w:left w:val="nil"/>
                <w:bottom w:val="nil"/>
                <w:right w:val="nil"/>
                <w:between w:val="nil"/>
              </w:pBdr>
              <w:spacing w:before="118"/>
              <w:rPr>
                <w:rFonts w:ascii="Times New Roman" w:eastAsia="Times New Roman" w:hAnsi="Times New Roman" w:cs="Times New Roman"/>
                <w:b/>
                <w:bCs/>
                <w:i/>
                <w:iCs/>
                <w:color w:val="000000"/>
                <w:sz w:val="24"/>
                <w:szCs w:val="24"/>
              </w:rPr>
            </w:pPr>
          </w:p>
          <w:p w14:paraId="05012573" w14:textId="21056965" w:rsidR="00D511E5" w:rsidRDefault="00AD1BB3">
            <w:pPr>
              <w:pBdr>
                <w:top w:val="nil"/>
                <w:left w:val="nil"/>
                <w:bottom w:val="nil"/>
                <w:right w:val="nil"/>
                <w:between w:val="nil"/>
              </w:pBdr>
              <w:ind w:left="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USD 36,000,000.00</w:t>
            </w:r>
          </w:p>
        </w:tc>
      </w:tr>
      <w:tr w:rsidR="00D511E5" w14:paraId="3718E261" w14:textId="77777777">
        <w:trPr>
          <w:trHeight w:val="679"/>
        </w:trPr>
        <w:tc>
          <w:tcPr>
            <w:tcW w:w="4532" w:type="dxa"/>
          </w:tcPr>
          <w:p w14:paraId="485F6702" w14:textId="28BB3F4B" w:rsidR="00D511E5" w:rsidRDefault="00000000">
            <w:pPr>
              <w:pBdr>
                <w:top w:val="nil"/>
                <w:left w:val="nil"/>
                <w:bottom w:val="nil"/>
                <w:right w:val="nil"/>
                <w:between w:val="nil"/>
              </w:pBdr>
              <w:ind w:left="110" w:right="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Diğer gelirler</w:t>
            </w:r>
          </w:p>
        </w:tc>
        <w:tc>
          <w:tcPr>
            <w:tcW w:w="4532" w:type="dxa"/>
          </w:tcPr>
          <w:p w14:paraId="0EFF95EA" w14:textId="77777777" w:rsidR="00D511E5" w:rsidRDefault="00D511E5">
            <w:pPr>
              <w:pBdr>
                <w:top w:val="nil"/>
                <w:left w:val="nil"/>
                <w:bottom w:val="nil"/>
                <w:right w:val="nil"/>
                <w:between w:val="nil"/>
              </w:pBdr>
              <w:spacing w:before="115"/>
              <w:rPr>
                <w:rFonts w:ascii="Times New Roman" w:eastAsia="Times New Roman" w:hAnsi="Times New Roman" w:cs="Times New Roman"/>
                <w:b/>
                <w:bCs/>
                <w:i/>
                <w:iCs/>
                <w:color w:val="000000"/>
                <w:sz w:val="24"/>
                <w:szCs w:val="24"/>
              </w:rPr>
            </w:pPr>
          </w:p>
          <w:p w14:paraId="7E26F1D8" w14:textId="49D351BD" w:rsidR="00D511E5" w:rsidRDefault="005A1B74" w:rsidP="00AD1BB3">
            <w:pPr>
              <w:pBdr>
                <w:top w:val="nil"/>
                <w:left w:val="nil"/>
                <w:bottom w:val="nil"/>
                <w:right w:val="nil"/>
                <w:between w:val="nil"/>
              </w:pBdr>
              <w:spacing w:befor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AD1BB3">
              <w:rPr>
                <w:rFonts w:ascii="Times New Roman" w:eastAsia="Times New Roman" w:hAnsi="Times New Roman" w:cs="Times New Roman"/>
                <w:color w:val="000000"/>
                <w:sz w:val="24"/>
                <w:szCs w:val="24"/>
              </w:rPr>
              <w:t>USD 64,000,000.00</w:t>
            </w:r>
          </w:p>
        </w:tc>
      </w:tr>
      <w:tr w:rsidR="00D511E5" w14:paraId="5B62E891" w14:textId="77777777">
        <w:trPr>
          <w:trHeight w:val="681"/>
        </w:trPr>
        <w:tc>
          <w:tcPr>
            <w:tcW w:w="4532" w:type="dxa"/>
          </w:tcPr>
          <w:p w14:paraId="50B18744" w14:textId="3E9CBCDB" w:rsidR="00D511E5" w:rsidRDefault="00000000">
            <w:pPr>
              <w:pBdr>
                <w:top w:val="nil"/>
                <w:left w:val="nil"/>
                <w:bottom w:val="nil"/>
                <w:right w:val="nil"/>
                <w:between w:val="nil"/>
              </w:pBdr>
              <w:ind w:left="110" w:right="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Toplam gelirler</w:t>
            </w:r>
          </w:p>
        </w:tc>
        <w:tc>
          <w:tcPr>
            <w:tcW w:w="4532" w:type="dxa"/>
          </w:tcPr>
          <w:p w14:paraId="459F2859" w14:textId="77777777" w:rsidR="00D511E5" w:rsidRDefault="00D511E5">
            <w:pPr>
              <w:pBdr>
                <w:top w:val="nil"/>
                <w:left w:val="nil"/>
                <w:bottom w:val="nil"/>
                <w:right w:val="nil"/>
                <w:between w:val="nil"/>
              </w:pBdr>
              <w:spacing w:before="117"/>
              <w:rPr>
                <w:rFonts w:ascii="Times New Roman" w:eastAsia="Times New Roman" w:hAnsi="Times New Roman" w:cs="Times New Roman"/>
                <w:b/>
                <w:bCs/>
                <w:i/>
                <w:iCs/>
                <w:color w:val="000000"/>
                <w:sz w:val="24"/>
                <w:szCs w:val="24"/>
              </w:rPr>
            </w:pPr>
          </w:p>
          <w:p w14:paraId="05DBC6B6" w14:textId="51B34FA3" w:rsidR="00D511E5" w:rsidRDefault="00AD1BB3">
            <w:pPr>
              <w:pBdr>
                <w:top w:val="nil"/>
                <w:left w:val="nil"/>
                <w:bottom w:val="nil"/>
                <w:right w:val="nil"/>
                <w:between w:val="nil"/>
              </w:pBdr>
              <w:ind w:left="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USD 100,000,000.00</w:t>
            </w:r>
          </w:p>
        </w:tc>
      </w:tr>
    </w:tbl>
    <w:p w14:paraId="7C80E235" w14:textId="117E2AE8" w:rsidR="00D511E5" w:rsidRDefault="00000000">
      <w:pPr>
        <w:spacing w:before="207"/>
        <w:ind w:left="141"/>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Tablo 4.4</w:t>
      </w:r>
      <w:r w:rsidR="00701BCC">
        <w:rPr>
          <w:rFonts w:ascii="Times New Roman" w:eastAsia="Times New Roman" w:hAnsi="Times New Roman" w:cs="Times New Roman"/>
          <w:b/>
          <w:bCs/>
          <w:i/>
          <w:iCs/>
          <w:sz w:val="24"/>
          <w:szCs w:val="24"/>
        </w:rPr>
        <w:t>.</w:t>
      </w:r>
      <w:r>
        <w:rPr>
          <w:rFonts w:ascii="Times New Roman" w:eastAsia="Times New Roman" w:hAnsi="Times New Roman" w:cs="Times New Roman"/>
          <w:b/>
          <w:bCs/>
          <w:i/>
          <w:iCs/>
          <w:sz w:val="24"/>
          <w:szCs w:val="24"/>
        </w:rPr>
        <w:t>2 Değişken maliyetler</w:t>
      </w:r>
    </w:p>
    <w:p w14:paraId="7772FBCB" w14:textId="77777777" w:rsidR="00D511E5" w:rsidRDefault="00D511E5">
      <w:pPr>
        <w:pBdr>
          <w:top w:val="nil"/>
          <w:left w:val="nil"/>
          <w:bottom w:val="nil"/>
          <w:right w:val="nil"/>
          <w:between w:val="nil"/>
        </w:pBdr>
        <w:spacing w:before="6"/>
        <w:rPr>
          <w:rFonts w:ascii="Times New Roman" w:eastAsia="Times New Roman" w:hAnsi="Times New Roman" w:cs="Times New Roman"/>
          <w:b/>
          <w:bCs/>
          <w:i/>
          <w:iCs/>
          <w:color w:val="000000"/>
          <w:sz w:val="24"/>
          <w:szCs w:val="24"/>
        </w:rPr>
      </w:pPr>
    </w:p>
    <w:tbl>
      <w:tblPr>
        <w:tblStyle w:val="a2"/>
        <w:tblW w:w="9064"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2"/>
        <w:gridCol w:w="4532"/>
      </w:tblGrid>
      <w:tr w:rsidR="00D511E5" w14:paraId="1B8BF265" w14:textId="77777777">
        <w:trPr>
          <w:trHeight w:val="678"/>
        </w:trPr>
        <w:tc>
          <w:tcPr>
            <w:tcW w:w="4532" w:type="dxa"/>
          </w:tcPr>
          <w:p w14:paraId="1132945C" w14:textId="6800D1E9" w:rsidR="00D511E5" w:rsidRDefault="00000000">
            <w:pPr>
              <w:pBdr>
                <w:top w:val="nil"/>
                <w:left w:val="nil"/>
                <w:bottom w:val="nil"/>
                <w:right w:val="nil"/>
                <w:between w:val="nil"/>
              </w:pBdr>
              <w:ind w:left="110" w:right="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Personel maliyeti</w:t>
            </w:r>
          </w:p>
        </w:tc>
        <w:tc>
          <w:tcPr>
            <w:tcW w:w="4532" w:type="dxa"/>
          </w:tcPr>
          <w:p w14:paraId="5C723967" w14:textId="77777777" w:rsidR="00D511E5" w:rsidRDefault="00D511E5">
            <w:pPr>
              <w:pBdr>
                <w:top w:val="nil"/>
                <w:left w:val="nil"/>
                <w:bottom w:val="nil"/>
                <w:right w:val="nil"/>
                <w:between w:val="nil"/>
              </w:pBdr>
              <w:spacing w:before="115"/>
              <w:rPr>
                <w:rFonts w:ascii="Times New Roman" w:eastAsia="Times New Roman" w:hAnsi="Times New Roman" w:cs="Times New Roman"/>
                <w:b/>
                <w:bCs/>
                <w:i/>
                <w:iCs/>
                <w:color w:val="000000"/>
                <w:sz w:val="24"/>
                <w:szCs w:val="24"/>
              </w:rPr>
            </w:pPr>
          </w:p>
          <w:p w14:paraId="25111629" w14:textId="6DF1A8DB" w:rsidR="00D511E5" w:rsidRDefault="005A1B74">
            <w:pPr>
              <w:pBdr>
                <w:top w:val="nil"/>
                <w:left w:val="nil"/>
                <w:bottom w:val="nil"/>
                <w:right w:val="nil"/>
                <w:between w:val="nil"/>
              </w:pBdr>
              <w:ind w:left="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D511E5" w14:paraId="73192F42" w14:textId="77777777">
        <w:trPr>
          <w:trHeight w:val="681"/>
        </w:trPr>
        <w:tc>
          <w:tcPr>
            <w:tcW w:w="4532" w:type="dxa"/>
          </w:tcPr>
          <w:p w14:paraId="62DEDBD0" w14:textId="605CF4A6" w:rsidR="00D511E5" w:rsidRDefault="00000000">
            <w:pPr>
              <w:pBdr>
                <w:top w:val="nil"/>
                <w:left w:val="nil"/>
                <w:bottom w:val="nil"/>
                <w:right w:val="nil"/>
                <w:between w:val="nil"/>
              </w:pBdr>
              <w:ind w:left="110" w:right="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Malzeme maliyeti</w:t>
            </w:r>
          </w:p>
        </w:tc>
        <w:tc>
          <w:tcPr>
            <w:tcW w:w="4532" w:type="dxa"/>
          </w:tcPr>
          <w:p w14:paraId="1AA3B393" w14:textId="77777777" w:rsidR="00D511E5" w:rsidRDefault="00D511E5">
            <w:pPr>
              <w:pBdr>
                <w:top w:val="nil"/>
                <w:left w:val="nil"/>
                <w:bottom w:val="nil"/>
                <w:right w:val="nil"/>
                <w:between w:val="nil"/>
              </w:pBdr>
              <w:spacing w:before="117"/>
              <w:rPr>
                <w:rFonts w:ascii="Times New Roman" w:eastAsia="Times New Roman" w:hAnsi="Times New Roman" w:cs="Times New Roman"/>
                <w:b/>
                <w:bCs/>
                <w:i/>
                <w:iCs/>
                <w:color w:val="000000"/>
                <w:sz w:val="24"/>
                <w:szCs w:val="24"/>
              </w:rPr>
            </w:pPr>
          </w:p>
          <w:p w14:paraId="152CCF4B" w14:textId="62185B20" w:rsidR="00D511E5" w:rsidRDefault="005A1B74">
            <w:pPr>
              <w:pBdr>
                <w:top w:val="nil"/>
                <w:left w:val="nil"/>
                <w:bottom w:val="nil"/>
                <w:right w:val="nil"/>
                <w:between w:val="nil"/>
              </w:pBdr>
              <w:ind w:left="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D511E5" w14:paraId="5D9B768F" w14:textId="77777777">
        <w:trPr>
          <w:trHeight w:val="678"/>
        </w:trPr>
        <w:tc>
          <w:tcPr>
            <w:tcW w:w="4532" w:type="dxa"/>
          </w:tcPr>
          <w:p w14:paraId="2836EDF7" w14:textId="7B14C8AA" w:rsidR="00D511E5" w:rsidRDefault="00000000">
            <w:pPr>
              <w:pBdr>
                <w:top w:val="nil"/>
                <w:left w:val="nil"/>
                <w:bottom w:val="nil"/>
                <w:right w:val="nil"/>
                <w:between w:val="nil"/>
              </w:pBdr>
              <w:ind w:left="110" w:right="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Enerji maliyeti</w:t>
            </w:r>
          </w:p>
        </w:tc>
        <w:tc>
          <w:tcPr>
            <w:tcW w:w="4532" w:type="dxa"/>
          </w:tcPr>
          <w:p w14:paraId="5E53E14A" w14:textId="77777777" w:rsidR="00D511E5" w:rsidRDefault="00D511E5">
            <w:pPr>
              <w:pBdr>
                <w:top w:val="nil"/>
                <w:left w:val="nil"/>
                <w:bottom w:val="nil"/>
                <w:right w:val="nil"/>
                <w:between w:val="nil"/>
              </w:pBdr>
              <w:spacing w:before="115"/>
              <w:rPr>
                <w:rFonts w:ascii="Times New Roman" w:eastAsia="Times New Roman" w:hAnsi="Times New Roman" w:cs="Times New Roman"/>
                <w:b/>
                <w:bCs/>
                <w:i/>
                <w:iCs/>
                <w:color w:val="000000"/>
                <w:sz w:val="24"/>
                <w:szCs w:val="24"/>
              </w:rPr>
            </w:pPr>
          </w:p>
          <w:p w14:paraId="52F6B570" w14:textId="6872C27A" w:rsidR="00D511E5" w:rsidRDefault="005A1B74">
            <w:pPr>
              <w:pBdr>
                <w:top w:val="nil"/>
                <w:left w:val="nil"/>
                <w:bottom w:val="nil"/>
                <w:right w:val="nil"/>
                <w:between w:val="nil"/>
              </w:pBdr>
              <w:ind w:left="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D511E5" w14:paraId="013190A4" w14:textId="77777777">
        <w:trPr>
          <w:trHeight w:val="681"/>
        </w:trPr>
        <w:tc>
          <w:tcPr>
            <w:tcW w:w="4532" w:type="dxa"/>
          </w:tcPr>
          <w:p w14:paraId="302022DE" w14:textId="2CB5950E" w:rsidR="00D511E5" w:rsidRDefault="00000000">
            <w:pPr>
              <w:pBdr>
                <w:top w:val="nil"/>
                <w:left w:val="nil"/>
                <w:bottom w:val="nil"/>
                <w:right w:val="nil"/>
                <w:between w:val="nil"/>
              </w:pBdr>
              <w:spacing w:line="242" w:lineRule="auto"/>
              <w:ind w:left="110" w:right="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Dağıtım maliyeti</w:t>
            </w:r>
          </w:p>
        </w:tc>
        <w:tc>
          <w:tcPr>
            <w:tcW w:w="4532" w:type="dxa"/>
          </w:tcPr>
          <w:p w14:paraId="5BE66D19" w14:textId="77777777" w:rsidR="00D511E5" w:rsidRDefault="00D511E5">
            <w:pPr>
              <w:pBdr>
                <w:top w:val="nil"/>
                <w:left w:val="nil"/>
                <w:bottom w:val="nil"/>
                <w:right w:val="nil"/>
                <w:between w:val="nil"/>
              </w:pBdr>
              <w:spacing w:before="120"/>
              <w:rPr>
                <w:rFonts w:ascii="Times New Roman" w:eastAsia="Times New Roman" w:hAnsi="Times New Roman" w:cs="Times New Roman"/>
                <w:b/>
                <w:bCs/>
                <w:i/>
                <w:iCs/>
                <w:color w:val="000000"/>
                <w:sz w:val="24"/>
                <w:szCs w:val="24"/>
              </w:rPr>
            </w:pPr>
          </w:p>
          <w:p w14:paraId="31F438BE" w14:textId="4630164C" w:rsidR="00D511E5" w:rsidRDefault="005A1B74">
            <w:pPr>
              <w:pBdr>
                <w:top w:val="nil"/>
                <w:left w:val="nil"/>
                <w:bottom w:val="nil"/>
                <w:right w:val="nil"/>
                <w:between w:val="nil"/>
              </w:pBdr>
              <w:ind w:left="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D511E5" w14:paraId="09911144" w14:textId="77777777">
        <w:trPr>
          <w:trHeight w:val="678"/>
        </w:trPr>
        <w:tc>
          <w:tcPr>
            <w:tcW w:w="4532" w:type="dxa"/>
          </w:tcPr>
          <w:p w14:paraId="65869F38" w14:textId="6A4BFAEA" w:rsidR="00D511E5" w:rsidRDefault="00000000">
            <w:pPr>
              <w:pBdr>
                <w:top w:val="nil"/>
                <w:left w:val="nil"/>
                <w:bottom w:val="nil"/>
                <w:right w:val="nil"/>
                <w:between w:val="nil"/>
              </w:pBdr>
              <w:ind w:left="110" w:right="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Diğer değişken maliyet</w:t>
            </w:r>
          </w:p>
        </w:tc>
        <w:tc>
          <w:tcPr>
            <w:tcW w:w="4532" w:type="dxa"/>
          </w:tcPr>
          <w:p w14:paraId="789717A9" w14:textId="77777777" w:rsidR="00D511E5" w:rsidRDefault="00D511E5">
            <w:pPr>
              <w:pBdr>
                <w:top w:val="nil"/>
                <w:left w:val="nil"/>
                <w:bottom w:val="nil"/>
                <w:right w:val="nil"/>
                <w:between w:val="nil"/>
              </w:pBdr>
              <w:spacing w:before="117"/>
              <w:rPr>
                <w:rFonts w:ascii="Times New Roman" w:eastAsia="Times New Roman" w:hAnsi="Times New Roman" w:cs="Times New Roman"/>
                <w:b/>
                <w:bCs/>
                <w:i/>
                <w:iCs/>
                <w:color w:val="000000"/>
                <w:sz w:val="24"/>
                <w:szCs w:val="24"/>
              </w:rPr>
            </w:pPr>
          </w:p>
          <w:p w14:paraId="57739E69" w14:textId="435CA23E" w:rsidR="00D511E5" w:rsidRDefault="005A1B74">
            <w:pPr>
              <w:pBdr>
                <w:top w:val="nil"/>
                <w:left w:val="nil"/>
                <w:bottom w:val="nil"/>
                <w:right w:val="nil"/>
                <w:between w:val="nil"/>
              </w:pBdr>
              <w:ind w:left="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D511E5" w14:paraId="3D03583A" w14:textId="77777777">
        <w:trPr>
          <w:trHeight w:val="681"/>
        </w:trPr>
        <w:tc>
          <w:tcPr>
            <w:tcW w:w="4532" w:type="dxa"/>
          </w:tcPr>
          <w:p w14:paraId="1D501F7E" w14:textId="65A05958" w:rsidR="00D511E5" w:rsidRDefault="00000000">
            <w:pPr>
              <w:pBdr>
                <w:top w:val="nil"/>
                <w:left w:val="nil"/>
                <w:bottom w:val="nil"/>
                <w:right w:val="nil"/>
                <w:between w:val="nil"/>
              </w:pBdr>
              <w:spacing w:line="244" w:lineRule="auto"/>
              <w:ind w:left="110" w:right="67"/>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Birim ürün maliyeti</w:t>
            </w:r>
          </w:p>
        </w:tc>
        <w:tc>
          <w:tcPr>
            <w:tcW w:w="4532" w:type="dxa"/>
          </w:tcPr>
          <w:p w14:paraId="25D4EAAF" w14:textId="77777777" w:rsidR="00D511E5" w:rsidRDefault="00D511E5">
            <w:pPr>
              <w:pBdr>
                <w:top w:val="nil"/>
                <w:left w:val="nil"/>
                <w:bottom w:val="nil"/>
                <w:right w:val="nil"/>
                <w:between w:val="nil"/>
              </w:pBdr>
              <w:spacing w:before="119"/>
              <w:rPr>
                <w:rFonts w:ascii="Times New Roman" w:eastAsia="Times New Roman" w:hAnsi="Times New Roman" w:cs="Times New Roman"/>
                <w:b/>
                <w:bCs/>
                <w:i/>
                <w:iCs/>
                <w:color w:val="000000"/>
                <w:sz w:val="24"/>
                <w:szCs w:val="24"/>
              </w:rPr>
            </w:pPr>
          </w:p>
          <w:p w14:paraId="743C011B" w14:textId="53AC48AC" w:rsidR="00D511E5" w:rsidRDefault="00AC57A1">
            <w:pPr>
              <w:pBdr>
                <w:top w:val="nil"/>
                <w:left w:val="nil"/>
                <w:bottom w:val="nil"/>
                <w:right w:val="nil"/>
                <w:between w:val="nil"/>
              </w:pBdr>
              <w:ind w:left="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r w:rsidR="004A6C6B">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xml:space="preserve"> USD/MWh</w:t>
            </w:r>
          </w:p>
        </w:tc>
      </w:tr>
    </w:tbl>
    <w:p w14:paraId="445C86CE" w14:textId="77777777" w:rsidR="00D511E5" w:rsidRDefault="00D511E5">
      <w:pPr>
        <w:pBdr>
          <w:top w:val="nil"/>
          <w:left w:val="nil"/>
          <w:bottom w:val="nil"/>
          <w:right w:val="nil"/>
          <w:between w:val="nil"/>
        </w:pBdr>
        <w:spacing w:before="1"/>
        <w:rPr>
          <w:rFonts w:ascii="Times New Roman" w:eastAsia="Times New Roman" w:hAnsi="Times New Roman" w:cs="Times New Roman"/>
          <w:b/>
          <w:bCs/>
          <w:i/>
          <w:iCs/>
          <w:color w:val="000000"/>
          <w:sz w:val="24"/>
          <w:szCs w:val="24"/>
        </w:rPr>
      </w:pPr>
    </w:p>
    <w:p w14:paraId="2CAC6F98" w14:textId="7B991348" w:rsidR="00D511E5" w:rsidRDefault="00000000">
      <w:pPr>
        <w:ind w:left="141"/>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Tablo 4.4</w:t>
      </w:r>
      <w:r w:rsidR="00701BCC">
        <w:rPr>
          <w:rFonts w:ascii="Times New Roman" w:eastAsia="Times New Roman" w:hAnsi="Times New Roman" w:cs="Times New Roman"/>
          <w:b/>
          <w:bCs/>
          <w:i/>
          <w:iCs/>
          <w:sz w:val="24"/>
          <w:szCs w:val="24"/>
        </w:rPr>
        <w:t>.</w:t>
      </w:r>
      <w:r>
        <w:rPr>
          <w:rFonts w:ascii="Times New Roman" w:eastAsia="Times New Roman" w:hAnsi="Times New Roman" w:cs="Times New Roman"/>
          <w:b/>
          <w:bCs/>
          <w:i/>
          <w:iCs/>
          <w:sz w:val="24"/>
          <w:szCs w:val="24"/>
        </w:rPr>
        <w:t>3 Sabit maliyetler</w:t>
      </w:r>
    </w:p>
    <w:p w14:paraId="6E41DD21" w14:textId="77777777" w:rsidR="00D511E5" w:rsidRDefault="00D511E5">
      <w:pPr>
        <w:pBdr>
          <w:top w:val="nil"/>
          <w:left w:val="nil"/>
          <w:bottom w:val="nil"/>
          <w:right w:val="nil"/>
          <w:between w:val="nil"/>
        </w:pBdr>
        <w:spacing w:before="6" w:after="1"/>
        <w:rPr>
          <w:rFonts w:ascii="Times New Roman" w:eastAsia="Times New Roman" w:hAnsi="Times New Roman" w:cs="Times New Roman"/>
          <w:b/>
          <w:bCs/>
          <w:i/>
          <w:iCs/>
          <w:color w:val="000000"/>
          <w:sz w:val="24"/>
          <w:szCs w:val="24"/>
        </w:rPr>
      </w:pPr>
    </w:p>
    <w:tbl>
      <w:tblPr>
        <w:tblStyle w:val="a3"/>
        <w:tblW w:w="9064"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2"/>
        <w:gridCol w:w="4532"/>
      </w:tblGrid>
      <w:tr w:rsidR="00D511E5" w14:paraId="328008E7" w14:textId="77777777">
        <w:trPr>
          <w:trHeight w:val="678"/>
        </w:trPr>
        <w:tc>
          <w:tcPr>
            <w:tcW w:w="4532" w:type="dxa"/>
          </w:tcPr>
          <w:p w14:paraId="6FCD1CB1" w14:textId="488AA54A" w:rsidR="00D511E5" w:rsidRDefault="00000000">
            <w:pPr>
              <w:pBdr>
                <w:top w:val="nil"/>
                <w:left w:val="nil"/>
                <w:bottom w:val="nil"/>
                <w:right w:val="nil"/>
                <w:between w:val="nil"/>
              </w:pBdr>
              <w:ind w:left="110" w:right="9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Makine ve teçhizat yatırımları</w:t>
            </w:r>
          </w:p>
        </w:tc>
        <w:tc>
          <w:tcPr>
            <w:tcW w:w="4532" w:type="dxa"/>
          </w:tcPr>
          <w:p w14:paraId="2AD2AD1C" w14:textId="77777777" w:rsidR="00D511E5" w:rsidRDefault="00D511E5">
            <w:pPr>
              <w:pBdr>
                <w:top w:val="nil"/>
                <w:left w:val="nil"/>
                <w:bottom w:val="nil"/>
                <w:right w:val="nil"/>
                <w:between w:val="nil"/>
              </w:pBdr>
              <w:spacing w:before="117"/>
              <w:rPr>
                <w:rFonts w:ascii="Times New Roman" w:eastAsia="Times New Roman" w:hAnsi="Times New Roman" w:cs="Times New Roman"/>
                <w:b/>
                <w:bCs/>
                <w:i/>
                <w:iCs/>
                <w:color w:val="000000"/>
                <w:sz w:val="24"/>
                <w:szCs w:val="24"/>
              </w:rPr>
            </w:pPr>
          </w:p>
          <w:p w14:paraId="6F47D9EB" w14:textId="0DB95E39" w:rsidR="00D511E5" w:rsidRDefault="005A1B74">
            <w:pPr>
              <w:pBdr>
                <w:top w:val="nil"/>
                <w:left w:val="nil"/>
                <w:bottom w:val="nil"/>
                <w:right w:val="nil"/>
                <w:between w:val="nil"/>
              </w:pBdr>
              <w:ind w:left="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D511E5" w14:paraId="45A2DEC7" w14:textId="77777777">
        <w:trPr>
          <w:trHeight w:val="681"/>
        </w:trPr>
        <w:tc>
          <w:tcPr>
            <w:tcW w:w="4532" w:type="dxa"/>
          </w:tcPr>
          <w:p w14:paraId="74E25B8F" w14:textId="6E9722D1" w:rsidR="00D511E5" w:rsidRDefault="00000000">
            <w:pPr>
              <w:pBdr>
                <w:top w:val="nil"/>
                <w:left w:val="nil"/>
                <w:bottom w:val="nil"/>
                <w:right w:val="nil"/>
                <w:between w:val="nil"/>
              </w:pBdr>
              <w:ind w:left="110" w:right="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Bina amortisman giderleri</w:t>
            </w:r>
          </w:p>
        </w:tc>
        <w:tc>
          <w:tcPr>
            <w:tcW w:w="4532" w:type="dxa"/>
          </w:tcPr>
          <w:p w14:paraId="2ADF6E64" w14:textId="77777777" w:rsidR="00D511E5" w:rsidRDefault="00D511E5">
            <w:pPr>
              <w:pBdr>
                <w:top w:val="nil"/>
                <w:left w:val="nil"/>
                <w:bottom w:val="nil"/>
                <w:right w:val="nil"/>
                <w:between w:val="nil"/>
              </w:pBdr>
              <w:spacing w:before="119"/>
              <w:rPr>
                <w:rFonts w:ascii="Times New Roman" w:eastAsia="Times New Roman" w:hAnsi="Times New Roman" w:cs="Times New Roman"/>
                <w:b/>
                <w:bCs/>
                <w:i/>
                <w:iCs/>
                <w:color w:val="000000"/>
                <w:sz w:val="24"/>
                <w:szCs w:val="24"/>
              </w:rPr>
            </w:pPr>
          </w:p>
          <w:p w14:paraId="589ACC77" w14:textId="2C816FE1" w:rsidR="00D511E5" w:rsidRDefault="005A1B74">
            <w:pPr>
              <w:pBdr>
                <w:top w:val="nil"/>
                <w:left w:val="nil"/>
                <w:bottom w:val="nil"/>
                <w:right w:val="nil"/>
                <w:between w:val="nil"/>
              </w:pBdr>
              <w:ind w:left="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D511E5" w14:paraId="646D9870" w14:textId="77777777">
        <w:trPr>
          <w:trHeight w:val="679"/>
        </w:trPr>
        <w:tc>
          <w:tcPr>
            <w:tcW w:w="4532" w:type="dxa"/>
          </w:tcPr>
          <w:p w14:paraId="14494134" w14:textId="51E524B9" w:rsidR="00D511E5" w:rsidRDefault="00000000">
            <w:pPr>
              <w:pBdr>
                <w:top w:val="nil"/>
                <w:left w:val="nil"/>
                <w:bottom w:val="nil"/>
                <w:right w:val="nil"/>
                <w:between w:val="nil"/>
              </w:pBdr>
              <w:ind w:left="110" w:right="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Kira giderleri</w:t>
            </w:r>
          </w:p>
        </w:tc>
        <w:tc>
          <w:tcPr>
            <w:tcW w:w="4532" w:type="dxa"/>
          </w:tcPr>
          <w:p w14:paraId="59571140" w14:textId="77777777" w:rsidR="00D511E5" w:rsidRDefault="00D511E5">
            <w:pPr>
              <w:pBdr>
                <w:top w:val="nil"/>
                <w:left w:val="nil"/>
                <w:bottom w:val="nil"/>
                <w:right w:val="nil"/>
                <w:between w:val="nil"/>
              </w:pBdr>
              <w:spacing w:before="116"/>
              <w:rPr>
                <w:rFonts w:ascii="Times New Roman" w:eastAsia="Times New Roman" w:hAnsi="Times New Roman" w:cs="Times New Roman"/>
                <w:b/>
                <w:bCs/>
                <w:i/>
                <w:iCs/>
                <w:color w:val="000000"/>
                <w:sz w:val="24"/>
                <w:szCs w:val="24"/>
              </w:rPr>
            </w:pPr>
          </w:p>
          <w:p w14:paraId="7C3DA847" w14:textId="197C747F" w:rsidR="00D511E5" w:rsidRDefault="005A1B74">
            <w:pPr>
              <w:pBdr>
                <w:top w:val="nil"/>
                <w:left w:val="nil"/>
                <w:bottom w:val="nil"/>
                <w:right w:val="nil"/>
                <w:between w:val="nil"/>
              </w:pBdr>
              <w:spacing w:before="1"/>
              <w:ind w:left="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D511E5" w14:paraId="6A0E5FFA" w14:textId="77777777">
        <w:trPr>
          <w:trHeight w:val="681"/>
        </w:trPr>
        <w:tc>
          <w:tcPr>
            <w:tcW w:w="4532" w:type="dxa"/>
          </w:tcPr>
          <w:p w14:paraId="5B7DE936" w14:textId="527D3025" w:rsidR="00D511E5" w:rsidRDefault="00000000">
            <w:pPr>
              <w:pBdr>
                <w:top w:val="nil"/>
                <w:left w:val="nil"/>
                <w:bottom w:val="nil"/>
                <w:right w:val="nil"/>
                <w:between w:val="nil"/>
              </w:pBdr>
              <w:ind w:left="110" w:right="1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Diğer sabit maliyetler</w:t>
            </w:r>
          </w:p>
        </w:tc>
        <w:tc>
          <w:tcPr>
            <w:tcW w:w="4532" w:type="dxa"/>
          </w:tcPr>
          <w:p w14:paraId="0868A55F" w14:textId="77777777" w:rsidR="00D511E5" w:rsidRDefault="00D511E5">
            <w:pPr>
              <w:pBdr>
                <w:top w:val="nil"/>
                <w:left w:val="nil"/>
                <w:bottom w:val="nil"/>
                <w:right w:val="nil"/>
                <w:between w:val="nil"/>
              </w:pBdr>
              <w:spacing w:before="119"/>
              <w:rPr>
                <w:rFonts w:ascii="Times New Roman" w:eastAsia="Times New Roman" w:hAnsi="Times New Roman" w:cs="Times New Roman"/>
                <w:b/>
                <w:bCs/>
                <w:i/>
                <w:iCs/>
                <w:color w:val="000000"/>
                <w:sz w:val="24"/>
                <w:szCs w:val="24"/>
              </w:rPr>
            </w:pPr>
          </w:p>
          <w:p w14:paraId="319CDE71" w14:textId="15BD7BD9" w:rsidR="00D511E5" w:rsidRDefault="005A1B74">
            <w:pPr>
              <w:pBdr>
                <w:top w:val="nil"/>
                <w:left w:val="nil"/>
                <w:bottom w:val="nil"/>
                <w:right w:val="nil"/>
                <w:between w:val="nil"/>
              </w:pBdr>
              <w:ind w:left="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D511E5" w14:paraId="0C332869" w14:textId="77777777">
        <w:trPr>
          <w:trHeight w:val="678"/>
        </w:trPr>
        <w:tc>
          <w:tcPr>
            <w:tcW w:w="4532" w:type="dxa"/>
          </w:tcPr>
          <w:p w14:paraId="4484EC3C" w14:textId="27ACD150" w:rsidR="00D511E5" w:rsidRDefault="00000000">
            <w:pPr>
              <w:pBdr>
                <w:top w:val="nil"/>
                <w:left w:val="nil"/>
                <w:bottom w:val="nil"/>
                <w:right w:val="nil"/>
                <w:between w:val="nil"/>
              </w:pBdr>
              <w:ind w:left="110" w:right="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Toplam sabit maliyet</w:t>
            </w:r>
          </w:p>
        </w:tc>
        <w:tc>
          <w:tcPr>
            <w:tcW w:w="4532" w:type="dxa"/>
          </w:tcPr>
          <w:p w14:paraId="3A67A1A6" w14:textId="77777777" w:rsidR="00D511E5" w:rsidRDefault="00D511E5">
            <w:pPr>
              <w:pBdr>
                <w:top w:val="nil"/>
                <w:left w:val="nil"/>
                <w:bottom w:val="nil"/>
                <w:right w:val="nil"/>
                <w:between w:val="nil"/>
              </w:pBdr>
              <w:spacing w:before="116"/>
              <w:rPr>
                <w:rFonts w:ascii="Times New Roman" w:eastAsia="Times New Roman" w:hAnsi="Times New Roman" w:cs="Times New Roman"/>
                <w:b/>
                <w:bCs/>
                <w:i/>
                <w:iCs/>
                <w:color w:val="000000"/>
                <w:sz w:val="24"/>
                <w:szCs w:val="24"/>
              </w:rPr>
            </w:pPr>
          </w:p>
          <w:p w14:paraId="34B12DB4" w14:textId="69B89A16" w:rsidR="00D511E5" w:rsidRDefault="005A1B74">
            <w:pPr>
              <w:pBdr>
                <w:top w:val="nil"/>
                <w:left w:val="nil"/>
                <w:bottom w:val="nil"/>
                <w:right w:val="nil"/>
                <w:between w:val="nil"/>
              </w:pBdr>
              <w:ind w:left="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bl>
    <w:p w14:paraId="21A20BB4" w14:textId="77777777" w:rsidR="00D511E5" w:rsidRDefault="00D511E5">
      <w:pPr>
        <w:pBdr>
          <w:top w:val="nil"/>
          <w:left w:val="nil"/>
          <w:bottom w:val="nil"/>
          <w:right w:val="nil"/>
          <w:between w:val="nil"/>
        </w:pBdr>
        <w:rPr>
          <w:rFonts w:ascii="Times New Roman" w:eastAsia="Times New Roman" w:hAnsi="Times New Roman" w:cs="Times New Roman"/>
          <w:color w:val="000000"/>
          <w:sz w:val="24"/>
          <w:szCs w:val="24"/>
        </w:rPr>
        <w:sectPr w:rsidR="00D511E5">
          <w:pgSz w:w="11910" w:h="16840"/>
          <w:pgMar w:top="1320" w:right="1275" w:bottom="1100" w:left="1275" w:header="0" w:footer="916" w:gutter="0"/>
          <w:cols w:space="708"/>
        </w:sectPr>
      </w:pPr>
    </w:p>
    <w:p w14:paraId="60A7BDC6" w14:textId="3E84D4C0" w:rsidR="00D511E5" w:rsidRDefault="00000000">
      <w:pPr>
        <w:spacing w:before="76"/>
        <w:ind w:left="14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Tablo 4.4</w:t>
      </w:r>
      <w:r w:rsidR="00701BCC">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4 Başabaş analizi</w:t>
      </w:r>
    </w:p>
    <w:p w14:paraId="1E28366A" w14:textId="77777777" w:rsidR="00D511E5" w:rsidRDefault="00D511E5">
      <w:pPr>
        <w:pBdr>
          <w:top w:val="nil"/>
          <w:left w:val="nil"/>
          <w:bottom w:val="nil"/>
          <w:right w:val="nil"/>
          <w:between w:val="nil"/>
        </w:pBdr>
        <w:spacing w:before="7"/>
        <w:rPr>
          <w:rFonts w:ascii="Times New Roman" w:eastAsia="Times New Roman" w:hAnsi="Times New Roman" w:cs="Times New Roman"/>
          <w:b/>
          <w:bCs/>
          <w:i/>
          <w:iCs/>
          <w:color w:val="000000"/>
          <w:sz w:val="24"/>
          <w:szCs w:val="24"/>
        </w:rPr>
      </w:pPr>
    </w:p>
    <w:tbl>
      <w:tblPr>
        <w:tblStyle w:val="a4"/>
        <w:tblW w:w="9064"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2"/>
        <w:gridCol w:w="4532"/>
      </w:tblGrid>
      <w:tr w:rsidR="00D511E5" w14:paraId="728C95D6" w14:textId="77777777">
        <w:trPr>
          <w:trHeight w:val="621"/>
        </w:trPr>
        <w:tc>
          <w:tcPr>
            <w:tcW w:w="4532" w:type="dxa"/>
          </w:tcPr>
          <w:p w14:paraId="07BC400D" w14:textId="3BF1CFEC" w:rsidR="00701BCC" w:rsidRDefault="00000000" w:rsidP="00701BCC">
            <w:pPr>
              <w:pBdr>
                <w:top w:val="nil"/>
                <w:left w:val="nil"/>
                <w:bottom w:val="nil"/>
                <w:right w:val="nil"/>
                <w:between w:val="nil"/>
              </w:pBdr>
              <w:tabs>
                <w:tab w:val="left" w:pos="771"/>
                <w:tab w:val="left" w:pos="1624"/>
                <w:tab w:val="left" w:pos="2501"/>
                <w:tab w:val="left" w:pos="3103"/>
                <w:tab w:val="left" w:pos="3812"/>
              </w:tabs>
              <w:ind w:left="110" w:right="9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Kar marjı</w:t>
            </w:r>
          </w:p>
          <w:p w14:paraId="5BF1E765" w14:textId="2BE6A3AF" w:rsidR="00D511E5" w:rsidRDefault="00D511E5">
            <w:pPr>
              <w:pBdr>
                <w:top w:val="nil"/>
                <w:left w:val="nil"/>
                <w:bottom w:val="nil"/>
                <w:right w:val="nil"/>
                <w:between w:val="nil"/>
              </w:pBdr>
              <w:spacing w:line="187" w:lineRule="auto"/>
              <w:ind w:left="110"/>
              <w:rPr>
                <w:rFonts w:ascii="Times New Roman" w:eastAsia="Times New Roman" w:hAnsi="Times New Roman" w:cs="Times New Roman"/>
                <w:color w:val="000000"/>
                <w:sz w:val="24"/>
                <w:szCs w:val="24"/>
              </w:rPr>
            </w:pPr>
          </w:p>
        </w:tc>
        <w:tc>
          <w:tcPr>
            <w:tcW w:w="4532" w:type="dxa"/>
          </w:tcPr>
          <w:p w14:paraId="6A470221" w14:textId="77777777" w:rsidR="00D511E5" w:rsidRDefault="00D511E5">
            <w:pPr>
              <w:pBdr>
                <w:top w:val="nil"/>
                <w:left w:val="nil"/>
                <w:bottom w:val="nil"/>
                <w:right w:val="nil"/>
                <w:between w:val="nil"/>
              </w:pBdr>
              <w:spacing w:before="58"/>
              <w:rPr>
                <w:rFonts w:ascii="Times New Roman" w:eastAsia="Times New Roman" w:hAnsi="Times New Roman" w:cs="Times New Roman"/>
                <w:b/>
                <w:bCs/>
                <w:i/>
                <w:iCs/>
                <w:color w:val="000000"/>
                <w:sz w:val="24"/>
                <w:szCs w:val="24"/>
              </w:rPr>
            </w:pPr>
          </w:p>
          <w:p w14:paraId="4129902B" w14:textId="3446200B" w:rsidR="00D511E5" w:rsidRDefault="00701BCC">
            <w:pPr>
              <w:pBdr>
                <w:top w:val="nil"/>
                <w:left w:val="nil"/>
                <w:bottom w:val="nil"/>
                <w:right w:val="nil"/>
                <w:between w:val="nil"/>
              </w:pBdr>
              <w:ind w:left="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USD 63,000,000.00</w:t>
            </w:r>
          </w:p>
        </w:tc>
      </w:tr>
      <w:tr w:rsidR="00D511E5" w14:paraId="193D3F78" w14:textId="77777777">
        <w:trPr>
          <w:trHeight w:val="621"/>
        </w:trPr>
        <w:tc>
          <w:tcPr>
            <w:tcW w:w="4532" w:type="dxa"/>
          </w:tcPr>
          <w:p w14:paraId="165D393E" w14:textId="087E136D" w:rsidR="00701BCC" w:rsidRDefault="00000000" w:rsidP="00701BCC">
            <w:pPr>
              <w:pBdr>
                <w:top w:val="nil"/>
                <w:left w:val="nil"/>
                <w:bottom w:val="nil"/>
                <w:right w:val="nil"/>
                <w:between w:val="nil"/>
              </w:pBdr>
              <w:spacing w:line="206"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Satılan ürün adedi olarak başa baş noktası</w:t>
            </w:r>
          </w:p>
          <w:p w14:paraId="1169B4CD" w14:textId="46C26E9F" w:rsidR="00D511E5" w:rsidRDefault="00D511E5">
            <w:pPr>
              <w:pBdr>
                <w:top w:val="nil"/>
                <w:left w:val="nil"/>
                <w:bottom w:val="nil"/>
                <w:right w:val="nil"/>
                <w:between w:val="nil"/>
              </w:pBdr>
              <w:spacing w:line="208" w:lineRule="auto"/>
              <w:ind w:left="110" w:right="67"/>
              <w:rPr>
                <w:rFonts w:ascii="Times New Roman" w:eastAsia="Times New Roman" w:hAnsi="Times New Roman" w:cs="Times New Roman"/>
                <w:color w:val="000000"/>
                <w:sz w:val="24"/>
                <w:szCs w:val="24"/>
              </w:rPr>
            </w:pPr>
          </w:p>
        </w:tc>
        <w:tc>
          <w:tcPr>
            <w:tcW w:w="4532" w:type="dxa"/>
          </w:tcPr>
          <w:p w14:paraId="1F49D592" w14:textId="77777777" w:rsidR="00D511E5" w:rsidRDefault="00D511E5">
            <w:pPr>
              <w:pBdr>
                <w:top w:val="nil"/>
                <w:left w:val="nil"/>
                <w:bottom w:val="nil"/>
                <w:right w:val="nil"/>
                <w:between w:val="nil"/>
              </w:pBdr>
              <w:spacing w:before="58"/>
              <w:rPr>
                <w:rFonts w:ascii="Times New Roman" w:eastAsia="Times New Roman" w:hAnsi="Times New Roman" w:cs="Times New Roman"/>
                <w:b/>
                <w:bCs/>
                <w:i/>
                <w:iCs/>
                <w:color w:val="000000"/>
                <w:sz w:val="24"/>
                <w:szCs w:val="24"/>
              </w:rPr>
            </w:pPr>
          </w:p>
          <w:p w14:paraId="6E93053F" w14:textId="691EAEFD" w:rsidR="00D511E5" w:rsidRDefault="005A1B74">
            <w:pPr>
              <w:pBdr>
                <w:top w:val="nil"/>
                <w:left w:val="nil"/>
                <w:bottom w:val="nil"/>
                <w:right w:val="nil"/>
                <w:between w:val="nil"/>
              </w:pBdr>
              <w:ind w:left="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bl>
    <w:p w14:paraId="5DB8A28D" w14:textId="77777777" w:rsidR="00D511E5" w:rsidRDefault="00D511E5">
      <w:pPr>
        <w:pBdr>
          <w:top w:val="nil"/>
          <w:left w:val="nil"/>
          <w:bottom w:val="nil"/>
          <w:right w:val="nil"/>
          <w:between w:val="nil"/>
        </w:pBdr>
        <w:spacing w:before="34"/>
        <w:rPr>
          <w:rFonts w:ascii="Times New Roman" w:eastAsia="Times New Roman" w:hAnsi="Times New Roman" w:cs="Times New Roman"/>
          <w:b/>
          <w:bCs/>
          <w:i/>
          <w:iCs/>
          <w:color w:val="000000"/>
          <w:sz w:val="24"/>
          <w:szCs w:val="24"/>
        </w:rPr>
      </w:pPr>
    </w:p>
    <w:p w14:paraId="0F40F1C3" w14:textId="77777777" w:rsidR="00D511E5" w:rsidRDefault="00000000">
      <w:pPr>
        <w:pStyle w:val="Balk2"/>
        <w:numPr>
          <w:ilvl w:val="1"/>
          <w:numId w:val="2"/>
        </w:numPr>
        <w:tabs>
          <w:tab w:val="left" w:pos="707"/>
        </w:tabs>
        <w:ind w:hanging="566"/>
        <w:rPr>
          <w:rFonts w:ascii="Times New Roman" w:eastAsia="Times New Roman" w:hAnsi="Times New Roman" w:cs="Times New Roman"/>
          <w:sz w:val="24"/>
          <w:szCs w:val="24"/>
        </w:rPr>
      </w:pPr>
      <w:r>
        <w:rPr>
          <w:rFonts w:ascii="Times New Roman" w:eastAsia="Times New Roman" w:hAnsi="Times New Roman" w:cs="Times New Roman"/>
          <w:sz w:val="24"/>
          <w:szCs w:val="24"/>
        </w:rPr>
        <w:t>Yatırımcı İlişkileri</w:t>
      </w:r>
    </w:p>
    <w:p w14:paraId="6F51128F" w14:textId="77777777" w:rsidR="00D511E5" w:rsidRDefault="00D511E5" w:rsidP="003265A9">
      <w:pPr>
        <w:pBdr>
          <w:top w:val="nil"/>
          <w:left w:val="nil"/>
          <w:bottom w:val="nil"/>
          <w:right w:val="nil"/>
          <w:between w:val="nil"/>
        </w:pBdr>
        <w:rPr>
          <w:rFonts w:ascii="Times New Roman" w:eastAsia="Times New Roman" w:hAnsi="Times New Roman" w:cs="Times New Roman"/>
          <w:color w:val="000000"/>
          <w:sz w:val="24"/>
          <w:szCs w:val="24"/>
        </w:rPr>
      </w:pPr>
    </w:p>
    <w:p w14:paraId="1441E293" w14:textId="77777777" w:rsidR="00D511E5" w:rsidRDefault="00000000">
      <w:pPr>
        <w:pBdr>
          <w:top w:val="nil"/>
          <w:left w:val="nil"/>
          <w:bottom w:val="nil"/>
          <w:right w:val="nil"/>
          <w:between w:val="nil"/>
        </w:pBdr>
        <w:ind w:left="141"/>
        <w:rPr>
          <w:rFonts w:ascii="Times New Roman" w:eastAsia="Times New Roman" w:hAnsi="Times New Roman" w:cs="Times New Roman"/>
          <w:color w:val="000000"/>
          <w:sz w:val="24"/>
          <w:szCs w:val="24"/>
        </w:rPr>
        <w:sectPr w:rsidR="00D511E5">
          <w:pgSz w:w="11910" w:h="16840"/>
          <w:pgMar w:top="1320" w:right="1275" w:bottom="1100" w:left="1275" w:header="0" w:footer="916" w:gutter="0"/>
          <w:cols w:space="708"/>
        </w:sectPr>
      </w:pPr>
      <w:r>
        <w:rPr>
          <w:noProof/>
        </w:rPr>
        <mc:AlternateContent>
          <mc:Choice Requires="wps">
            <w:drawing>
              <wp:anchor distT="45720" distB="45720" distL="114300" distR="114300" simplePos="0" relativeHeight="251679744" behindDoc="0" locked="0" layoutInCell="1" hidden="0" allowOverlap="1" wp14:anchorId="5A155E66" wp14:editId="00D34FA4">
                <wp:simplePos x="0" y="0"/>
                <wp:positionH relativeFrom="column">
                  <wp:posOffset>-4761</wp:posOffset>
                </wp:positionH>
                <wp:positionV relativeFrom="paragraph">
                  <wp:posOffset>36514</wp:posOffset>
                </wp:positionV>
                <wp:extent cx="5876925" cy="1362075"/>
                <wp:effectExtent l="0" t="0" r="0" b="0"/>
                <wp:wrapSquare wrapText="bothSides" distT="45720" distB="45720" distL="114300" distR="114300"/>
                <wp:docPr id="8" name="Dikdörtgen 8"/>
                <wp:cNvGraphicFramePr/>
                <a:graphic xmlns:a="http://schemas.openxmlformats.org/drawingml/2006/main">
                  <a:graphicData uri="http://schemas.microsoft.com/office/word/2010/wordprocessingShape">
                    <wps:wsp>
                      <wps:cNvSpPr/>
                      <wps:spPr>
                        <a:xfrm>
                          <a:off x="2412300" y="3103725"/>
                          <a:ext cx="5867400" cy="13525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B142544" w14:textId="11699E8E" w:rsidR="00D511E5" w:rsidRDefault="00010690" w:rsidP="00010690">
                            <w:pPr>
                              <w:jc w:val="both"/>
                              <w:textDirection w:val="btLr"/>
                            </w:pPr>
                            <w:r w:rsidRPr="00010690">
                              <w:t>Yatırımcılarla olan ilişkilerimizde dürüstlükten ödün vermeden, projemizin toplumsal ve çevresel faydalarını ön planda tutan profesyonel bir yaklaşım sergilemeye kararlıyız.</w:t>
                            </w:r>
                          </w:p>
                        </w:txbxContent>
                      </wps:txbx>
                      <wps:bodyPr spcFirstLastPara="1" wrap="square" lIns="91425" tIns="45700" rIns="91425" bIns="45700" anchor="t" anchorCtr="0">
                        <a:noAutofit/>
                      </wps:bodyPr>
                    </wps:wsp>
                  </a:graphicData>
                </a:graphic>
              </wp:anchor>
            </w:drawing>
          </mc:Choice>
          <mc:Fallback>
            <w:pict>
              <v:rect w14:anchorId="5A155E66" id="Dikdörtgen 8" o:spid="_x0000_s1047" style="position:absolute;left:0;text-align:left;margin-left:-.35pt;margin-top:2.9pt;width:462.75pt;height:107.25pt;z-index:25167974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ENMJQIAAFQEAAAOAAAAZHJzL2Uyb0RvYy54bWysVNuO0zAQfUfiHyy/01za7Hajpiu0pQhp&#10;BZUWPmDqOI0l37DdJv17xm5pu4CEhMiDM47HZ87MnMnicVSSHLjzwuiGFpOcEq6ZaYXeNfTb1/W7&#10;OSU+gG5BGs0beuSePi7fvlkMtual6Y1suSMIon092Ib2Idg6yzzruQI/MZZrPOyMUxBw63ZZ62BA&#10;dCWzMs/vssG41jrDuPf4dXU6pMuE33WchS9d53kgsqHILaTVpXUb12y5gHrnwPaCnWnAP7BQIDQG&#10;vUCtIADZO/EblBLMGW+6MGFGZabrBOMpB8ymyH/J5qUHy1MuWBxvL2Xy/w+WfT682I3DMgzW1x7N&#10;mMXYORXfyI+MDS1nRTnNsXzHhk6LfHpfVqfC8TEQhg7V/O5+Fh0YehTTqqyqVNrsCmWdDx+5USQa&#10;DXXYmVQwODz7gOHR9adLjOyNFO1aSJk2brd9ko4cALu4Tk+Mj1deuUlNhoY+YHQkAiimTkJAU9m2&#10;oV7vUrxXN/wtcJ6ePwFHYivw/YlAQjjlr0RA9UqhGjq/3Ia659B+0C0JR4uS1yh8Gpl5RYnkOCZo&#10;JN0FEPLvfpim1JjttUHRCuN2JAITK4sIFj9tTXvcOOItWwtk/Aw+bMChnAsMjxLHwN/34JCM/KRR&#10;Qw/FLJYqpM2suo8NdLcn29sT0Kw3ODlY0ZP5FNIcxQZp834fTCdSI69UzqRRuqlZ5zGLs3G7T17X&#10;n8HyBwAAAP//AwBQSwMEFAAGAAgAAAAhAANmyeDaAAAABwEAAA8AAABkcnMvZG93bnJldi54bWxM&#10;js1OwzAQhO9IvIO1SFxQ65AChRCngkgcQSLlAbbxkkTE6yh2fnh7lhPcZjSjmS8/rK5XM42h82zg&#10;epuAIq697bgx8HF82dyDChHZYu+ZDHxTgENxfpZjZv3C7zRXsVEywiFDA22MQ6Z1qFtyGLZ+IJbs&#10;048Oo9ix0XbERcZdr9MkudMOO5aHFgcqW6q/qskZOIZdV1Jf7cM8V6/P5XTlFnwz5vJifXoEFWmN&#10;f2X4xRd0KITp5Ce2QfUGNnspGrgVfkkf0hsRJwNpmuxAF7n+z1/8AAAA//8DAFBLAQItABQABgAI&#10;AAAAIQC2gziS/gAAAOEBAAATAAAAAAAAAAAAAAAAAAAAAABbQ29udGVudF9UeXBlc10ueG1sUEsB&#10;Ai0AFAAGAAgAAAAhADj9If/WAAAAlAEAAAsAAAAAAAAAAAAAAAAALwEAAF9yZWxzLy5yZWxzUEsB&#10;Ai0AFAAGAAgAAAAhACdgQ0wlAgAAVAQAAA4AAAAAAAAAAAAAAAAALgIAAGRycy9lMm9Eb2MueG1s&#10;UEsBAi0AFAAGAAgAAAAhAANmyeDaAAAABwEAAA8AAAAAAAAAAAAAAAAAfwQAAGRycy9kb3ducmV2&#10;LnhtbFBLBQYAAAAABAAEAPMAAACGBQAAAAA=&#10;">
                <v:stroke startarrowwidth="narrow" startarrowlength="short" endarrowwidth="narrow" endarrowlength="short"/>
                <v:textbox inset="2.53958mm,1.2694mm,2.53958mm,1.2694mm">
                  <w:txbxContent>
                    <w:p w14:paraId="4B142544" w14:textId="11699E8E" w:rsidR="00D511E5" w:rsidRDefault="00010690" w:rsidP="00010690">
                      <w:pPr>
                        <w:jc w:val="both"/>
                        <w:textDirection w:val="btLr"/>
                      </w:pPr>
                      <w:r w:rsidRPr="00010690">
                        <w:t>Yatırımcılarla olan ilişkilerimizde dürüstlükten ödün vermeden, projemizin toplumsal ve çevresel faydalarını ön planda tutan profesyonel bir yaklaşım sergilemeye kararlıyız.</w:t>
                      </w:r>
                    </w:p>
                  </w:txbxContent>
                </v:textbox>
                <w10:wrap type="square"/>
              </v:rect>
            </w:pict>
          </mc:Fallback>
        </mc:AlternateContent>
      </w:r>
    </w:p>
    <w:p w14:paraId="3E9DE729" w14:textId="77777777" w:rsidR="00D511E5" w:rsidRDefault="00D511E5">
      <w:pPr>
        <w:pBdr>
          <w:top w:val="nil"/>
          <w:left w:val="nil"/>
          <w:bottom w:val="nil"/>
          <w:right w:val="nil"/>
          <w:between w:val="nil"/>
        </w:pBdr>
        <w:spacing w:before="77"/>
        <w:rPr>
          <w:rFonts w:ascii="Times New Roman" w:eastAsia="Times New Roman" w:hAnsi="Times New Roman" w:cs="Times New Roman"/>
          <w:i/>
          <w:iCs/>
          <w:color w:val="000000"/>
          <w:sz w:val="24"/>
          <w:szCs w:val="24"/>
        </w:rPr>
      </w:pPr>
    </w:p>
    <w:p w14:paraId="4AB9EDDB" w14:textId="77777777" w:rsidR="00D511E5" w:rsidRDefault="00000000">
      <w:pPr>
        <w:pStyle w:val="Balk1"/>
        <w:numPr>
          <w:ilvl w:val="0"/>
          <w:numId w:val="2"/>
        </w:numPr>
        <w:tabs>
          <w:tab w:val="left" w:pos="573"/>
        </w:tabs>
        <w:spacing w:before="0"/>
        <w:ind w:hanging="433"/>
      </w:pPr>
      <w:r>
        <w:rPr>
          <w:rFonts w:ascii="Times New Roman" w:eastAsia="Times New Roman" w:hAnsi="Times New Roman" w:cs="Times New Roman"/>
          <w:sz w:val="24"/>
          <w:szCs w:val="24"/>
        </w:rPr>
        <w:t>Risk Yönetimi</w:t>
      </w:r>
    </w:p>
    <w:p w14:paraId="03C19D79" w14:textId="094B68FB" w:rsidR="00D511E5" w:rsidRPr="008A40F2" w:rsidRDefault="00000000" w:rsidP="008A40F2">
      <w:pPr>
        <w:pStyle w:val="Balk2"/>
        <w:numPr>
          <w:ilvl w:val="1"/>
          <w:numId w:val="2"/>
        </w:numPr>
        <w:tabs>
          <w:tab w:val="left" w:pos="707"/>
        </w:tabs>
        <w:spacing w:before="38"/>
        <w:rPr>
          <w:rFonts w:ascii="Times New Roman" w:eastAsia="Times New Roman" w:hAnsi="Times New Roman" w:cs="Times New Roman"/>
          <w:sz w:val="24"/>
          <w:szCs w:val="24"/>
        </w:rPr>
      </w:pPr>
      <w:r>
        <w:rPr>
          <w:rFonts w:ascii="Times New Roman" w:eastAsia="Times New Roman" w:hAnsi="Times New Roman" w:cs="Times New Roman"/>
          <w:sz w:val="24"/>
          <w:szCs w:val="24"/>
        </w:rPr>
        <w:t>Projenin Yürütülmesi Sırasında Karşılaşılabilecek Riskler ve Alınacak Önlemle</w:t>
      </w:r>
      <w:r w:rsidR="008A40F2">
        <w:rPr>
          <w:rFonts w:ascii="Times New Roman" w:eastAsia="Times New Roman" w:hAnsi="Times New Roman" w:cs="Times New Roman"/>
          <w:sz w:val="24"/>
          <w:szCs w:val="24"/>
        </w:rPr>
        <w:t>r</w:t>
      </w:r>
    </w:p>
    <w:tbl>
      <w:tblPr>
        <w:tblStyle w:val="a5"/>
        <w:tblpPr w:leftFromText="141" w:rightFromText="141" w:vertAnchor="text" w:tblpY="374"/>
        <w:tblW w:w="15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9"/>
        <w:gridCol w:w="3005"/>
        <w:gridCol w:w="3005"/>
        <w:gridCol w:w="3005"/>
        <w:gridCol w:w="3005"/>
      </w:tblGrid>
      <w:tr w:rsidR="00D511E5" w14:paraId="0C7EC28B" w14:textId="77777777">
        <w:trPr>
          <w:trHeight w:val="850"/>
        </w:trPr>
        <w:tc>
          <w:tcPr>
            <w:tcW w:w="2999" w:type="dxa"/>
          </w:tcPr>
          <w:p w14:paraId="35C2E76D" w14:textId="77777777" w:rsidR="00D511E5" w:rsidRDefault="00000000">
            <w:pPr>
              <w:pBdr>
                <w:top w:val="nil"/>
                <w:left w:val="nil"/>
                <w:bottom w:val="nil"/>
                <w:right w:val="nil"/>
                <w:between w:val="nil"/>
              </w:pBdr>
              <w:spacing w:line="181" w:lineRule="auto"/>
              <w:ind w:right="148"/>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Risk Tanımı</w:t>
            </w:r>
          </w:p>
        </w:tc>
        <w:tc>
          <w:tcPr>
            <w:tcW w:w="3005" w:type="dxa"/>
          </w:tcPr>
          <w:p w14:paraId="11350A7B" w14:textId="77777777" w:rsidR="00D511E5" w:rsidRDefault="00000000">
            <w:pPr>
              <w:pBdr>
                <w:top w:val="nil"/>
                <w:left w:val="nil"/>
                <w:bottom w:val="nil"/>
                <w:right w:val="nil"/>
                <w:between w:val="nil"/>
              </w:pBdr>
              <w:spacing w:line="181" w:lineRule="auto"/>
              <w:ind w:right="148"/>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Ö</w:t>
            </w:r>
            <w:r>
              <w:rPr>
                <w:rFonts w:ascii="Times New Roman" w:eastAsia="Times New Roman" w:hAnsi="Times New Roman" w:cs="Times New Roman"/>
                <w:b/>
                <w:bCs/>
                <w:color w:val="000000"/>
                <w:sz w:val="24"/>
                <w:szCs w:val="24"/>
              </w:rPr>
              <w:t>nlemler</w:t>
            </w:r>
          </w:p>
        </w:tc>
        <w:tc>
          <w:tcPr>
            <w:tcW w:w="3005" w:type="dxa"/>
          </w:tcPr>
          <w:p w14:paraId="3ADFC7E8" w14:textId="77777777" w:rsidR="00D511E5" w:rsidRDefault="00000000">
            <w:pPr>
              <w:pBdr>
                <w:top w:val="nil"/>
                <w:left w:val="nil"/>
                <w:bottom w:val="nil"/>
                <w:right w:val="nil"/>
                <w:between w:val="nil"/>
              </w:pBdr>
              <w:spacing w:line="181" w:lineRule="auto"/>
              <w:ind w:right="148"/>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Olasılık</w:t>
            </w:r>
          </w:p>
        </w:tc>
        <w:tc>
          <w:tcPr>
            <w:tcW w:w="3005" w:type="dxa"/>
          </w:tcPr>
          <w:p w14:paraId="3604E41A" w14:textId="77777777" w:rsidR="00D511E5" w:rsidRDefault="00000000">
            <w:pPr>
              <w:pBdr>
                <w:top w:val="nil"/>
                <w:left w:val="nil"/>
                <w:bottom w:val="nil"/>
                <w:right w:val="nil"/>
                <w:between w:val="nil"/>
              </w:pBdr>
              <w:spacing w:line="181" w:lineRule="auto"/>
              <w:ind w:right="148"/>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Etki</w:t>
            </w:r>
          </w:p>
        </w:tc>
        <w:tc>
          <w:tcPr>
            <w:tcW w:w="3005" w:type="dxa"/>
          </w:tcPr>
          <w:p w14:paraId="74AF8498" w14:textId="77777777" w:rsidR="00D511E5" w:rsidRDefault="00000000">
            <w:pPr>
              <w:pBdr>
                <w:top w:val="nil"/>
                <w:left w:val="nil"/>
                <w:bottom w:val="nil"/>
                <w:right w:val="nil"/>
                <w:between w:val="nil"/>
              </w:pBdr>
              <w:spacing w:line="181" w:lineRule="auto"/>
              <w:ind w:right="148"/>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 Planı</w:t>
            </w:r>
          </w:p>
        </w:tc>
      </w:tr>
      <w:tr w:rsidR="00D511E5" w14:paraId="0FAF8AB0" w14:textId="77777777">
        <w:trPr>
          <w:trHeight w:val="779"/>
        </w:trPr>
        <w:tc>
          <w:tcPr>
            <w:tcW w:w="2999" w:type="dxa"/>
          </w:tcPr>
          <w:p w14:paraId="75FA03C4" w14:textId="646143BE" w:rsidR="00D511E5" w:rsidRDefault="008A40F2">
            <w:pPr>
              <w:pBdr>
                <w:top w:val="nil"/>
                <w:left w:val="nil"/>
                <w:bottom w:val="nil"/>
                <w:right w:val="nil"/>
                <w:between w:val="nil"/>
              </w:pBdr>
              <w:spacing w:line="181" w:lineRule="auto"/>
              <w:ind w:right="148"/>
              <w:jc w:val="center"/>
              <w:rPr>
                <w:rFonts w:ascii="Times New Roman" w:eastAsia="Times New Roman" w:hAnsi="Times New Roman" w:cs="Times New Roman"/>
                <w:b/>
                <w:bCs/>
                <w:color w:val="000000"/>
                <w:sz w:val="24"/>
                <w:szCs w:val="24"/>
              </w:rPr>
            </w:pPr>
            <w:r w:rsidRPr="008A40F2">
              <w:rPr>
                <w:rFonts w:ascii="Times New Roman" w:eastAsia="Times New Roman" w:hAnsi="Times New Roman" w:cs="Times New Roman"/>
                <w:b/>
                <w:bCs/>
                <w:color w:val="000000"/>
                <w:sz w:val="24"/>
                <w:szCs w:val="24"/>
              </w:rPr>
              <w:t>Moderatör yüzeyine uygulanacak kimyasal buhar biriktirme tabanlı silisyum karbür kaplamanın laboratuvar testlerinde beklenen hidrojen tutulum oranını sağlayamaması.</w:t>
            </w:r>
          </w:p>
        </w:tc>
        <w:tc>
          <w:tcPr>
            <w:tcW w:w="3005" w:type="dxa"/>
          </w:tcPr>
          <w:p w14:paraId="136F7C07" w14:textId="775B6692" w:rsidR="00D511E5" w:rsidRDefault="008A40F2">
            <w:pPr>
              <w:pBdr>
                <w:top w:val="nil"/>
                <w:left w:val="nil"/>
                <w:bottom w:val="nil"/>
                <w:right w:val="nil"/>
                <w:between w:val="nil"/>
              </w:pBdr>
              <w:spacing w:line="181" w:lineRule="auto"/>
              <w:ind w:right="148"/>
              <w:jc w:val="center"/>
              <w:rPr>
                <w:rFonts w:ascii="Times New Roman" w:eastAsia="Times New Roman" w:hAnsi="Times New Roman" w:cs="Times New Roman"/>
                <w:b/>
                <w:bCs/>
                <w:color w:val="000000"/>
                <w:sz w:val="24"/>
                <w:szCs w:val="24"/>
              </w:rPr>
            </w:pPr>
            <w:r w:rsidRPr="008A40F2">
              <w:rPr>
                <w:rFonts w:ascii="Times New Roman" w:eastAsia="Times New Roman" w:hAnsi="Times New Roman" w:cs="Times New Roman"/>
                <w:b/>
                <w:bCs/>
                <w:color w:val="000000"/>
                <w:sz w:val="24"/>
                <w:szCs w:val="24"/>
              </w:rPr>
              <w:t>Teorik modellemelerin farklı kaplama kalınlıkları ve termal koşullar için test aşamasından önce çoklu senaryolarla analiz edilmesi.</w:t>
            </w:r>
          </w:p>
        </w:tc>
        <w:tc>
          <w:tcPr>
            <w:tcW w:w="3005" w:type="dxa"/>
          </w:tcPr>
          <w:p w14:paraId="36F5DBE8" w14:textId="7CFDA954" w:rsidR="00D511E5" w:rsidRDefault="008A40F2">
            <w:pPr>
              <w:pBdr>
                <w:top w:val="nil"/>
                <w:left w:val="nil"/>
                <w:bottom w:val="nil"/>
                <w:right w:val="nil"/>
                <w:between w:val="nil"/>
              </w:pBdr>
              <w:spacing w:line="181" w:lineRule="auto"/>
              <w:ind w:right="148"/>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Orta</w:t>
            </w:r>
          </w:p>
        </w:tc>
        <w:tc>
          <w:tcPr>
            <w:tcW w:w="3005" w:type="dxa"/>
          </w:tcPr>
          <w:p w14:paraId="11021213" w14:textId="4B749493" w:rsidR="00D511E5" w:rsidRDefault="008A40F2">
            <w:pPr>
              <w:pBdr>
                <w:top w:val="nil"/>
                <w:left w:val="nil"/>
                <w:bottom w:val="nil"/>
                <w:right w:val="nil"/>
                <w:between w:val="nil"/>
              </w:pBdr>
              <w:spacing w:line="181" w:lineRule="auto"/>
              <w:ind w:right="148"/>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Yüksek</w:t>
            </w:r>
          </w:p>
        </w:tc>
        <w:tc>
          <w:tcPr>
            <w:tcW w:w="3005" w:type="dxa"/>
          </w:tcPr>
          <w:p w14:paraId="177C1E9F" w14:textId="4A5552FB" w:rsidR="00D511E5" w:rsidRDefault="008A40F2">
            <w:pPr>
              <w:pBdr>
                <w:top w:val="nil"/>
                <w:left w:val="nil"/>
                <w:bottom w:val="nil"/>
                <w:right w:val="nil"/>
                <w:between w:val="nil"/>
              </w:pBdr>
              <w:spacing w:line="181" w:lineRule="auto"/>
              <w:ind w:right="148"/>
              <w:jc w:val="center"/>
              <w:rPr>
                <w:rFonts w:ascii="Times New Roman" w:eastAsia="Times New Roman" w:hAnsi="Times New Roman" w:cs="Times New Roman"/>
                <w:b/>
                <w:bCs/>
                <w:color w:val="000000"/>
                <w:sz w:val="24"/>
                <w:szCs w:val="24"/>
              </w:rPr>
            </w:pPr>
            <w:r w:rsidRPr="008A40F2">
              <w:rPr>
                <w:rFonts w:ascii="Times New Roman" w:eastAsia="Times New Roman" w:hAnsi="Times New Roman" w:cs="Times New Roman"/>
                <w:b/>
                <w:bCs/>
                <w:color w:val="000000"/>
                <w:sz w:val="24"/>
                <w:szCs w:val="24"/>
              </w:rPr>
              <w:t>Zirkonyum hidrür moderatörü üzerindeki silisyum karbür kaplama laboratuvar ortamında beklenen performansı vermezse, doğrudan havacılık ve uzay sanayisinde hidrojen tutuculuğu kanıtlanmış alümina tabanlı seramik bariyerlere geçiş yapılacaktır. Bu durum başlangıç üretim maliyetini marjinal bir oranda artırma potansiyeli taşısa da, nükleer güvenlik sınırlarını koruyarak tasarımın teknik olarak ilerlemesini garanti altına alacaktır.</w:t>
            </w:r>
          </w:p>
        </w:tc>
      </w:tr>
      <w:tr w:rsidR="00D511E5" w14:paraId="0C423FE8" w14:textId="77777777">
        <w:trPr>
          <w:trHeight w:val="850"/>
        </w:trPr>
        <w:tc>
          <w:tcPr>
            <w:tcW w:w="2999" w:type="dxa"/>
          </w:tcPr>
          <w:p w14:paraId="5C683C01" w14:textId="302475DE" w:rsidR="00D511E5" w:rsidRDefault="008A40F2">
            <w:pPr>
              <w:pBdr>
                <w:top w:val="nil"/>
                <w:left w:val="nil"/>
                <w:bottom w:val="nil"/>
                <w:right w:val="nil"/>
                <w:between w:val="nil"/>
              </w:pBdr>
              <w:spacing w:line="181" w:lineRule="auto"/>
              <w:ind w:right="148"/>
              <w:jc w:val="center"/>
              <w:rPr>
                <w:rFonts w:ascii="Times New Roman" w:eastAsia="Times New Roman" w:hAnsi="Times New Roman" w:cs="Times New Roman"/>
                <w:b/>
                <w:bCs/>
                <w:color w:val="000000"/>
                <w:sz w:val="24"/>
                <w:szCs w:val="24"/>
              </w:rPr>
            </w:pPr>
            <w:r w:rsidRPr="008A40F2">
              <w:rPr>
                <w:rFonts w:ascii="Times New Roman" w:eastAsia="Times New Roman" w:hAnsi="Times New Roman" w:cs="Times New Roman"/>
                <w:b/>
                <w:bCs/>
                <w:color w:val="000000"/>
                <w:sz w:val="24"/>
                <w:szCs w:val="24"/>
              </w:rPr>
              <w:t xml:space="preserve">Güç dönüşüm döngüsünden atılan orta dereceli ısının, piroliz reaksiyonu için gereken minimum entalpiyi </w:t>
            </w:r>
            <w:r w:rsidRPr="008A40F2">
              <w:rPr>
                <w:rFonts w:ascii="Times New Roman" w:eastAsia="Times New Roman" w:hAnsi="Times New Roman" w:cs="Times New Roman"/>
                <w:b/>
                <w:bCs/>
                <w:color w:val="000000"/>
                <w:sz w:val="24"/>
                <w:szCs w:val="24"/>
              </w:rPr>
              <w:lastRenderedPageBreak/>
              <w:t>pratik uygulamada sağlayamaması.</w:t>
            </w:r>
          </w:p>
        </w:tc>
        <w:tc>
          <w:tcPr>
            <w:tcW w:w="3005" w:type="dxa"/>
          </w:tcPr>
          <w:p w14:paraId="25D2E9CD" w14:textId="491DFCE8" w:rsidR="00D511E5" w:rsidRDefault="008A40F2">
            <w:pPr>
              <w:pBdr>
                <w:top w:val="nil"/>
                <w:left w:val="nil"/>
                <w:bottom w:val="nil"/>
                <w:right w:val="nil"/>
                <w:between w:val="nil"/>
              </w:pBdr>
              <w:spacing w:line="181" w:lineRule="auto"/>
              <w:ind w:right="148"/>
              <w:jc w:val="center"/>
              <w:rPr>
                <w:rFonts w:ascii="Times New Roman" w:eastAsia="Times New Roman" w:hAnsi="Times New Roman" w:cs="Times New Roman"/>
                <w:b/>
                <w:bCs/>
                <w:color w:val="000000"/>
                <w:sz w:val="24"/>
                <w:szCs w:val="24"/>
              </w:rPr>
            </w:pPr>
            <w:r w:rsidRPr="008A40F2">
              <w:rPr>
                <w:rFonts w:ascii="Times New Roman" w:eastAsia="Times New Roman" w:hAnsi="Times New Roman" w:cs="Times New Roman"/>
                <w:b/>
                <w:bCs/>
                <w:color w:val="000000"/>
                <w:sz w:val="24"/>
                <w:szCs w:val="24"/>
              </w:rPr>
              <w:lastRenderedPageBreak/>
              <w:t xml:space="preserve">Termal süreçlerin "Aspen Plus" gibi endüstriyel standarttaki programlarla, maksimum ısı kaybı </w:t>
            </w:r>
            <w:r w:rsidRPr="008A40F2">
              <w:rPr>
                <w:rFonts w:ascii="Times New Roman" w:eastAsia="Times New Roman" w:hAnsi="Times New Roman" w:cs="Times New Roman"/>
                <w:b/>
                <w:bCs/>
                <w:color w:val="000000"/>
                <w:sz w:val="24"/>
                <w:szCs w:val="24"/>
              </w:rPr>
              <w:lastRenderedPageBreak/>
              <w:t>varsayılarak detaylıca simüle edilmesi.</w:t>
            </w:r>
          </w:p>
        </w:tc>
        <w:tc>
          <w:tcPr>
            <w:tcW w:w="3005" w:type="dxa"/>
          </w:tcPr>
          <w:p w14:paraId="2760257B" w14:textId="25310BE6" w:rsidR="00D511E5" w:rsidRDefault="008A40F2">
            <w:pPr>
              <w:pBdr>
                <w:top w:val="nil"/>
                <w:left w:val="nil"/>
                <w:bottom w:val="nil"/>
                <w:right w:val="nil"/>
                <w:between w:val="nil"/>
              </w:pBdr>
              <w:spacing w:line="181" w:lineRule="auto"/>
              <w:ind w:right="148"/>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Düşük</w:t>
            </w:r>
          </w:p>
        </w:tc>
        <w:tc>
          <w:tcPr>
            <w:tcW w:w="3005" w:type="dxa"/>
          </w:tcPr>
          <w:p w14:paraId="2E8AA884" w14:textId="688C5A4F" w:rsidR="00D511E5" w:rsidRDefault="008A40F2">
            <w:pPr>
              <w:pBdr>
                <w:top w:val="nil"/>
                <w:left w:val="nil"/>
                <w:bottom w:val="nil"/>
                <w:right w:val="nil"/>
                <w:between w:val="nil"/>
              </w:pBdr>
              <w:spacing w:line="181" w:lineRule="auto"/>
              <w:ind w:right="148"/>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Yüksek</w:t>
            </w:r>
          </w:p>
        </w:tc>
        <w:tc>
          <w:tcPr>
            <w:tcW w:w="3005" w:type="dxa"/>
          </w:tcPr>
          <w:p w14:paraId="186F98B6" w14:textId="30252936" w:rsidR="00D511E5" w:rsidRDefault="008A40F2">
            <w:pPr>
              <w:pBdr>
                <w:top w:val="nil"/>
                <w:left w:val="nil"/>
                <w:bottom w:val="nil"/>
                <w:right w:val="nil"/>
                <w:between w:val="nil"/>
              </w:pBdr>
              <w:spacing w:line="181" w:lineRule="auto"/>
              <w:ind w:right="148"/>
              <w:jc w:val="center"/>
              <w:rPr>
                <w:rFonts w:ascii="Times New Roman" w:eastAsia="Times New Roman" w:hAnsi="Times New Roman" w:cs="Times New Roman"/>
                <w:b/>
                <w:bCs/>
                <w:color w:val="000000"/>
                <w:sz w:val="24"/>
                <w:szCs w:val="24"/>
              </w:rPr>
            </w:pPr>
            <w:r w:rsidRPr="008A40F2">
              <w:rPr>
                <w:rFonts w:ascii="Times New Roman" w:eastAsia="Times New Roman" w:hAnsi="Times New Roman" w:cs="Times New Roman"/>
                <w:b/>
                <w:bCs/>
                <w:color w:val="000000"/>
                <w:sz w:val="24"/>
                <w:szCs w:val="24"/>
              </w:rPr>
              <w:t xml:space="preserve">Eşanjör ve boru hatlarındaki kaçınılmaz ısı kayıpları yüzünden türbinden atılan ısı, plastik atık pirolizini </w:t>
            </w:r>
            <w:r w:rsidRPr="008A40F2">
              <w:rPr>
                <w:rFonts w:ascii="Times New Roman" w:eastAsia="Times New Roman" w:hAnsi="Times New Roman" w:cs="Times New Roman"/>
                <w:b/>
                <w:bCs/>
                <w:color w:val="000000"/>
                <w:sz w:val="24"/>
                <w:szCs w:val="24"/>
              </w:rPr>
              <w:lastRenderedPageBreak/>
              <w:t>başlatmaya yetmezse; piroliz ünitesinin girişine kapalı devre bir elektrikli ön ısıtıcı entegre edilecektir. Tesis kendi enerjisini kendi ürettiği için bu ısıtıcının tüketeceği elektrik şebekeden satın alınmayacak, yalnızca satılacak olan net kıyı elektriği miktarından cüzi bir miktar feragat edilerek termal döngünün çökmesi engellenecektir.</w:t>
            </w:r>
          </w:p>
        </w:tc>
      </w:tr>
      <w:tr w:rsidR="00D511E5" w14:paraId="5F08BDAA" w14:textId="77777777">
        <w:trPr>
          <w:trHeight w:val="850"/>
        </w:trPr>
        <w:tc>
          <w:tcPr>
            <w:tcW w:w="2999" w:type="dxa"/>
          </w:tcPr>
          <w:p w14:paraId="649A6D30" w14:textId="2FBBE699" w:rsidR="00D511E5" w:rsidRDefault="008A40F2">
            <w:pPr>
              <w:pBdr>
                <w:top w:val="nil"/>
                <w:left w:val="nil"/>
                <w:bottom w:val="nil"/>
                <w:right w:val="nil"/>
                <w:between w:val="nil"/>
              </w:pBdr>
              <w:spacing w:line="181" w:lineRule="auto"/>
              <w:ind w:right="148"/>
              <w:jc w:val="center"/>
              <w:rPr>
                <w:rFonts w:ascii="Times New Roman" w:eastAsia="Times New Roman" w:hAnsi="Times New Roman" w:cs="Times New Roman"/>
                <w:b/>
                <w:bCs/>
                <w:color w:val="000000"/>
                <w:sz w:val="24"/>
                <w:szCs w:val="24"/>
              </w:rPr>
            </w:pPr>
            <w:r w:rsidRPr="008A40F2">
              <w:rPr>
                <w:rFonts w:ascii="Times New Roman" w:eastAsia="Times New Roman" w:hAnsi="Times New Roman" w:cs="Times New Roman"/>
                <w:b/>
                <w:bCs/>
                <w:color w:val="000000"/>
                <w:sz w:val="24"/>
                <w:szCs w:val="24"/>
              </w:rPr>
              <w:lastRenderedPageBreak/>
              <w:t>Kavramsal tasarımın doğrulanması için üniversite laboratuvarları veya ulusal araştırma merkezleriyle yapılacak test kullanım sözleşmelerinde bürokratik gecikmeler yaşanması.</w:t>
            </w:r>
          </w:p>
        </w:tc>
        <w:tc>
          <w:tcPr>
            <w:tcW w:w="3005" w:type="dxa"/>
          </w:tcPr>
          <w:p w14:paraId="135BB656" w14:textId="6DD501BA" w:rsidR="00D511E5" w:rsidRDefault="008A40F2">
            <w:pPr>
              <w:pBdr>
                <w:top w:val="nil"/>
                <w:left w:val="nil"/>
                <w:bottom w:val="nil"/>
                <w:right w:val="nil"/>
                <w:between w:val="nil"/>
              </w:pBdr>
              <w:spacing w:line="181" w:lineRule="auto"/>
              <w:ind w:right="148"/>
              <w:jc w:val="center"/>
              <w:rPr>
                <w:rFonts w:ascii="Times New Roman" w:eastAsia="Times New Roman" w:hAnsi="Times New Roman" w:cs="Times New Roman"/>
                <w:b/>
                <w:bCs/>
                <w:color w:val="000000"/>
                <w:sz w:val="24"/>
                <w:szCs w:val="24"/>
              </w:rPr>
            </w:pPr>
            <w:r w:rsidRPr="008A40F2">
              <w:rPr>
                <w:rFonts w:ascii="Times New Roman" w:eastAsia="Times New Roman" w:hAnsi="Times New Roman" w:cs="Times New Roman"/>
                <w:b/>
                <w:bCs/>
                <w:color w:val="000000"/>
                <w:sz w:val="24"/>
                <w:szCs w:val="24"/>
              </w:rPr>
              <w:t>Kritik eşiklerdeki iş adımlarının ve test takviminin, olası idari gecikmeler hesaba katılarak en az 3 aylık esneme payı ile kurgulanması.</w:t>
            </w:r>
          </w:p>
        </w:tc>
        <w:tc>
          <w:tcPr>
            <w:tcW w:w="3005" w:type="dxa"/>
          </w:tcPr>
          <w:p w14:paraId="406ECA4C" w14:textId="32517993" w:rsidR="00D511E5" w:rsidRDefault="008A40F2">
            <w:pPr>
              <w:pBdr>
                <w:top w:val="nil"/>
                <w:left w:val="nil"/>
                <w:bottom w:val="nil"/>
                <w:right w:val="nil"/>
                <w:between w:val="nil"/>
              </w:pBdr>
              <w:spacing w:line="181" w:lineRule="auto"/>
              <w:ind w:right="148"/>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Yüksek</w:t>
            </w:r>
          </w:p>
        </w:tc>
        <w:tc>
          <w:tcPr>
            <w:tcW w:w="3005" w:type="dxa"/>
          </w:tcPr>
          <w:p w14:paraId="7553A344" w14:textId="1D9BB24C" w:rsidR="00D511E5" w:rsidRDefault="008A40F2">
            <w:pPr>
              <w:pBdr>
                <w:top w:val="nil"/>
                <w:left w:val="nil"/>
                <w:bottom w:val="nil"/>
                <w:right w:val="nil"/>
                <w:between w:val="nil"/>
              </w:pBdr>
              <w:spacing w:line="181" w:lineRule="auto"/>
              <w:ind w:right="148"/>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Orta</w:t>
            </w:r>
          </w:p>
        </w:tc>
        <w:tc>
          <w:tcPr>
            <w:tcW w:w="3005" w:type="dxa"/>
          </w:tcPr>
          <w:p w14:paraId="24AB69DB" w14:textId="40DB628A" w:rsidR="00D511E5" w:rsidRDefault="008A40F2">
            <w:pPr>
              <w:pBdr>
                <w:top w:val="nil"/>
                <w:left w:val="nil"/>
                <w:bottom w:val="nil"/>
                <w:right w:val="nil"/>
                <w:between w:val="nil"/>
              </w:pBdr>
              <w:spacing w:line="181" w:lineRule="auto"/>
              <w:ind w:right="148"/>
              <w:jc w:val="center"/>
              <w:rPr>
                <w:rFonts w:ascii="Times New Roman" w:eastAsia="Times New Roman" w:hAnsi="Times New Roman" w:cs="Times New Roman"/>
                <w:b/>
                <w:bCs/>
                <w:color w:val="000000"/>
                <w:sz w:val="24"/>
                <w:szCs w:val="24"/>
              </w:rPr>
            </w:pPr>
            <w:r w:rsidRPr="008A40F2">
              <w:rPr>
                <w:rFonts w:ascii="Times New Roman" w:eastAsia="Times New Roman" w:hAnsi="Times New Roman" w:cs="Times New Roman"/>
                <w:b/>
                <w:bCs/>
                <w:color w:val="000000"/>
                <w:sz w:val="24"/>
                <w:szCs w:val="24"/>
              </w:rPr>
              <w:t>Üniversite laboratuvarları veya ulusal araştırma merkezleri, idari yoğunluk veya bürokratik engeller nedeniyle test takvimini aylar sonrasına atarsa; proje bütçesinde yer alan hizmet alımı kalemi devreye sokulacaktır. Testlerin yapılması için zaman kaybedilmeden doğrudan yurtiçi veya yurtdışındaki özel, akredite malzeme test laboratuvarları ile ticari anlaşmalar yapılarak doğrulama verileri hızla elde edilecektir.</w:t>
            </w:r>
          </w:p>
        </w:tc>
      </w:tr>
      <w:tr w:rsidR="00D511E5" w14:paraId="7B08EBCB" w14:textId="77777777">
        <w:trPr>
          <w:trHeight w:val="779"/>
        </w:trPr>
        <w:tc>
          <w:tcPr>
            <w:tcW w:w="2999" w:type="dxa"/>
          </w:tcPr>
          <w:p w14:paraId="6D610B0E" w14:textId="4594EF70" w:rsidR="00D511E5" w:rsidRDefault="008A40F2">
            <w:pPr>
              <w:pBdr>
                <w:top w:val="nil"/>
                <w:left w:val="nil"/>
                <w:bottom w:val="nil"/>
                <w:right w:val="nil"/>
                <w:between w:val="nil"/>
              </w:pBdr>
              <w:spacing w:line="181" w:lineRule="auto"/>
              <w:ind w:right="148"/>
              <w:jc w:val="center"/>
              <w:rPr>
                <w:rFonts w:ascii="Times New Roman" w:eastAsia="Times New Roman" w:hAnsi="Times New Roman" w:cs="Times New Roman"/>
                <w:b/>
                <w:bCs/>
                <w:color w:val="000000"/>
                <w:sz w:val="24"/>
                <w:szCs w:val="24"/>
              </w:rPr>
            </w:pPr>
            <w:r w:rsidRPr="008A40F2">
              <w:rPr>
                <w:rFonts w:ascii="Times New Roman" w:eastAsia="Times New Roman" w:hAnsi="Times New Roman" w:cs="Times New Roman"/>
                <w:b/>
                <w:bCs/>
                <w:color w:val="000000"/>
                <w:sz w:val="24"/>
                <w:szCs w:val="24"/>
              </w:rPr>
              <w:lastRenderedPageBreak/>
              <w:t>Geliştirilen bariyer tasarımı veya kaskad atık ısı konfigürasyonunun patent başvuru sürecinde mevcut uluslararası bir tescille çakışması.</w:t>
            </w:r>
          </w:p>
        </w:tc>
        <w:tc>
          <w:tcPr>
            <w:tcW w:w="3005" w:type="dxa"/>
          </w:tcPr>
          <w:p w14:paraId="3EF2124B" w14:textId="787112A7" w:rsidR="00D511E5" w:rsidRDefault="008A40F2">
            <w:pPr>
              <w:pBdr>
                <w:top w:val="nil"/>
                <w:left w:val="nil"/>
                <w:bottom w:val="nil"/>
                <w:right w:val="nil"/>
                <w:between w:val="nil"/>
              </w:pBdr>
              <w:spacing w:line="181" w:lineRule="auto"/>
              <w:ind w:right="148"/>
              <w:jc w:val="center"/>
              <w:rPr>
                <w:rFonts w:ascii="Times New Roman" w:eastAsia="Times New Roman" w:hAnsi="Times New Roman" w:cs="Times New Roman"/>
                <w:b/>
                <w:bCs/>
                <w:color w:val="000000"/>
                <w:sz w:val="24"/>
                <w:szCs w:val="24"/>
              </w:rPr>
            </w:pPr>
            <w:r w:rsidRPr="008A40F2">
              <w:rPr>
                <w:rFonts w:ascii="Times New Roman" w:eastAsia="Times New Roman" w:hAnsi="Times New Roman" w:cs="Times New Roman"/>
                <w:b/>
                <w:bCs/>
                <w:color w:val="000000"/>
                <w:sz w:val="24"/>
                <w:szCs w:val="24"/>
              </w:rPr>
              <w:t>Patent başvurusu öncesinde uluslararası veri tabanlarında detaylı ve profesyonel bir faaliyet serbestliği araştırması yürütülmesi.</w:t>
            </w:r>
          </w:p>
        </w:tc>
        <w:tc>
          <w:tcPr>
            <w:tcW w:w="3005" w:type="dxa"/>
          </w:tcPr>
          <w:p w14:paraId="67B4AAF9" w14:textId="0CC5A06E" w:rsidR="00D511E5" w:rsidRDefault="008A40F2">
            <w:pPr>
              <w:pBdr>
                <w:top w:val="nil"/>
                <w:left w:val="nil"/>
                <w:bottom w:val="nil"/>
                <w:right w:val="nil"/>
                <w:between w:val="nil"/>
              </w:pBdr>
              <w:spacing w:line="181" w:lineRule="auto"/>
              <w:ind w:right="148"/>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Düşük</w:t>
            </w:r>
          </w:p>
        </w:tc>
        <w:tc>
          <w:tcPr>
            <w:tcW w:w="3005" w:type="dxa"/>
          </w:tcPr>
          <w:p w14:paraId="19100999" w14:textId="6C5AC800" w:rsidR="00D511E5" w:rsidRDefault="008A40F2">
            <w:pPr>
              <w:pBdr>
                <w:top w:val="nil"/>
                <w:left w:val="nil"/>
                <w:bottom w:val="nil"/>
                <w:right w:val="nil"/>
                <w:between w:val="nil"/>
              </w:pBdr>
              <w:spacing w:line="181" w:lineRule="auto"/>
              <w:ind w:right="148"/>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Yüksek</w:t>
            </w:r>
          </w:p>
        </w:tc>
        <w:tc>
          <w:tcPr>
            <w:tcW w:w="3005" w:type="dxa"/>
          </w:tcPr>
          <w:p w14:paraId="174CDEB8" w14:textId="0C647359" w:rsidR="00D511E5" w:rsidRDefault="008A40F2">
            <w:pPr>
              <w:pBdr>
                <w:top w:val="nil"/>
                <w:left w:val="nil"/>
                <w:bottom w:val="nil"/>
                <w:right w:val="nil"/>
                <w:between w:val="nil"/>
              </w:pBdr>
              <w:spacing w:line="181" w:lineRule="auto"/>
              <w:ind w:right="148"/>
              <w:jc w:val="center"/>
              <w:rPr>
                <w:rFonts w:ascii="Times New Roman" w:eastAsia="Times New Roman" w:hAnsi="Times New Roman" w:cs="Times New Roman"/>
                <w:b/>
                <w:bCs/>
                <w:color w:val="000000"/>
                <w:sz w:val="24"/>
                <w:szCs w:val="24"/>
              </w:rPr>
            </w:pPr>
            <w:r w:rsidRPr="008A40F2">
              <w:rPr>
                <w:rFonts w:ascii="Times New Roman" w:eastAsia="Times New Roman" w:hAnsi="Times New Roman" w:cs="Times New Roman"/>
                <w:b/>
                <w:bCs/>
                <w:color w:val="000000"/>
                <w:sz w:val="24"/>
                <w:szCs w:val="24"/>
              </w:rPr>
              <w:t>Patent başvuru sürecinde kaskad atık ısı döngüsü uluslararası başka bir tescille çakışırsa, projenin tamamen iptal edilmesi yerine mimari bir revizyona gidilecektir. Mikroreaktörün çekirdek tasarımı sabit tutulacak; ancak atık ısının piroliz ve desalinasyon arasındaki dağıtım sırası veya ısı değiştirici konfigürasyonları mühendislik düzeyinde değiştirilerek faaliyet serbestliği alanına yeniden girilecektir.</w:t>
            </w:r>
          </w:p>
        </w:tc>
      </w:tr>
    </w:tbl>
    <w:p w14:paraId="6D8FBE18" w14:textId="0BC855A5" w:rsidR="00D511E5" w:rsidRDefault="00D511E5">
      <w:pPr>
        <w:rPr>
          <w:rFonts w:ascii="Times New Roman" w:eastAsia="Times New Roman" w:hAnsi="Times New Roman" w:cs="Times New Roman"/>
          <w:sz w:val="24"/>
          <w:szCs w:val="24"/>
        </w:rPr>
      </w:pPr>
    </w:p>
    <w:sectPr w:rsidR="00D511E5">
      <w:footerReference w:type="default" r:id="rId9"/>
      <w:pgSz w:w="16840" w:h="11910" w:orient="landscape"/>
      <w:pgMar w:top="1340" w:right="1275" w:bottom="1100" w:left="1275" w:header="0" w:footer="916"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38BC2" w14:textId="77777777" w:rsidR="0001353A" w:rsidRDefault="0001353A">
      <w:r>
        <w:separator/>
      </w:r>
    </w:p>
  </w:endnote>
  <w:endnote w:type="continuationSeparator" w:id="0">
    <w:p w14:paraId="7CC2FF9B" w14:textId="77777777" w:rsidR="0001353A" w:rsidRDefault="00013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embedItalic r:id="rId1" w:fontKey="{35615D3C-5BA1-43C6-BEDE-7BA75D3BD622}"/>
  </w:font>
  <w:font w:name="Calibri">
    <w:panose1 w:val="020F0502020204030204"/>
    <w:charset w:val="A2"/>
    <w:family w:val="swiss"/>
    <w:pitch w:val="variable"/>
    <w:sig w:usb0="E4002EFF" w:usb1="C200247B" w:usb2="00000009" w:usb3="00000000" w:csb0="000001FF" w:csb1="00000000"/>
    <w:embedRegular r:id="rId2" w:fontKey="{15232644-3976-4912-BFA5-02ABDEDCEAA7}"/>
  </w:font>
  <w:font w:name="Cambria">
    <w:panose1 w:val="02040503050406030204"/>
    <w:charset w:val="A2"/>
    <w:family w:val="roman"/>
    <w:pitch w:val="variable"/>
    <w:sig w:usb0="E00006FF" w:usb1="420024FF" w:usb2="02000000" w:usb3="00000000" w:csb0="0000019F" w:csb1="00000000"/>
    <w:embedRegular r:id="rId3" w:fontKey="{379ACFD6-6777-4D08-AB08-58F1C496BE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88100" w14:textId="77777777" w:rsidR="00D511E5" w:rsidRDefault="00D511E5">
    <w:pPr>
      <w:pBdr>
        <w:top w:val="nil"/>
        <w:left w:val="nil"/>
        <w:bottom w:val="nil"/>
        <w:right w:val="nil"/>
        <w:between w:val="nil"/>
      </w:pBdr>
      <w:spacing w:line="14" w:lineRule="auto"/>
      <w:rPr>
        <w:color w:val="000000"/>
        <w:sz w:val="20"/>
        <w:szCs w:val="20"/>
      </w:rPr>
    </w:pPr>
  </w:p>
  <w:p w14:paraId="0709D890" w14:textId="77777777" w:rsidR="00D511E5"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3FCF1DD8" wp14:editId="07B8C967">
              <wp:simplePos x="0" y="0"/>
              <wp:positionH relativeFrom="column">
                <wp:posOffset>2889059</wp:posOffset>
              </wp:positionH>
              <wp:positionV relativeFrom="paragraph">
                <wp:posOffset>9966116</wp:posOffset>
              </wp:positionV>
              <wp:extent cx="163195" cy="163195"/>
              <wp:effectExtent l="0" t="0" r="0" b="0"/>
              <wp:wrapNone/>
              <wp:docPr id="5" name="Dikdörtgen 5"/>
              <wp:cNvGraphicFramePr/>
              <a:graphic xmlns:a="http://schemas.openxmlformats.org/drawingml/2006/main">
                <a:graphicData uri="http://schemas.microsoft.com/office/word/2010/wordprocessingShape">
                  <wps:wsp>
                    <wps:cNvSpPr/>
                    <wps:spPr>
                      <a:xfrm>
                        <a:off x="5269165" y="3703165"/>
                        <a:ext cx="153670" cy="153670"/>
                      </a:xfrm>
                      <a:prstGeom prst="rect">
                        <a:avLst/>
                      </a:prstGeom>
                      <a:noFill/>
                      <a:ln>
                        <a:noFill/>
                      </a:ln>
                    </wps:spPr>
                    <wps:txbx>
                      <w:txbxContent>
                        <w:p w14:paraId="42813A01" w14:textId="77777777" w:rsidR="00D511E5" w:rsidRDefault="00000000">
                          <w:pPr>
                            <w:spacing w:before="13"/>
                            <w:ind w:left="20" w:firstLine="20"/>
                            <w:textDirection w:val="btLr"/>
                          </w:pPr>
                          <w:r>
                            <w:rPr>
                              <w:color w:val="000000"/>
                              <w:sz w:val="18"/>
                            </w:rPr>
                            <w:t xml:space="preserve"> PAGE 10</w:t>
                          </w:r>
                        </w:p>
                      </w:txbxContent>
                    </wps:txbx>
                    <wps:bodyPr spcFirstLastPara="1" wrap="square" lIns="0" tIns="0" rIns="0" bIns="0" anchor="t" anchorCtr="0">
                      <a:noAutofit/>
                    </wps:bodyPr>
                  </wps:wsp>
                </a:graphicData>
              </a:graphic>
            </wp:anchor>
          </w:drawing>
        </mc:Choice>
        <mc:Fallback>
          <w:pict>
            <v:rect w14:anchorId="3FCF1DD8" id="Dikdörtgen 5" o:spid="_x0000_s1048" style="position:absolute;margin-left:227.5pt;margin-top:784.75pt;width:12.85pt;height:12.8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zrqwEAAEkDAAAOAAAAZHJzL2Uyb0RvYy54bWysU8Fu2zAMvQ/oPwi6L7YTJN2MOEWxIsOA&#10;YgvQ7gMUWYoFyJJKKrHz96OUpGm329CL/EQRj4+P9PJu7C07KEDjXcOrScmZctK3xu0a/vt5/fkL&#10;ZxiFa4X1TjX8qJDfrW4+LYdQq6nvvG0VMCJxWA+h4V2MoS4KlJ3qBU58UI4etYdeRLrCrmhBDMTe&#10;22Jaloti8NAG8FIhUvTh9MhXmV9rJeMvrVFFZhtO2mI+IZ/bdBarpah3IEJn5FmG+A8VvTCOir5S&#10;PYgo2B7MP1S9keDR6ziRvi+81kaq3AN1U5V/dfPUiaByL2QOhleb8ONo5c/DU9gA2TAErJFg6mLU&#10;0Kcv6WNjw+fTxddqMefs2PDZbTlLOBunxsgkJVTz2eKW7JWUcMb0XlyJAmD8rnzPEmg40FyyXeLw&#10;iPGUeklJdZ1fG2tzCeveBYgzRYqr2oTiuB0pO8Gtb48bYBjk2lCtR4FxI4BmWnE20Jwbji97AYoz&#10;+8ORkWkpLgAuYHsBwsnO07pEzk7wW8zLc9J0v49em6z/WvosjuaVHTjvVlqIt/ecdf0DVn8AAAD/&#10;/wMAUEsDBBQABgAIAAAAIQCaFfOj4wAAAA0BAAAPAAAAZHJzL2Rvd25yZXYueG1sTI/NTsMwEITv&#10;SLyDtUjcqENVlyTEqSp+VI6lRWp7c+MlibDXUew2gafHPcFxZ0az3xSL0Rp2xt63jiTcTxJgSJXT&#10;LdUSPravdykwHxRpZRyhhG/0sCivrwqVazfQO543oWaxhHyuJDQhdDnnvmrQKj9xHVL0Pl1vVYhn&#10;X3PdqyGWW8OnSTLnVrUUPzSqw6cGq6/NyUpYpd1y/+Z+htq8HFa79S573mZBytubcfkILOAY/sJw&#10;wY/oUEamozuR9sxImAkRt4RoiHkmgMXILE0egB0vUiamwMuC/19R/gIAAP//AwBQSwECLQAUAAYA&#10;CAAAACEAtoM4kv4AAADhAQAAEwAAAAAAAAAAAAAAAAAAAAAAW0NvbnRlbnRfVHlwZXNdLnhtbFBL&#10;AQItABQABgAIAAAAIQA4/SH/1gAAAJQBAAALAAAAAAAAAAAAAAAAAC8BAABfcmVscy8ucmVsc1BL&#10;AQItABQABgAIAAAAIQCu+YzrqwEAAEkDAAAOAAAAAAAAAAAAAAAAAC4CAABkcnMvZTJvRG9jLnht&#10;bFBLAQItABQABgAIAAAAIQCaFfOj4wAAAA0BAAAPAAAAAAAAAAAAAAAAAAUEAABkcnMvZG93bnJl&#10;di54bWxQSwUGAAAAAAQABADzAAAAFQUAAAAA&#10;" filled="f" stroked="f">
              <v:textbox inset="0,0,0,0">
                <w:txbxContent>
                  <w:p w14:paraId="42813A01" w14:textId="77777777" w:rsidR="00D511E5" w:rsidRDefault="00000000">
                    <w:pPr>
                      <w:spacing w:before="13"/>
                      <w:ind w:left="20" w:firstLine="20"/>
                      <w:textDirection w:val="btLr"/>
                    </w:pPr>
                    <w:r>
                      <w:rPr>
                        <w:color w:val="000000"/>
                        <w:sz w:val="18"/>
                      </w:rPr>
                      <w:t xml:space="preserve"> PAGE 10</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0F97A" w14:textId="77777777" w:rsidR="00D511E5"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57133767" wp14:editId="17415318">
              <wp:simplePos x="0" y="0"/>
              <wp:positionH relativeFrom="column">
                <wp:posOffset>4455732</wp:posOffset>
              </wp:positionH>
              <wp:positionV relativeFrom="paragraph">
                <wp:posOffset>6834296</wp:posOffset>
              </wp:positionV>
              <wp:extent cx="163195" cy="163195"/>
              <wp:effectExtent l="0" t="0" r="0" b="0"/>
              <wp:wrapNone/>
              <wp:docPr id="23" name="Dikdörtgen 23"/>
              <wp:cNvGraphicFramePr/>
              <a:graphic xmlns:a="http://schemas.openxmlformats.org/drawingml/2006/main">
                <a:graphicData uri="http://schemas.microsoft.com/office/word/2010/wordprocessingShape">
                  <wps:wsp>
                    <wps:cNvSpPr/>
                    <wps:spPr>
                      <a:xfrm>
                        <a:off x="5269165" y="3703165"/>
                        <a:ext cx="153670" cy="153670"/>
                      </a:xfrm>
                      <a:prstGeom prst="rect">
                        <a:avLst/>
                      </a:prstGeom>
                      <a:noFill/>
                      <a:ln>
                        <a:noFill/>
                      </a:ln>
                    </wps:spPr>
                    <wps:txbx>
                      <w:txbxContent>
                        <w:p w14:paraId="44A868F2" w14:textId="77777777" w:rsidR="00D511E5" w:rsidRDefault="00000000">
                          <w:pPr>
                            <w:spacing w:before="13"/>
                            <w:ind w:left="20" w:firstLine="20"/>
                            <w:textDirection w:val="btLr"/>
                          </w:pPr>
                          <w:r>
                            <w:rPr>
                              <w:color w:val="000000"/>
                              <w:sz w:val="18"/>
                            </w:rPr>
                            <w:t>17</w:t>
                          </w:r>
                        </w:p>
                      </w:txbxContent>
                    </wps:txbx>
                    <wps:bodyPr spcFirstLastPara="1" wrap="square" lIns="0" tIns="0" rIns="0" bIns="0" anchor="t" anchorCtr="0">
                      <a:noAutofit/>
                    </wps:bodyPr>
                  </wps:wsp>
                </a:graphicData>
              </a:graphic>
            </wp:anchor>
          </w:drawing>
        </mc:Choice>
        <mc:Fallback>
          <w:pict>
            <v:rect w14:anchorId="57133767" id="Dikdörtgen 23" o:spid="_x0000_s1049" style="position:absolute;margin-left:350.85pt;margin-top:538.15pt;width:12.85pt;height:12.8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p2arwEAAFADAAAOAAAAZHJzL2Uyb0RvYy54bWysU8Fu2zAMvQ/oPwi6L7YTJN2MOEWxIsOA&#10;YgvQ7gMUWYoFyJJKKrHz96OUpGm329CL/EQRj4+P9PJu7C07KEDjXcOrScmZctK3xu0a/vt5/fkL&#10;ZxiFa4X1TjX8qJDfrW4+LYdQq6nvvG0VMCJxWA+h4V2MoS4KlJ3qBU58UI4etYdeRLrCrmhBDMTe&#10;22Jaloti8NAG8FIhUvTh9MhXmV9rJeMvrVFFZhtO2mI+IZ/bdBarpah3IEJn5FmG+A8VvTCOir5S&#10;PYgo2B7MP1S9keDR6ziRvi+81kaq3AN1U5V/dfPUiaByL2QOhleb8ONo5c/DU9gA2TAErJFg6mLU&#10;0Kcv6WNjw+fTxddqMefs2PDZbTlLOBunxsgkJVTz2eKW7JWUcMb0XlyJAmD8rnzPEmg40FyyXeLw&#10;iPGUeklJdZ1fG2tzCeveBYgzRYqr2oTiuB2Zaal40pUiW98eN8AwyLWhko8C40YAjbbibKBxNxxf&#10;9gIUZ/aHIz/TblwAXMD2AoSTnaetiZyd4LeYd+gk7X4fvTa5jWvps0YaWzbivGJpL97ec9b1R1j9&#10;AQAA//8DAFBLAwQUAAYACAAAACEA84jXHuIAAAANAQAADwAAAGRycy9kb3ducmV2LnhtbEyPy07D&#10;MBBF90j8gzVI7KidgOo2xKkqHipLaJEKOzcekgg/othtAl/PsILlzD26c6ZcTc6yEw6xC15BNhPA&#10;0NfBdL5R8Lp7vFoAi0l7o23wqOALI6yq87NSFyaM/gVP29QwKvGx0AralPqC81i36HSchR49ZR9h&#10;cDrRODTcDHqkcmd5LsScO915utDqHu9arD+3R6dgs+jXb0/he2zsw/tm/7xf3u+WSanLi2l9Cyzh&#10;lP5g+NUndajI6RCO3kRmFUiRSUIpEHJ+DYwQmcsbYAdaZSIXwKuS//+i+gEAAP//AwBQSwECLQAU&#10;AAYACAAAACEAtoM4kv4AAADhAQAAEwAAAAAAAAAAAAAAAAAAAAAAW0NvbnRlbnRfVHlwZXNdLnht&#10;bFBLAQItABQABgAIAAAAIQA4/SH/1gAAAJQBAAALAAAAAAAAAAAAAAAAAC8BAABfcmVscy8ucmVs&#10;c1BLAQItABQABgAIAAAAIQCUHp2arwEAAFADAAAOAAAAAAAAAAAAAAAAAC4CAABkcnMvZTJvRG9j&#10;LnhtbFBLAQItABQABgAIAAAAIQDziNce4gAAAA0BAAAPAAAAAAAAAAAAAAAAAAkEAABkcnMvZG93&#10;bnJldi54bWxQSwUGAAAAAAQABADzAAAAGAUAAAAA&#10;" filled="f" stroked="f">
              <v:textbox inset="0,0,0,0">
                <w:txbxContent>
                  <w:p w14:paraId="44A868F2" w14:textId="77777777" w:rsidR="00D511E5" w:rsidRDefault="00000000">
                    <w:pPr>
                      <w:spacing w:before="13"/>
                      <w:ind w:left="20" w:firstLine="20"/>
                      <w:textDirection w:val="btLr"/>
                    </w:pPr>
                    <w:r>
                      <w:rPr>
                        <w:color w:val="000000"/>
                        <w:sz w:val="18"/>
                      </w:rPr>
                      <w:t>17</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A0E19" w14:textId="77777777" w:rsidR="0001353A" w:rsidRDefault="0001353A">
      <w:r>
        <w:separator/>
      </w:r>
    </w:p>
  </w:footnote>
  <w:footnote w:type="continuationSeparator" w:id="0">
    <w:p w14:paraId="33CD494E" w14:textId="77777777" w:rsidR="0001353A" w:rsidRDefault="000135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1338C" w14:textId="77777777" w:rsidR="00D511E5" w:rsidRDefault="00000000">
    <w:pPr>
      <w:pBdr>
        <w:top w:val="nil"/>
        <w:left w:val="nil"/>
        <w:bottom w:val="nil"/>
        <w:right w:val="nil"/>
        <w:between w:val="nil"/>
      </w:pBdr>
      <w:tabs>
        <w:tab w:val="center" w:pos="4536"/>
        <w:tab w:val="right" w:pos="9072"/>
      </w:tabs>
      <w:jc w:val="center"/>
      <w:rPr>
        <w:color w:val="000000"/>
      </w:rPr>
    </w:pPr>
    <w:r>
      <w:rPr>
        <w:noProof/>
        <w:color w:val="000000"/>
      </w:rPr>
      <w:drawing>
        <wp:inline distT="0" distB="0" distL="0" distR="0" wp14:anchorId="248979B0" wp14:editId="490E2C87">
          <wp:extent cx="1457325" cy="1895475"/>
          <wp:effectExtent l="0" t="0" r="0" b="0"/>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24911" t="15658" r="20640" b="13523"/>
                  <a:stretch>
                    <a:fillRect/>
                  </a:stretch>
                </pic:blipFill>
                <pic:spPr>
                  <a:xfrm>
                    <a:off x="0" y="0"/>
                    <a:ext cx="1457325" cy="18954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52301"/>
    <w:multiLevelType w:val="multilevel"/>
    <w:tmpl w:val="1758D4E4"/>
    <w:lvl w:ilvl="0">
      <w:start w:val="1"/>
      <w:numFmt w:val="decimal"/>
      <w:lvlText w:val="%1"/>
      <w:lvlJc w:val="left"/>
      <w:pPr>
        <w:ind w:left="573" w:hanging="432"/>
      </w:pPr>
      <w:rPr>
        <w:rFonts w:ascii="Arial" w:eastAsia="Arial" w:hAnsi="Arial" w:cs="Arial"/>
        <w:b/>
        <w:bCs/>
        <w:i w:val="0"/>
        <w:iCs w:val="0"/>
        <w:sz w:val="20"/>
        <w:szCs w:val="20"/>
      </w:rPr>
    </w:lvl>
    <w:lvl w:ilvl="1">
      <w:start w:val="1"/>
      <w:numFmt w:val="decimal"/>
      <w:lvlText w:val="%1.%2"/>
      <w:lvlJc w:val="left"/>
      <w:pPr>
        <w:ind w:left="707" w:hanging="567"/>
      </w:pPr>
    </w:lvl>
    <w:lvl w:ilvl="2">
      <w:numFmt w:val="bullet"/>
      <w:lvlText w:val="•"/>
      <w:lvlJc w:val="left"/>
      <w:pPr>
        <w:ind w:left="2280" w:hanging="567"/>
      </w:pPr>
    </w:lvl>
    <w:lvl w:ilvl="3">
      <w:numFmt w:val="bullet"/>
      <w:lvlText w:val="•"/>
      <w:lvlJc w:val="left"/>
      <w:pPr>
        <w:ind w:left="3164" w:hanging="567"/>
      </w:pPr>
    </w:lvl>
    <w:lvl w:ilvl="4">
      <w:numFmt w:val="bullet"/>
      <w:lvlText w:val="•"/>
      <w:lvlJc w:val="left"/>
      <w:pPr>
        <w:ind w:left="4049" w:hanging="567"/>
      </w:pPr>
    </w:lvl>
    <w:lvl w:ilvl="5">
      <w:numFmt w:val="bullet"/>
      <w:lvlText w:val="•"/>
      <w:lvlJc w:val="left"/>
      <w:pPr>
        <w:ind w:left="4933" w:hanging="567"/>
      </w:pPr>
    </w:lvl>
    <w:lvl w:ilvl="6">
      <w:numFmt w:val="bullet"/>
      <w:lvlText w:val="•"/>
      <w:lvlJc w:val="left"/>
      <w:pPr>
        <w:ind w:left="5818" w:hanging="567"/>
      </w:pPr>
    </w:lvl>
    <w:lvl w:ilvl="7">
      <w:numFmt w:val="bullet"/>
      <w:lvlText w:val="•"/>
      <w:lvlJc w:val="left"/>
      <w:pPr>
        <w:ind w:left="6702" w:hanging="567"/>
      </w:pPr>
    </w:lvl>
    <w:lvl w:ilvl="8">
      <w:numFmt w:val="bullet"/>
      <w:lvlText w:val="•"/>
      <w:lvlJc w:val="left"/>
      <w:pPr>
        <w:ind w:left="7587" w:hanging="567"/>
      </w:pPr>
    </w:lvl>
  </w:abstractNum>
  <w:abstractNum w:abstractNumId="1" w15:restartNumberingAfterBreak="0">
    <w:nsid w:val="7A683C3A"/>
    <w:multiLevelType w:val="multilevel"/>
    <w:tmpl w:val="F7587028"/>
    <w:lvl w:ilvl="0">
      <w:start w:val="1"/>
      <w:numFmt w:val="decimal"/>
      <w:lvlText w:val="%1"/>
      <w:lvlJc w:val="left"/>
      <w:pPr>
        <w:ind w:left="141" w:hanging="252"/>
      </w:pPr>
    </w:lvl>
    <w:lvl w:ilvl="1">
      <w:start w:val="1"/>
      <w:numFmt w:val="decimal"/>
      <w:lvlText w:val="%1.%2"/>
      <w:lvlJc w:val="left"/>
      <w:pPr>
        <w:ind w:left="141" w:hanging="252"/>
      </w:pPr>
      <w:rPr>
        <w:rFonts w:ascii="Arial" w:eastAsia="Arial" w:hAnsi="Arial" w:cs="Arial"/>
        <w:b w:val="0"/>
        <w:bCs w:val="0"/>
        <w:i/>
        <w:iCs/>
        <w:color w:val="808080"/>
        <w:sz w:val="16"/>
        <w:szCs w:val="16"/>
      </w:rPr>
    </w:lvl>
    <w:lvl w:ilvl="2">
      <w:numFmt w:val="bullet"/>
      <w:lvlText w:val="•"/>
      <w:lvlJc w:val="left"/>
      <w:pPr>
        <w:ind w:left="1983" w:hanging="251"/>
      </w:pPr>
    </w:lvl>
    <w:lvl w:ilvl="3">
      <w:numFmt w:val="bullet"/>
      <w:lvlText w:val="•"/>
      <w:lvlJc w:val="left"/>
      <w:pPr>
        <w:ind w:left="2904" w:hanging="252"/>
      </w:pPr>
    </w:lvl>
    <w:lvl w:ilvl="4">
      <w:numFmt w:val="bullet"/>
      <w:lvlText w:val="•"/>
      <w:lvlJc w:val="left"/>
      <w:pPr>
        <w:ind w:left="3826" w:hanging="251"/>
      </w:pPr>
    </w:lvl>
    <w:lvl w:ilvl="5">
      <w:numFmt w:val="bullet"/>
      <w:lvlText w:val="•"/>
      <w:lvlJc w:val="left"/>
      <w:pPr>
        <w:ind w:left="4748" w:hanging="252"/>
      </w:pPr>
    </w:lvl>
    <w:lvl w:ilvl="6">
      <w:numFmt w:val="bullet"/>
      <w:lvlText w:val="•"/>
      <w:lvlJc w:val="left"/>
      <w:pPr>
        <w:ind w:left="5669" w:hanging="252"/>
      </w:pPr>
    </w:lvl>
    <w:lvl w:ilvl="7">
      <w:numFmt w:val="bullet"/>
      <w:lvlText w:val="•"/>
      <w:lvlJc w:val="left"/>
      <w:pPr>
        <w:ind w:left="6591" w:hanging="252"/>
      </w:pPr>
    </w:lvl>
    <w:lvl w:ilvl="8">
      <w:numFmt w:val="bullet"/>
      <w:lvlText w:val="•"/>
      <w:lvlJc w:val="left"/>
      <w:pPr>
        <w:ind w:left="7513" w:hanging="252"/>
      </w:pPr>
    </w:lvl>
  </w:abstractNum>
  <w:num w:numId="1" w16cid:durableId="1069499410">
    <w:abstractNumId w:val="1"/>
  </w:num>
  <w:num w:numId="2" w16cid:durableId="1987124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1E5"/>
    <w:rsid w:val="00010690"/>
    <w:rsid w:val="0001353A"/>
    <w:rsid w:val="0004070C"/>
    <w:rsid w:val="001E1C82"/>
    <w:rsid w:val="00307C9D"/>
    <w:rsid w:val="003265A9"/>
    <w:rsid w:val="00327A1D"/>
    <w:rsid w:val="00333C5A"/>
    <w:rsid w:val="00423A16"/>
    <w:rsid w:val="004A6C6B"/>
    <w:rsid w:val="004F5A7C"/>
    <w:rsid w:val="0054324E"/>
    <w:rsid w:val="005947E9"/>
    <w:rsid w:val="005A1B74"/>
    <w:rsid w:val="005A2338"/>
    <w:rsid w:val="00701BCC"/>
    <w:rsid w:val="00784CC4"/>
    <w:rsid w:val="00871D8B"/>
    <w:rsid w:val="00893781"/>
    <w:rsid w:val="008A40F2"/>
    <w:rsid w:val="008E277A"/>
    <w:rsid w:val="009600B5"/>
    <w:rsid w:val="009F76EE"/>
    <w:rsid w:val="00A00A7E"/>
    <w:rsid w:val="00AC57A1"/>
    <w:rsid w:val="00AD1BB3"/>
    <w:rsid w:val="00B75A29"/>
    <w:rsid w:val="00C631EF"/>
    <w:rsid w:val="00CB5D70"/>
    <w:rsid w:val="00D02926"/>
    <w:rsid w:val="00D10108"/>
    <w:rsid w:val="00D511E5"/>
    <w:rsid w:val="00D64DAF"/>
    <w:rsid w:val="00D9355D"/>
    <w:rsid w:val="00E21BAB"/>
    <w:rsid w:val="00E77721"/>
    <w:rsid w:val="00E94128"/>
    <w:rsid w:val="00EE4283"/>
    <w:rsid w:val="00FE502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828ED"/>
  <w15:docId w15:val="{5D2CD4F7-6778-40DB-9F8E-A7FB63EA0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spacing w:before="75"/>
      <w:ind w:left="573" w:hanging="432"/>
      <w:outlineLvl w:val="0"/>
    </w:pPr>
    <w:rPr>
      <w:b/>
      <w:bCs/>
      <w:sz w:val="20"/>
      <w:szCs w:val="20"/>
    </w:rPr>
  </w:style>
  <w:style w:type="paragraph" w:styleId="Balk2">
    <w:name w:val="heading 2"/>
    <w:basedOn w:val="Normal"/>
    <w:next w:val="Normal"/>
    <w:uiPriority w:val="9"/>
    <w:unhideWhenUsed/>
    <w:qFormat/>
    <w:pPr>
      <w:ind w:left="2277" w:hanging="576"/>
      <w:outlineLvl w:val="1"/>
    </w:pPr>
    <w:rPr>
      <w:b/>
      <w:bCs/>
      <w:sz w:val="18"/>
      <w:szCs w:val="18"/>
    </w:rPr>
  </w:style>
  <w:style w:type="paragraph" w:styleId="Balk3">
    <w:name w:val="heading 3"/>
    <w:basedOn w:val="Normal"/>
    <w:next w:val="Normal"/>
    <w:uiPriority w:val="9"/>
    <w:semiHidden/>
    <w:unhideWhenUsed/>
    <w:qFormat/>
    <w:pPr>
      <w:keepNext/>
      <w:keepLines/>
      <w:spacing w:before="280" w:after="80"/>
      <w:outlineLvl w:val="2"/>
    </w:pPr>
    <w:rPr>
      <w:b/>
      <w:bCs/>
      <w:sz w:val="28"/>
      <w:szCs w:val="28"/>
    </w:rPr>
  </w:style>
  <w:style w:type="paragraph" w:styleId="Balk4">
    <w:name w:val="heading 4"/>
    <w:basedOn w:val="Normal"/>
    <w:next w:val="Normal"/>
    <w:uiPriority w:val="9"/>
    <w:semiHidden/>
    <w:unhideWhenUsed/>
    <w:qFormat/>
    <w:pPr>
      <w:keepNext/>
      <w:keepLines/>
      <w:spacing w:before="240" w:after="40"/>
      <w:outlineLvl w:val="3"/>
    </w:pPr>
    <w:rPr>
      <w:b/>
      <w:bCs/>
      <w:sz w:val="24"/>
      <w:szCs w:val="24"/>
    </w:rPr>
  </w:style>
  <w:style w:type="paragraph" w:styleId="Balk5">
    <w:name w:val="heading 5"/>
    <w:basedOn w:val="Normal"/>
    <w:next w:val="Normal"/>
    <w:uiPriority w:val="9"/>
    <w:semiHidden/>
    <w:unhideWhenUsed/>
    <w:qFormat/>
    <w:pPr>
      <w:keepNext/>
      <w:keepLines/>
      <w:spacing w:before="220" w:after="40"/>
      <w:outlineLvl w:val="4"/>
    </w:pPr>
    <w:rPr>
      <w:b/>
      <w:bCs/>
    </w:rPr>
  </w:style>
  <w:style w:type="paragraph" w:styleId="Balk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ind w:left="2455" w:right="2458"/>
      <w:jc w:val="center"/>
    </w:pPr>
    <w:rPr>
      <w:b/>
      <w:bCs/>
      <w:sz w:val="32"/>
      <w:szCs w:val="32"/>
    </w:r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0" w:type="dxa"/>
        <w:left w:w="0" w:type="dxa"/>
        <w:bottom w:w="0" w:type="dxa"/>
        <w:right w:w="0" w:type="dxa"/>
      </w:tblCellMar>
    </w:tblPr>
  </w:style>
  <w:style w:type="table" w:customStyle="1" w:styleId="a4">
    <w:basedOn w:val="TableNormal"/>
    <w:tblPr>
      <w:tblStyleRowBandSize w:val="1"/>
      <w:tblStyleColBandSize w:val="1"/>
      <w:tblCellMar>
        <w:top w:w="0" w:type="dxa"/>
        <w:left w:w="0" w:type="dxa"/>
        <w:bottom w:w="0" w:type="dxa"/>
        <w:right w:w="0"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22</Pages>
  <Words>1154</Words>
  <Characters>6583</Characters>
  <Application>Microsoft Office Word</Application>
  <DocSecurity>0</DocSecurity>
  <Lines>54</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Emir Yarkın Yaman</dc:creator>
  <cp:lastModifiedBy>Emir Yarkın Yaman</cp:lastModifiedBy>
  <cp:revision>10</cp:revision>
  <dcterms:created xsi:type="dcterms:W3CDTF">2026-04-18T03:00:00Z</dcterms:created>
  <dcterms:modified xsi:type="dcterms:W3CDTF">2026-04-18T03:30:00Z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2024-01-19T00:00:00Z</vt:lpwstr>
  </property>
  <property fmtid="{D5CDD505-2E9C-101B-9397-08002B2CF9AE}" pid="3" name="Creator">
    <vt:lpwstr>Microsoft® Word 2016</vt:lpwstr>
  </property>
  <property fmtid="{D5CDD505-2E9C-101B-9397-08002B2CF9AE}" pid="4" name="LastSaved">
    <vt:lpwstr>2026-03-03T00:00:00Z</vt:lpwstr>
  </property>
  <property fmtid="{D5CDD505-2E9C-101B-9397-08002B2CF9AE}" pid="5" name="Producer">
    <vt:lpwstr>Microsoft® Word 2016</vt:lpwstr>
  </property>
</Properties>
</file>