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Mean Reversion Strategy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Markowitz Optimizer — Teknik Notlar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Hazırlayan: Kayrahan Toprak Tosun  |  YAP-471  |  2026</w:t>
      </w:r>
    </w:p>
    <w:p>
      <w:pPr>
        <w:pBdr>
          <w:bottom w:val="single" w:color="CCCCCC" w:sz="4"/>
        </w:pBd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Challenge: Optimizer Corner Solution (Proposal §5)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Proje proposalının “Expected Challenges” bölümünde (§5) aşağıdaki risk açıkça belirtilmişti:</w:t>
      </w:r>
    </w:p>
    <w:p>
      <w:pPr>
        <w:pBdr>
          <w:left w:val="single" w:color="2E5FA3" w:sz="12" w:space="10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“Ensuring the stability of the covariance matrix during the rolling window Markowitz optimization and avoiding corner solutions (where the optimizer allocates 100% to a single asset).”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Backtest sırasında bu risk gerçekleşti: optimizer bazı günlerde portföyün tamamını TSLA’ya yığıyordu.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Kök Neden Analizi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Tüm beklenen getiriler negatif olduğunda (piyasanın tamamı 20-günlük MA’nın üzerinde, yani overbought) eski objective fonksiyon −return / volatility, “en az kötü” hisseyi bulup ona %100 ağırlık veriyordu.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Bunun nedeni negatif getiri durumunda −return / volatility pozitif bir değer üretiyor, minimize ederken optimizer bu değerin mutlak büyüklüğünü minimize ediyordu — yani en düşük volatiliteye sahip, en az negatif getirili varlığa tümüyle yığılıyordu.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Her gün için %19.8 oranında tüm expected return'lerin negatif olduğu gün mevcuttu. Bu günlerin tamamında TSLA seçiliyordu.</w:t>
      </w:r>
    </w:p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Çözüm: 3 Katmanlı Düzeltme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Challenge proposal kapsamında çözüldü. Üç değişiklik optimize_portfolio() fonksiyonuna uygulandı: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7340"/>
          <w:sz w:val="22"/>
          <w:szCs w:val="22"/>
        </w:rPr>
        <w:t xml:space="preserve">Düzeltme 1 — Negatif Getiri Clip’i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Beklenen getiriler 0’a clip’lenir: np.clip(expected_returns, 0, None)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Mean reversion mantığına doğrudan uyar: Proposal §3’te “Negative Z-score = oversold (high expected return proxy)” yazıyor. MA’nın üzerindeki (overbought) hisselerin beklenen getirisi 0’dır, optimizer bu hisselere ağırlık vermez.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Tüm beklenen getiriler ≤0 olan günlerde (piyasa tamamen overbought) defansif eşit ağırlık (1/6) döndürülür. Bu, cash’e geçme kurallarıyla uyumludur.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7340"/>
          <w:sz w:val="22"/>
          <w:szCs w:val="22"/>
        </w:rPr>
        <w:t xml:space="preserve">Düzeltme 2 — Per-Asset Max Weight Kısıtı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Her hisse maksimum %40 ağırlık alabilir: bounds = (0, 0.40)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Tek pozitif beklentili hisse olduğunda (gerçekten sadece o gün tek hisse oversold) kap uygulanmaz — bu doğru davranıştır. 2+ pozitif beklentili hisse olduğunda diversifikasyon zorlanır.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%100 ağırlığı olan günler TSLA’dan tüm hisselere dağıldı: AMZN (10 gün), AAPL (4), MSFT (3), GOOGL (3), NVDA (2).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7340"/>
          <w:sz w:val="22"/>
          <w:szCs w:val="22"/>
        </w:rPr>
        <w:t xml:space="preserve">Düzeltme 3 — Ridge Regularization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Kovaryans matrisine küçük diyagonal eklenir: reg_cov = cov_matrix + np.eye(n) * 1e-8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Bu, matrisin her zaman pozitif tanımlı (PD) olmasını garantiler. Proposal §5’teki “covariance matrix stability” endişesini doğrudan ele alır.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Analitik çözüm: w* ∝ Σ⁻¹μ (kare lineer cebir, scipy gerektirmez).</w:t>
      </w:r>
    </w:p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Sonuçlar — Öncesi vs. Sonrası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Aşağıdaki tablo optimizer düzeltmesi + stop-loss (%10) + drawdown limiti (%15) uygulanmış nihai stratejinin Buy-and-Hold ile karşılaştırmasını göstermektedir.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243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Metrik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Eski (Hatalı)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Yeni (Düzeltilmiş)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İyi mi?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Kümülatif Getiri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0.69x (zarar!)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1"/>
                <w:szCs w:val="21"/>
              </w:rPr>
              <w:t xml:space="preserve">1.75x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Sharpe Oranı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−0.39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1"/>
                <w:szCs w:val="21"/>
              </w:rPr>
              <w:t xml:space="preserve">+0.41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Max Drawdown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−61.32%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1"/>
                <w:szCs w:val="21"/>
              </w:rPr>
              <w:t xml:space="preserve">−23.21%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Yıllık Getiri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−7.28%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1"/>
                <w:szCs w:val="21"/>
              </w:rPr>
              <w:t xml:space="preserve">+12.11%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Volatilite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24.36%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1"/>
                <w:szCs w:val="21"/>
              </w:rPr>
              <w:t xml:space="preserve">20.72%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2"/>
                <w:szCs w:val="22"/>
              </w:rPr>
              <w:t xml:space="preserve">✓</w:t>
            </w:r>
          </w:p>
        </w:tc>
      </w:tr>
    </w:tbl>
    <w:p>
      <w:pPr>
        <w:spacing w:before="160" w:after="80"/>
      </w:pPr>
    </w:p>
    <w:p>
      <w:pPr>
        <w:pBdr>
          <w:left w:val="single" w:color="1A7340" w:sz="12" w:space="10"/>
        </w:pBdr>
        <w:spacing w:before="120" w:after="120"/>
        <w:ind w:left="720"/>
      </w:pPr>
      <w:r>
        <w:rPr>
          <w:rFonts w:ascii="Arial" w:cs="Arial" w:eastAsia="Arial" w:hAnsi="Arial"/>
          <w:b/>
          <w:bCs/>
          <w:color w:val="1A7340"/>
          <w:sz w:val="21"/>
          <w:szCs w:val="21"/>
        </w:rPr>
        <w:t xml:space="preserve">Buy-and-Hold Max Drawdown: −47.13%  →  Stratejimiz: −23.21%  ✓  Proposal hedefi karşılandı.</w:t>
      </w:r>
    </w:p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Sunum İçin Önerilen Akış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Challenge'ı tanıt (Proposal §5 — köşe çözüm problemi)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Root cause göster: tüm expected return'ler negatif olduğunda optimizer TSLA'ya %100 yıkılıyor.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 katmanlı çözümü açıkla: clip → max weight → ridge reg.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Öncesi/sonrası tabloyu göster: Max Drawdown −61% → −23%.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Proposal hedefleriyle bağla: Sharpe &gt; 0, Max DD &lt; Buy-and-Hold (%47).</w:t>
      </w:r>
    </w:p>
    <w:p>
      <w:pPr>
        <w:spacing w:before="200" w:after="0"/>
      </w:pPr>
    </w:p>
    <w:p>
      <w:pPr>
        <w:pBdr>
          <w:bottom w:val="single" w:color="CCCCCC" w:sz="4"/>
        </w:pBdr>
        <w:spacing w:before="80" w:after="80"/>
      </w:pP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YAP-471 | BİST 5 | Mean Reversion Strategy with Markowitz Allocator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/>
      </w:pBdr>
    </w:pPr>
    <w:r>
      <w:rPr>
        <w:rFonts w:ascii="Arial" w:cs="Arial" w:eastAsia="Arial" w:hAnsi="Arial"/>
        <w:color w:val="2E5FA3"/>
        <w:sz w:val="18"/>
        <w:szCs w:val="18"/>
      </w:rPr>
      <w:t xml:space="preserve">YAP-471 | BİST 5 Takımı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2026-03-16T22:48:02.201Z</dcterms:created>
  <dcterms:modified xsi:type="dcterms:W3CDTF">2026-03-16T22:48:02.201Z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