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7C3AED"/>
          <w:sz w:val="68"/>
        </w:rPr>
        <w:t>AsistíAPP</w:t>
      </w:r>
    </w:p>
    <w:p>
      <w:pPr>
        <w:spacing w:after="600"/>
        <w:jc w:val="center"/>
      </w:pPr>
      <w:r>
        <w:rPr>
          <w:color w:val="1A1A2E"/>
          <w:sz w:val="36"/>
        </w:rPr>
        <w:t>Propuesta de Integración de Pagos con MercadoPago</w:t>
      </w:r>
    </w:p>
    <w:p>
      <w:pPr>
        <w:jc w:val="center"/>
      </w:pPr>
      <w:r>
        <w:rPr>
          <w:i/>
          <w:color w:val="555555"/>
          <w:sz w:val="24"/>
        </w:rPr>
        <w:t>Checkout Pro — Análisis técnico, justificación y plan de implementación</w:t>
      </w:r>
    </w:p>
    <w:p>
      <w:r>
        <w:br w:type="page"/>
      </w:r>
    </w:p>
    <w:p>
      <w:pPr>
        <w:pStyle w:val="Heading1"/>
      </w:pPr>
      <w:r>
        <w:rPr>
          <w:b/>
          <w:color w:val="7C3AED"/>
          <w:sz w:val="36"/>
        </w:rPr>
        <w:t>1. Introducción y objetivo del documento</w:t>
      </w:r>
    </w:p>
    <w:p>
      <w:pPr>
        <w:spacing w:after="160" w:line="276" w:lineRule="auto"/>
      </w:pPr>
      <w:r>
        <w:rPr>
          <w:b w:val="0"/>
          <w:i w:val="0"/>
          <w:sz w:val="22"/>
        </w:rPr>
        <w:t>El presente documento tiene como finalidad presentar al equipo de trabajo de AsistíAPP la solución seleccionada para la integración del procesamiento de pagos con MercadoPago, así como explicar su funcionamiento y detallar los pasos necesarios para su configuración e implementación dentro del proyecto.</w:t>
      </w:r>
    </w:p>
    <w:p>
      <w:pPr>
        <w:spacing w:after="160" w:line="276" w:lineRule="auto"/>
      </w:pPr>
      <w:r>
        <w:rPr>
          <w:b w:val="0"/>
          <w:i w:val="0"/>
          <w:sz w:val="22"/>
        </w:rPr>
        <w:t>Actualmente, el sistema cuenta con una simulación completa del flujo de pago (creación de una orden pendiente y confirmación mediante un webhook simulado), diseñada desde un principio para reflejar fielmente el comportamiento real de la pasarela de pago elegida. El objetivo de esta propuesta es reemplazar dicha simulación por la integración real, sin necesidad de modificar la arquitectura general del sistema.</w:t>
      </w:r>
    </w:p>
    <w:p>
      <w:pPr>
        <w:pBdr>
          <w:bottom w:val="single" w:sz="6" w:space="1" w:color="D8D4E8"/>
        </w:pBdr>
        <w:spacing w:after="280"/>
      </w:pPr>
    </w:p>
    <w:p>
      <w:pPr>
        <w:pStyle w:val="Heading1"/>
      </w:pPr>
      <w:r>
        <w:rPr>
          <w:b/>
          <w:color w:val="7C3AED"/>
          <w:sz w:val="36"/>
        </w:rPr>
        <w:t>2. Opción seleccionada: MercadoPago Checkout Pro</w:t>
      </w:r>
    </w:p>
    <w:p>
      <w:pPr>
        <w:spacing w:after="160" w:line="276" w:lineRule="auto"/>
      </w:pPr>
      <w:r>
        <w:rPr>
          <w:b w:val="0"/>
          <w:i w:val="0"/>
          <w:sz w:val="22"/>
        </w:rPr>
        <w:t>MercadoPago ofrece distintas modalidades de integración para el cobro online. Para AsistíAPP se recomienda la modalidad Checkout Pro, una solución de pago alojada ("hosted checkout") en la cual el comprador es redirigido a una página propia de MercadoPago para completar el pago, y el comercio nunca entra en contacto con los datos sensibles de la tarjeta.</w:t>
      </w:r>
    </w:p>
    <w:p>
      <w:pPr>
        <w:pStyle w:val="Heading2"/>
      </w:pPr>
      <w:r>
        <w:rPr>
          <w:b/>
          <w:color w:val="1A1A2E"/>
          <w:sz w:val="28"/>
        </w:rPr>
        <w:t>2.1. Comparación con la alternativa (Checkout API / Payment Brick)</w:t>
      </w:r>
    </w:p>
    <w:p>
      <w:pPr>
        <w:spacing w:after="160" w:line="276" w:lineRule="auto"/>
      </w:pPr>
      <w:r>
        <w:rPr>
          <w:b w:val="0"/>
          <w:i w:val="0"/>
          <w:sz w:val="22"/>
        </w:rPr>
        <w:t>MercadoPago también ofrece una modalidad de "checkout transparente", en la cual el formulario de pago se integra directamente dentro de la propia aplicación, sin redirección. A continuación se resume la comparación entre ambas alternativas: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7C3AED"/>
          </w:tcPr>
          <w:p>
            <w:r/>
            <w:r>
              <w:rPr>
                <w:b/>
                <w:color w:val="FFFFFF"/>
              </w:rPr>
              <w:t>Criterio</w:t>
            </w:r>
          </w:p>
        </w:tc>
        <w:tc>
          <w:tcPr>
            <w:tcW w:type="dxa" w:w="3135"/>
            <w:shd w:val="clear" w:color="auto" w:fill="7C3AED"/>
          </w:tcPr>
          <w:p>
            <w:r/>
            <w:r>
              <w:rPr>
                <w:b/>
                <w:color w:val="FFFFFF"/>
              </w:rPr>
              <w:t>Checkout Pro (recomendado)</w:t>
            </w:r>
          </w:p>
        </w:tc>
        <w:tc>
          <w:tcPr>
            <w:tcW w:type="dxa" w:w="3135"/>
            <w:shd w:val="clear" w:color="auto" w:fill="7C3AED"/>
          </w:tcPr>
          <w:p>
            <w:r/>
            <w:r>
              <w:rPr>
                <w:b/>
                <w:color w:val="FFFFFF"/>
              </w:rPr>
              <w:t>Checkout API / Payment Brick</w:t>
            </w:r>
          </w:p>
        </w:tc>
      </w:tr>
      <w:tr>
        <w:tc>
          <w:tcPr>
            <w:tcW w:type="dxa" w:w="3135"/>
          </w:tcPr>
          <w:p>
            <w:r/>
            <w:r>
              <w:rPr>
                <w:sz w:val="20"/>
              </w:rPr>
              <w:t>Experiencia de usuario</w:t>
            </w:r>
          </w:p>
        </w:tc>
        <w:tc>
          <w:tcPr>
            <w:tcW w:type="dxa" w:w="3135"/>
          </w:tcPr>
          <w:p>
            <w:r/>
            <w:r>
              <w:rPr>
                <w:sz w:val="20"/>
              </w:rPr>
              <w:t>Redirección a la página de MercadoPago</w:t>
            </w:r>
          </w:p>
        </w:tc>
        <w:tc>
          <w:tcPr>
            <w:tcW w:type="dxa" w:w="3135"/>
          </w:tcPr>
          <w:p>
            <w:r/>
            <w:r>
              <w:rPr>
                <w:sz w:val="20"/>
              </w:rPr>
              <w:t>El pago se completa sin salir del sitio</w:t>
            </w:r>
          </w:p>
        </w:tc>
      </w:tr>
      <w:tr>
        <w:tc>
          <w:tcPr>
            <w:tcW w:type="dxa" w:w="3135"/>
            <w:shd w:val="clear" w:color="auto" w:fill="F2F1F7"/>
          </w:tcPr>
          <w:p>
            <w:r/>
            <w:r>
              <w:rPr>
                <w:sz w:val="20"/>
              </w:rPr>
              <w:t>Responsabilidad sobre datos de tarjeta</w:t>
            </w:r>
          </w:p>
        </w:tc>
        <w:tc>
          <w:tcPr>
            <w:tcW w:type="dxa" w:w="3135"/>
            <w:shd w:val="clear" w:color="auto" w:fill="F2F1F7"/>
          </w:tcPr>
          <w:p>
            <w:r/>
            <w:r>
              <w:rPr>
                <w:sz w:val="20"/>
              </w:rPr>
              <w:t>Totalmente a cargo de MercadoPago</w:t>
            </w:r>
          </w:p>
        </w:tc>
        <w:tc>
          <w:tcPr>
            <w:tcW w:type="dxa" w:w="3135"/>
            <w:shd w:val="clear" w:color="auto" w:fill="F2F1F7"/>
          </w:tcPr>
          <w:p>
            <w:r/>
            <w:r>
              <w:rPr>
                <w:sz w:val="20"/>
              </w:rPr>
              <w:t>Mayor alcance de responsabilidad para el comercio</w:t>
            </w:r>
          </w:p>
        </w:tc>
      </w:tr>
      <w:tr>
        <w:tc>
          <w:tcPr>
            <w:tcW w:type="dxa" w:w="3135"/>
          </w:tcPr>
          <w:p>
            <w:r/>
            <w:r>
              <w:rPr>
                <w:sz w:val="20"/>
              </w:rPr>
              <w:t>Complejidad de implementación</w:t>
            </w:r>
          </w:p>
        </w:tc>
        <w:tc>
          <w:tcPr>
            <w:tcW w:type="dxa" w:w="3135"/>
          </w:tcPr>
          <w:p>
            <w:r/>
            <w:r>
              <w:rPr>
                <w:sz w:val="20"/>
              </w:rPr>
              <w:t>Baja — pocos endpoints, bien documentado</w:t>
            </w:r>
          </w:p>
        </w:tc>
        <w:tc>
          <w:tcPr>
            <w:tcW w:type="dxa" w:w="3135"/>
          </w:tcPr>
          <w:p>
            <w:r/>
            <w:r>
              <w:rPr>
                <w:sz w:val="20"/>
              </w:rPr>
              <w:t>Media/alta — requiere tokenización propia</w:t>
            </w:r>
          </w:p>
        </w:tc>
      </w:tr>
      <w:tr>
        <w:tc>
          <w:tcPr>
            <w:tcW w:type="dxa" w:w="3135"/>
            <w:shd w:val="clear" w:color="auto" w:fill="F2F1F7"/>
          </w:tcPr>
          <w:p>
            <w:r/>
            <w:r>
              <w:rPr>
                <w:sz w:val="20"/>
              </w:rPr>
              <w:t>Adecuación al desarrollo actual</w:t>
            </w:r>
          </w:p>
        </w:tc>
        <w:tc>
          <w:tcPr>
            <w:tcW w:type="dxa" w:w="3135"/>
            <w:shd w:val="clear" w:color="auto" w:fill="F2F1F7"/>
          </w:tcPr>
          <w:p>
            <w:r/>
            <w:r>
              <w:rPr>
                <w:sz w:val="20"/>
              </w:rPr>
              <w:t>Coincide exactamente con la simulación ya implementada</w:t>
            </w:r>
          </w:p>
        </w:tc>
        <w:tc>
          <w:tcPr>
            <w:tcW w:type="dxa" w:w="3135"/>
            <w:shd w:val="clear" w:color="auto" w:fill="F2F1F7"/>
          </w:tcPr>
          <w:p>
            <w:r/>
            <w:r>
              <w:rPr>
                <w:sz w:val="20"/>
              </w:rPr>
              <w:t>Requeriría rediseñar el flujo existente</w:t>
            </w:r>
          </w:p>
        </w:tc>
      </w:tr>
    </w:tbl>
    <w:p>
      <w:pPr>
        <w:spacing w:after="200"/>
      </w:pPr>
    </w:p>
    <w:p>
      <w:pPr>
        <w:pStyle w:val="Heading2"/>
      </w:pPr>
      <w:r>
        <w:rPr>
          <w:b/>
          <w:color w:val="1A1A2E"/>
          <w:sz w:val="28"/>
        </w:rPr>
        <w:t>2.2. Justificación de la elección</w:t>
      </w:r>
    </w:p>
    <w:p>
      <w:pPr>
        <w:pStyle w:val="ListBullet"/>
        <w:spacing w:after="80"/>
      </w:pPr>
      <w:r>
        <w:rPr>
          <w:b/>
        </w:rPr>
        <w:t xml:space="preserve">Adopción y madurez: </w:t>
      </w:r>
      <w:r>
        <w:t>Es la modalidad estándar utilizada por la mayoría de las plataformas de comercio electrónico y venta de entradas en Argentina, con documentación oficial extensa y mantenimiento activo.</w:t>
      </w:r>
    </w:p>
    <w:p>
      <w:pPr>
        <w:pStyle w:val="ListBullet"/>
        <w:spacing w:after="80"/>
      </w:pPr>
      <w:r>
        <w:rPr>
          <w:b/>
        </w:rPr>
        <w:t xml:space="preserve">Compatibilidad con el desarrollo existente: </w:t>
      </w:r>
      <w:r>
        <w:t>El backend actual (método iniciarCompraOnline / confirmarPagoWebhook) ya fue diseñado replicando el comportamiento exacto de Checkout Pro: creación de una orden pendiente, redirección del comprador y confirmación posterior mediante notificación asincrónica (webhook). La migración a la integración real no requiere modificar la arquitectura, únicamente reemplazar la simulación por las llamadas reales al SDK de MercadoPago.</w:t>
      </w:r>
    </w:p>
    <w:p>
      <w:pPr>
        <w:pStyle w:val="ListBullet"/>
        <w:spacing w:after="80"/>
      </w:pPr>
      <w:r>
        <w:rPr>
          <w:b/>
        </w:rPr>
        <w:t xml:space="preserve">Menor responsabilidad y riesgo: </w:t>
      </w:r>
      <w:r>
        <w:t>Al no manejar datos de tarjeta dentro de la aplicación, se reduce significativamente el alcance de cumplimiento normativo (PCI-DSS) que debe asumir el equipo de desarrollo.</w:t>
      </w:r>
    </w:p>
    <w:p>
      <w:pPr>
        <w:pStyle w:val="ListBullet"/>
        <w:spacing w:after="80"/>
      </w:pPr>
      <w:r>
        <w:rPr>
          <w:b/>
        </w:rPr>
        <w:t xml:space="preserve">Rapidez de implementación: </w:t>
      </w:r>
      <w:r>
        <w:t>Permite comenzar a operar en un plazo considerablemente menor que una integración de checkout transparente.</w:t>
      </w:r>
    </w:p>
    <w:p>
      <w:pPr>
        <w:pBdr>
          <w:bottom w:val="single" w:sz="6" w:space="1" w:color="D8D4E8"/>
        </w:pBdr>
        <w:spacing w:after="280"/>
      </w:pPr>
    </w:p>
    <w:p>
      <w:pPr>
        <w:pStyle w:val="Heading1"/>
      </w:pPr>
      <w:r>
        <w:rPr>
          <w:b/>
          <w:color w:val="7C3AED"/>
          <w:sz w:val="36"/>
        </w:rPr>
        <w:t>3. Funcionamiento del flujo de pago</w:t>
      </w:r>
    </w:p>
    <w:p>
      <w:pPr>
        <w:spacing w:after="160" w:line="276" w:lineRule="auto"/>
      </w:pPr>
      <w:r>
        <w:rPr>
          <w:b w:val="0"/>
          <w:i w:val="0"/>
          <w:sz w:val="22"/>
        </w:rPr>
        <w:t>El proceso de pago mediante Checkout Pro se compone de las siguientes etapas, que involucran tanto una comunicación síncrona (la redirección del comprador) como una comunicación asincrónica independiente (la notificación de pago):</w:t>
      </w:r>
    </w:p>
    <w:p>
      <w:pPr>
        <w:pStyle w:val="ListNumber"/>
        <w:spacing w:after="120"/>
      </w:pPr>
      <w:r>
        <w:rPr>
          <w:b/>
        </w:rPr>
        <w:t xml:space="preserve">Creación de la preferencia. </w:t>
      </w:r>
      <w:r>
        <w:t>El comprador confirma la compra en AsistíAPP. El backend crea una Preferencia de Pago en MercadoPago, indicando el ítem, el monto, las URLs de retorno y una referencia interna (external_reference) que permite identificar la orden correspondiente.</w:t>
      </w:r>
    </w:p>
    <w:p>
      <w:pPr>
        <w:pStyle w:val="ListNumber"/>
        <w:spacing w:after="120"/>
      </w:pPr>
      <w:r>
        <w:rPr>
          <w:b/>
        </w:rPr>
        <w:t xml:space="preserve">Redirección del comprador. </w:t>
      </w:r>
      <w:r>
        <w:t>MercadoPago devuelve una URL de pago (init_point). El comprador es redirigido a esa URL, correspondiente a una página gestionada íntegramente por MercadoPago.</w:t>
      </w:r>
    </w:p>
    <w:p>
      <w:pPr>
        <w:pStyle w:val="ListNumber"/>
        <w:spacing w:after="120"/>
      </w:pPr>
      <w:r>
        <w:rPr>
          <w:b/>
        </w:rPr>
        <w:t xml:space="preserve">Pago en el entorno de MercadoPago. </w:t>
      </w:r>
      <w:r>
        <w:t>El comprador completa el pago en el entorno seguro de MercadoPago, sin que la aplicación de AsistíAPP intervenga en ese proceso ni tenga acceso a los datos de la tarjeta.</w:t>
      </w:r>
    </w:p>
    <w:p>
      <w:pPr>
        <w:pStyle w:val="ListNumber"/>
        <w:spacing w:after="120"/>
      </w:pPr>
      <w:r>
        <w:rPr>
          <w:b/>
        </w:rPr>
        <w:t xml:space="preserve">Notificación asincrónica (webhook). </w:t>
      </w:r>
      <w:r>
        <w:t>Independientemente de si el comprador regresa o no al sitio, MercadoPago envía una notificación asincrónica (webhook) al backend informando el cambio de estado del pago.</w:t>
      </w:r>
    </w:p>
    <w:p>
      <w:pPr>
        <w:pStyle w:val="ListNumber"/>
        <w:spacing w:after="120"/>
      </w:pPr>
      <w:r>
        <w:rPr>
          <w:b/>
        </w:rPr>
        <w:t xml:space="preserve">Verificación del estado real del pago. </w:t>
      </w:r>
      <w:r>
        <w:t>Al recibir la notificación, el backend no debe confiar directamente en su contenido: debe consultar nuevamente a la API de MercadoPago (mediante el identificador del pago) para obtener el estado real y verificado de la transacción.</w:t>
      </w:r>
    </w:p>
    <w:p>
      <w:pPr>
        <w:pStyle w:val="ListNumber"/>
        <w:spacing w:after="120"/>
      </w:pPr>
      <w:r>
        <w:rPr>
          <w:b/>
        </w:rPr>
        <w:t xml:space="preserve">Confirmación de la venta. </w:t>
      </w:r>
      <w:r>
        <w:t>Una vez verificado el pago como aprobado, el backend ejecuta la lógica de negocio ya existente: descuenta el cupo disponible de la tanda, genera el código QR y crea la entrada correspondiente en la base de datos.</w:t>
      </w:r>
    </w:p>
    <w:p>
      <w:pPr>
        <w:pStyle w:val="Heading2"/>
      </w:pPr>
      <w:r>
        <w:rPr>
          <w:b/>
          <w:color w:val="1A1A2E"/>
          <w:sz w:val="28"/>
        </w:rPr>
        <w:t>3.1. Consideraciones de seguridad</w:t>
      </w:r>
    </w:p>
    <w:p>
      <w:pPr>
        <w:pStyle w:val="ListBullet"/>
        <w:spacing w:after="80"/>
      </w:pPr>
      <w:r>
        <w:rPr>
          <w:b/>
        </w:rPr>
        <w:t xml:space="preserve">La redirección no constituye una confirmación válida: </w:t>
      </w:r>
      <w:r>
        <w:t>El comprador puede completar el pago y cerrar el navegador antes de ser redirigido de regreso al sitio. La confirmación de la venta debe basarse exclusivamente en la notificación recibida por webhook, nunca en la redirección.</w:t>
      </w:r>
    </w:p>
    <w:p>
      <w:pPr>
        <w:pStyle w:val="ListBullet"/>
        <w:spacing w:after="80"/>
      </w:pPr>
      <w:r>
        <w:rPr>
          <w:b/>
        </w:rPr>
        <w:t xml:space="preserve">El webhook debe verificarse, no asumirse como válido: </w:t>
      </w:r>
      <w:r>
        <w:t>Cualquier tercero podría intentar enviar una solicitud fraudulenta al endpoint de notificaciones simulando un pago aprobado. Por este motivo, resulta indispensable validar la firma incluida en la cabecera de la solicitud (encabezado de firma provisto por MercadoPago) y, adicionalmente, volver a consultar el estado del pago directamente en la API de MercadoPago antes de dar la venta por confirmada.</w:t>
      </w:r>
    </w:p>
    <w:p>
      <w:pPr>
        <w:pStyle w:val="ListBullet"/>
        <w:spacing w:after="80"/>
      </w:pPr>
      <w:r>
        <w:rPr>
          <w:b/>
        </w:rPr>
        <w:t xml:space="preserve">Idempotencia: </w:t>
      </w:r>
      <w:r>
        <w:t>MercadoPago puede reintentar el envío de una misma notificación. El sistema debe estar preparado para recibir notificaciones duplicadas sin procesar la venta más de una vez.</w:t>
      </w:r>
    </w:p>
    <w:p>
      <w:pPr>
        <w:pStyle w:val="ListBullet"/>
        <w:spacing w:after="80"/>
      </w:pPr>
      <w:r>
        <w:rPr>
          <w:b/>
        </w:rPr>
        <w:t xml:space="preserve">Gestión de credenciales: </w:t>
      </w:r>
      <w:r>
        <w:t>El token de acceso (access token) de la cuenta de MercadoPago es una credencial sensible y debe gestionarse exclusivamente mediante variables de entorno, siguiendo el mismo criterio ya aplicado en el proyecto para otras credenciales (base de datos, autenticación).</w:t>
      </w:r>
    </w:p>
    <w:p>
      <w:pPr>
        <w:pBdr>
          <w:bottom w:val="single" w:sz="6" w:space="1" w:color="D8D4E8"/>
        </w:pBdr>
        <w:spacing w:after="280"/>
      </w:pPr>
    </w:p>
    <w:p>
      <w:pPr>
        <w:pStyle w:val="Heading1"/>
      </w:pPr>
      <w:r>
        <w:rPr>
          <w:b/>
          <w:color w:val="7C3AED"/>
          <w:sz w:val="36"/>
        </w:rPr>
        <w:t>4. Plan de implementación</w:t>
      </w:r>
    </w:p>
    <w:p>
      <w:pPr>
        <w:spacing w:after="160" w:line="276" w:lineRule="auto"/>
      </w:pPr>
      <w:r>
        <w:rPr>
          <w:b w:val="0"/>
          <w:i w:val="0"/>
          <w:sz w:val="22"/>
        </w:rPr>
        <w:t>A continuación se detallan los pasos necesarios para incorporar la integración real de MercadoPago Checkout Pro al proyecto.</w:t>
      </w:r>
    </w:p>
    <w:p>
      <w:pPr>
        <w:pStyle w:val="ListNumber"/>
        <w:spacing w:after="120"/>
      </w:pPr>
      <w:r>
        <w:rPr>
          <w:b/>
        </w:rPr>
        <w:t xml:space="preserve">Registro y obtención de credenciales. </w:t>
      </w:r>
      <w:r>
        <w:t>Crear una aplicación en el Panel de Desarrolladores de MercadoPago y obtener las credenciales de prueba (Public Key y Access Token). Estas credenciales permiten operar en un entorno de pruebas (sandbox), con tarjetas y usuarios ficticios, sin procesar dinero real. Las credenciales de producción se generarán recién al momento del lanzamiento.</w:t>
      </w:r>
    </w:p>
    <w:p>
      <w:pPr>
        <w:pStyle w:val="ListNumber"/>
        <w:spacing w:after="120"/>
      </w:pPr>
      <w:r>
        <w:rPr>
          <w:b/>
        </w:rPr>
        <w:t xml:space="preserve">Configuración del backend. </w:t>
      </w:r>
      <w:r>
        <w:t>Incorporar el SDK oficial de MercadoPago para Java al proyecto backend, y configurar el Access Token como variable de entorno, siguiendo el mismo patrón ya utilizado para el resto de las credenciales del sistema.</w:t>
      </w:r>
    </w:p>
    <w:p>
      <w:pPr>
        <w:pStyle w:val="ListNumber"/>
        <w:spacing w:after="120"/>
      </w:pPr>
      <w:r>
        <w:rPr>
          <w:b/>
        </w:rPr>
        <w:t xml:space="preserve">Creación real de la preferencia de pago. </w:t>
      </w:r>
      <w:r>
        <w:t>Reemplazar la generación de la URL de pago simulada por una llamada real al SDK que cree una Preferencia de Pago, incluyendo el detalle del ítem, el monto, las URLs de retorno y la referencia interna de la orden.</w:t>
      </w:r>
    </w:p>
    <w:p>
      <w:pPr>
        <w:pStyle w:val="ListNumber"/>
        <w:spacing w:after="120"/>
      </w:pPr>
      <w:r>
        <w:rPr>
          <w:b/>
        </w:rPr>
        <w:t xml:space="preserve">Adaptación del endpoint de notificaciones (webhook). </w:t>
      </w:r>
      <w:r>
        <w:t>Modificar el endpoint de confirmación de pago para que, en lugar de recibir directamente la confirmación desde el navegador del comprador, reciba la notificación enviada por MercadoPago, valide su autenticidad y consulte el estado real del pago antes de continuar. La lógica de negocio posterior (descuento de cupo, generación de entrada) se mantiene sin cambios sustanciales.</w:t>
      </w:r>
    </w:p>
    <w:p>
      <w:pPr>
        <w:pStyle w:val="ListNumber"/>
        <w:spacing w:after="120"/>
      </w:pPr>
      <w:r>
        <w:rPr>
          <w:b/>
        </w:rPr>
        <w:t xml:space="preserve">Actualización del frontend. </w:t>
      </w:r>
      <w:r>
        <w:t>Modificar la pantalla de checkout para redirigir al comprador a la URL de pago real provista por MercadoPago, e incorporar pantallas simples de resultado (pago aprobado, pendiente o rechazado).</w:t>
      </w:r>
    </w:p>
    <w:p>
      <w:pPr>
        <w:pStyle w:val="ListNumber"/>
        <w:spacing w:after="120"/>
      </w:pPr>
      <w:r>
        <w:rPr>
          <w:b/>
        </w:rPr>
        <w:t xml:space="preserve">Configuración del entorno de pruebas local. </w:t>
      </w:r>
      <w:r>
        <w:t>Dado que MercadoPago debe poder enviar notificaciones a una dirección accesible desde Internet, y el entorno de desarrollo local no lo es, se requiere utilizar una herramienta de túnel (por ejemplo, ngrok) durante las pruebas, o bien validar contra un entorno ya desplegado.</w:t>
      </w:r>
    </w:p>
    <w:p>
      <w:pPr>
        <w:pStyle w:val="ListNumber"/>
        <w:spacing w:after="120"/>
      </w:pPr>
      <w:r>
        <w:rPr>
          <w:b/>
        </w:rPr>
        <w:t xml:space="preserve">Pruebas en entorno sandbox. </w:t>
      </w:r>
      <w:r>
        <w:t>Ejecutar el flujo completo de compra utilizando las credenciales y tarjetas de prueba provistas por MercadoPago, verificando los tres escenarios posibles: pago aprobado, pendiente y rechazado.</w:t>
      </w:r>
    </w:p>
    <w:p>
      <w:pPr>
        <w:pStyle w:val="ListNumber"/>
        <w:spacing w:after="120"/>
      </w:pPr>
      <w:r>
        <w:rPr>
          <w:b/>
        </w:rPr>
        <w:t xml:space="preserve">Pasaje a producción. </w:t>
      </w:r>
      <w:r>
        <w:t>Una vez validado el funcionamiento en el entorno de pruebas, reemplazar las credenciales de prueba por las credenciales de producción para comenzar a operar con pagos reales.</w:t>
      </w:r>
    </w:p>
    <w:p>
      <w:pPr>
        <w:pStyle w:val="Heading2"/>
      </w:pPr>
      <w:r>
        <w:rPr>
          <w:b/>
          <w:color w:val="1A1A2E"/>
          <w:sz w:val="28"/>
        </w:rPr>
        <w:t>4.1. Alcance adicional</w:t>
      </w:r>
    </w:p>
    <w:p>
      <w:pPr>
        <w:spacing w:after="160" w:line="276" w:lineRule="auto"/>
      </w:pPr>
      <w:r>
        <w:rPr>
          <w:b w:val="0"/>
          <w:i w:val="0"/>
          <w:sz w:val="22"/>
        </w:rPr>
        <w:t>Cabe destacar que el módulo de compra de créditos por parte de los organizadores utiliza actualmente el mismo esquema de simulación (orden pendiente más webhook de confirmación). Por lo tanto, una vez implementada la integración descripta en este documento, el mismo mecanismo podrá reutilizarse para dicho módulo sin trabajo adicional significativo.</w:t>
      </w:r>
    </w:p>
    <w:p>
      <w:pPr>
        <w:pBdr>
          <w:bottom w:val="single" w:sz="6" w:space="1" w:color="D8D4E8"/>
        </w:pBdr>
        <w:spacing w:after="280"/>
      </w:pPr>
    </w:p>
    <w:p>
      <w:pPr>
        <w:pStyle w:val="Heading1"/>
      </w:pPr>
      <w:r>
        <w:rPr>
          <w:b/>
          <w:color w:val="7C3AED"/>
          <w:sz w:val="36"/>
        </w:rPr>
        <w:t>5. Conclusión</w:t>
      </w:r>
    </w:p>
    <w:p>
      <w:pPr>
        <w:spacing w:after="160" w:line="276" w:lineRule="auto"/>
      </w:pPr>
      <w:r>
        <w:rPr>
          <w:b w:val="0"/>
          <w:i w:val="0"/>
          <w:sz w:val="22"/>
        </w:rPr>
        <w:t>La modalidad Checkout Pro de MercadoPago constituye la opción más adecuada para AsistíAPP, dado que combina un menor esfuerzo de implementación, un menor alcance de responsabilidad sobre datos sensibles, y una compatibilidad directa con la arquitectura ya definida en el sistema. Se recomienda avanzar con el plan de implementación detallado en la Sección 4, comenzando por la etapa de registro y configuración de credenciales de prueba.</w:t>
      </w:r>
    </w:p>
    <w:p>
      <w:pPr>
        <w:spacing w:after="160" w:line="276" w:lineRule="auto"/>
      </w:pPr>
      <w:r>
        <w:rPr>
          <w:b w:val="0"/>
          <w:i w:val="0"/>
          <w:sz w:val="22"/>
        </w:rPr>
        <w:t xml:space="preserve"> </w:t>
      </w:r>
    </w:p>
    <w:p>
      <w:pPr>
        <w:jc w:val="center"/>
      </w:pPr>
      <w:r>
        <w:rPr>
          <w:i/>
          <w:color w:val="555555"/>
          <w:sz w:val="18"/>
        </w:rPr>
        <w:t>Documento preparado para el equipo de desarrollo de AsistíAPP</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