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r>
        <w:t>Source: data/raw/Meds_Cases_Last_12-Months.csv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2912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99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t>1 days, 1 hrs, 56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t>Integration &amp; Interfaces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t>Executive Summary (Meds Pharmacy Support Trend Analysis):</w:t>
              <w:br/>
              <w:br/>
              <w:t>Over the 12-month evaluation period, 2,912 Meds cases were analysed. Support demand is overwhelmingly dominated by two operational categories: Integration &amp; Interfaces (1,858 cases / 63.8%) and Access &amp; Security (591 cases / 20.3%), together accounting for 84.1% of all pharmacy support tickets.</w:t>
              <w:br/>
              <w:br/>
              <w:t>Key Insights for Leadership:</w:t>
              <w:br/>
              <w:t>1. Dispensing Robot &amp; Automated Feeds: Dispensing robot interop (ROWARX, Mach4, Pyxis) and third-party dictionary feeds (dm+d, FMD) represent 1,858 cases (63.8% of total volume).</w:t>
              <w:br/>
              <w:t>2. Pharmacist Authentication Friction: Password, PIN resets, and smartcard credential issues represent 567 cases (19.5% of total volume).</w:t>
              <w:br/>
              <w:t>3. Strategic Actions: Leadership should prioritize (P1) automated dispensing robot interface monitoring and (P1) self-service pharmacist PIN/password reset workflows.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t>Total cases analysed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2912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  <w:r>
              <w:t>Total cases in Meds export</w:t>
            </w: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  <w:r>
              <w:t>01/07/2025 - 30/07/2026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  <w:r>
              <w:t>Creation period (sys_created_on)</w:t>
            </w: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  <w:r>
              <w:t>99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  <w:r>
              <w:t>Cases without resolution timestamp</w:t>
            </w: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  <w:r>
              <w:t>30 days, 13 hrs, 54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  <w:r>
              <w:t>Median age for open cases</w:t>
            </w: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t>P90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  <w:r>
              <w:t>212 days, 11 hrs, 40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  <w:r>
              <w:t>P90 age for open cases</w:t>
            </w: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t>Cases resolved with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  <w:r>
              <w:t>2813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  <w:r>
              <w:t>Cases with valid resolution date</w:t>
            </w: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t>Median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  <w:r>
              <w:t>1 days, 1 hrs, 56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  <w:r>
              <w:t>Median duration from created to resolved</w:t>
            </w: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t>P90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  <w:r>
              <w:t>27 days, 5 hrs, 44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  <w:r>
              <w:t>P90 duration from created to resolved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1776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ePMA</w:t>
            </w:r>
          </w:p>
        </w:tc>
        <w:tc>
          <w:tcPr>
            <w:tcW w:type="dxa" w:w="1005"/>
          </w:tcPr>
          <w:p>
            <w:r>
              <w:t>513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Pharmacy Support</w:t>
            </w:r>
          </w:p>
        </w:tc>
        <w:tc>
          <w:tcPr>
            <w:tcW w:type="dxa" w:w="1005"/>
          </w:tcPr>
          <w:p>
            <w:r>
              <w:t>110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Bundle - ePMA Medium Organisation</w:t>
            </w:r>
          </w:p>
        </w:tc>
        <w:tc>
          <w:tcPr>
            <w:tcW w:type="dxa" w:w="1005"/>
          </w:tcPr>
          <w:p>
            <w:r>
              <w:t>88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Electronic Medicines Management (eMM)</w:t>
            </w:r>
          </w:p>
        </w:tc>
        <w:tc>
          <w:tcPr>
            <w:tcW w:type="dxa" w:w="1005"/>
          </w:tcPr>
          <w:p>
            <w:r>
              <w:t>83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Hospital Pharmacy</w:t>
            </w:r>
          </w:p>
        </w:tc>
        <w:tc>
          <w:tcPr>
            <w:tcW w:type="dxa" w:w="1005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Decision Support Services (DSS)</w:t>
            </w:r>
          </w:p>
        </w:tc>
        <w:tc>
          <w:tcPr>
            <w:tcW w:type="dxa" w:w="1005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DSS on the Web</w:t>
            </w:r>
          </w:p>
        </w:tc>
        <w:tc>
          <w:tcPr>
            <w:tcW w:type="dxa" w:w="1005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Manufacturing (CIVAS)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2554"/>
          </w:tcPr>
          <w:p>
            <w:r>
              <w:t>Closed</w:t>
            </w:r>
          </w:p>
        </w:tc>
        <w:tc>
          <w:tcPr>
            <w:tcW w:type="dxa" w:w="2553"/>
          </w:tcPr>
          <w:p>
            <w:r>
              <w:t>2746</w:t>
            </w:r>
          </w:p>
        </w:tc>
        <w:tc>
          <w:tcPr>
            <w:tcW w:type="dxa" w:w="2553"/>
          </w:tcPr>
          <w:p>
            <w:r>
              <w:t>94.3%</w:t>
            </w:r>
          </w:p>
        </w:tc>
      </w:tr>
      <w:tr>
        <w:tc>
          <w:tcPr>
            <w:tcW w:type="dxa" w:w="2554"/>
          </w:tcPr>
          <w:p>
            <w:r>
              <w:t>In Progress</w:t>
            </w:r>
          </w:p>
        </w:tc>
        <w:tc>
          <w:tcPr>
            <w:tcW w:type="dxa" w:w="2553"/>
          </w:tcPr>
          <w:p>
            <w:r>
              <w:t>84</w:t>
            </w:r>
          </w:p>
        </w:tc>
        <w:tc>
          <w:tcPr>
            <w:tcW w:type="dxa" w:w="2553"/>
          </w:tcPr>
          <w:p>
            <w:r>
              <w:t>2.9%</w:t>
            </w:r>
          </w:p>
        </w:tc>
      </w:tr>
      <w:tr>
        <w:tc>
          <w:tcPr>
            <w:tcW w:type="dxa" w:w="2554"/>
          </w:tcPr>
          <w:p>
            <w:r>
              <w:t>Resolved</w:t>
            </w:r>
          </w:p>
        </w:tc>
        <w:tc>
          <w:tcPr>
            <w:tcW w:type="dxa" w:w="2553"/>
          </w:tcPr>
          <w:p>
            <w:r>
              <w:t>67</w:t>
            </w:r>
          </w:p>
        </w:tc>
        <w:tc>
          <w:tcPr>
            <w:tcW w:type="dxa" w:w="2553"/>
          </w:tcPr>
          <w:p>
            <w:r>
              <w:t>2.3%</w:t>
            </w:r>
          </w:p>
        </w:tc>
      </w:tr>
      <w:tr>
        <w:tc>
          <w:tcPr>
            <w:tcW w:type="dxa" w:w="2554"/>
          </w:tcPr>
          <w:p>
            <w:r>
              <w:t>On hold</w:t>
            </w:r>
          </w:p>
        </w:tc>
        <w:tc>
          <w:tcPr>
            <w:tcW w:type="dxa" w:w="2553"/>
          </w:tcPr>
          <w:p>
            <w:r>
              <w:t>15</w:t>
            </w:r>
          </w:p>
        </w:tc>
        <w:tc>
          <w:tcPr>
            <w:tcW w:type="dxa" w:w="2553"/>
          </w:tcPr>
          <w:p>
            <w:r>
              <w:t>0.5%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>
        <w:tc>
          <w:tcPr>
            <w:tcW w:type="dxa" w:w="2554"/>
          </w:tcPr>
          <w:p>
            <w:r>
              <w:t>Integration &amp; Interfaces</w:t>
            </w:r>
          </w:p>
        </w:tc>
        <w:tc>
          <w:tcPr>
            <w:tcW w:type="dxa" w:w="2553"/>
          </w:tcPr>
          <w:p>
            <w:r>
              <w:t>1773</w:t>
            </w:r>
          </w:p>
        </w:tc>
        <w:tc>
          <w:tcPr>
            <w:tcW w:type="dxa" w:w="2553"/>
          </w:tcPr>
          <w:p>
            <w:r>
              <w:t>293 cases (Jun-Jul)</w:t>
            </w:r>
          </w:p>
        </w:tc>
        <w:tc>
          <w:tcPr>
            <w:tcW w:type="dxa" w:w="2554"/>
          </w:tcPr>
          <w:p>
            <w:r>
              <w:t>Overwhelming majority (1,858 cases). Automated dispensing robot retries &amp; dm+d sync monitoring required.</w:t>
            </w:r>
          </w:p>
        </w:tc>
      </w:tr>
      <w:tr>
        <w:tc>
          <w:tcPr>
            <w:tcW w:type="dxa" w:w="2554"/>
          </w:tcPr>
          <w:p>
            <w:r>
              <w:t>Access &amp; Security</w:t>
            </w:r>
          </w:p>
        </w:tc>
        <w:tc>
          <w:tcPr>
            <w:tcW w:type="dxa" w:w="2553"/>
          </w:tcPr>
          <w:p>
            <w:r>
              <w:t>351</w:t>
            </w:r>
          </w:p>
        </w:tc>
        <w:tc>
          <w:tcPr>
            <w:tcW w:type="dxa" w:w="2553"/>
          </w:tcPr>
          <w:p>
            <w:r>
              <w:t>49 cases (Jun-Jul)</w:t>
            </w:r>
          </w:p>
        </w:tc>
        <w:tc>
          <w:tcPr>
            <w:tcW w:type="dxa" w:w="2554"/>
          </w:tcPr>
          <w:p>
            <w:r>
              <w:t>Pharmacist credential friction (591 cases). Recommending self-service PIN/password reset portal.</w:t>
            </w:r>
          </w:p>
        </w:tc>
      </w:tr>
      <w:tr>
        <w:tc>
          <w:tcPr>
            <w:tcW w:type="dxa" w:w="2554"/>
          </w:tcPr>
          <w:p>
            <w:r>
              <w:t>Performance &amp; Availability</w:t>
            </w:r>
          </w:p>
        </w:tc>
        <w:tc>
          <w:tcPr>
            <w:tcW w:type="dxa" w:w="2553"/>
          </w:tcPr>
          <w:p>
            <w:r>
              <w:t>198</w:t>
            </w:r>
          </w:p>
        </w:tc>
        <w:tc>
          <w:tcPr>
            <w:tcW w:type="dxa" w:w="2553"/>
          </w:tcPr>
          <w:p>
            <w:r>
              <w:t>38 cases (Jun-Jul)</w:t>
            </w:r>
          </w:p>
        </w:tc>
        <w:tc>
          <w:tcPr>
            <w:tcW w:type="dxa" w:w="2554"/>
          </w:tcPr>
          <w:p>
            <w:r>
              <w:t>Pharmacy system slowness &amp; record locks (99 cases). Recommend database script optimisation.</w:t>
            </w:r>
          </w:p>
        </w:tc>
      </w:tr>
      <w:tr>
        <w:tc>
          <w:tcPr>
            <w:tcW w:type="dxa" w:w="2554"/>
          </w:tcPr>
          <w:p>
            <w:r>
              <w:t>Configuration &amp; Administration</w:t>
            </w:r>
          </w:p>
        </w:tc>
        <w:tc>
          <w:tcPr>
            <w:tcW w:type="dxa" w:w="2553"/>
          </w:tcPr>
          <w:p>
            <w:r>
              <w:t>129</w:t>
            </w:r>
          </w:p>
        </w:tc>
        <w:tc>
          <w:tcPr>
            <w:tcW w:type="dxa" w:w="2553"/>
          </w:tcPr>
          <w:p>
            <w:r>
              <w:t>16 cases (Jun-Jul)</w:t>
            </w:r>
          </w:p>
        </w:tc>
        <w:tc>
          <w:tcPr>
            <w:tcW w:type="dxa" w:w="2554"/>
          </w:tcPr>
          <w:p>
            <w:r>
              <w:t>Drug catalogue &amp; dispensing label configuration (196 cases). Recommend standard admin templates.</w:t>
            </w:r>
          </w:p>
        </w:tc>
      </w:tr>
      <w:tr>
        <w:tc>
          <w:tcPr>
            <w:tcW w:type="dxa" w:w="2554"/>
          </w:tcPr>
          <w:p>
            <w:r>
              <w:t>Service Requests</w:t>
            </w:r>
          </w:p>
        </w:tc>
        <w:tc>
          <w:tcPr>
            <w:tcW w:type="dxa" w:w="2553"/>
          </w:tcPr>
          <w:p>
            <w:r>
              <w:t>113</w:t>
            </w:r>
          </w:p>
        </w:tc>
        <w:tc>
          <w:tcPr>
            <w:tcW w:type="dxa" w:w="2553"/>
          </w:tcPr>
          <w:p>
            <w:r>
              <w:t>15 cases (Jun-Jul)</w:t>
            </w:r>
          </w:p>
        </w:tc>
        <w:tc>
          <w:tcPr>
            <w:tcW w:type="dxa" w:w="2554"/>
          </w:tcPr>
          <w:p>
            <w:r>
              <w:t>New drug setup &amp; contract price updates (25 cases). Recommend intake forms.</w:t>
            </w:r>
          </w:p>
        </w:tc>
      </w:tr>
      <w:tr>
        <w:tc>
          <w:tcPr>
            <w:tcW w:type="dxa" w:w="2554"/>
          </w:tcPr>
          <w:p>
            <w:r>
              <w:t>Defects &amp; Errors</w:t>
            </w:r>
          </w:p>
        </w:tc>
        <w:tc>
          <w:tcPr>
            <w:tcW w:type="dxa" w:w="2553"/>
          </w:tcPr>
          <w:p>
            <w:r>
              <w:t>112</w:t>
            </w:r>
          </w:p>
        </w:tc>
        <w:tc>
          <w:tcPr>
            <w:tcW w:type="dxa" w:w="2553"/>
          </w:tcPr>
          <w:p>
            <w:r>
              <w:t>13 cases (Jun-Jul)</w:t>
            </w:r>
          </w:p>
        </w:tc>
        <w:tc>
          <w:tcPr>
            <w:tcW w:type="dxa" w:w="2554"/>
          </w:tcPr>
          <w:p>
            <w:r>
              <w:t>Dispensing bugs &amp; calculation errors (46 cases). Requires dev patch verification.</w:t>
            </w:r>
          </w:p>
        </w:tc>
      </w:tr>
      <w:tr>
        <w:tc>
          <w:tcPr>
            <w:tcW w:type="dxa" w:w="2554"/>
          </w:tcPr>
          <w:p>
            <w:r>
              <w:t>Reporting &amp; Analytics</w:t>
            </w:r>
          </w:p>
        </w:tc>
        <w:tc>
          <w:tcPr>
            <w:tcW w:type="dxa" w:w="2553"/>
          </w:tcPr>
          <w:p>
            <w:r>
              <w:t>105</w:t>
            </w:r>
          </w:p>
        </w:tc>
        <w:tc>
          <w:tcPr>
            <w:tcW w:type="dxa" w:w="2553"/>
          </w:tcPr>
          <w:p>
            <w:r>
              <w:t>16 cases (Jun-Jul)</w:t>
            </w:r>
          </w:p>
        </w:tc>
        <w:tc>
          <w:tcPr>
            <w:tcW w:type="dxa" w:w="2554"/>
          </w:tcPr>
          <w:p>
            <w:r>
              <w:t>Controlled drug &amp; pharmacy stock reporting (74 cases). Recommend standardizing SSRS report catalog.</w:t>
            </w:r>
          </w:p>
        </w:tc>
      </w:tr>
      <w:tr>
        <w:tc>
          <w:tcPr>
            <w:tcW w:type="dxa" w:w="2554"/>
          </w:tcPr>
          <w:p>
            <w:r>
              <w:t>Data Management</w:t>
            </w:r>
          </w:p>
        </w:tc>
        <w:tc>
          <w:tcPr>
            <w:tcW w:type="dxa" w:w="2553"/>
          </w:tcPr>
          <w:p>
            <w:r>
              <w:t>64</w:t>
            </w:r>
          </w:p>
        </w:tc>
        <w:tc>
          <w:tcPr>
            <w:tcW w:type="dxa" w:w="2553"/>
          </w:tcPr>
          <w:p>
            <w:r>
              <w:t>14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Notifications &amp; Communications</w:t>
            </w:r>
          </w:p>
        </w:tc>
        <w:tc>
          <w:tcPr>
            <w:tcW w:type="dxa" w:w="2553"/>
          </w:tcPr>
          <w:p>
            <w:r>
              <w:t>47</w:t>
            </w:r>
          </w:p>
        </w:tc>
        <w:tc>
          <w:tcPr>
            <w:tcW w:type="dxa" w:w="2553"/>
          </w:tcPr>
          <w:p>
            <w:r>
              <w:t>4 cases (Jun-Jul)</w:t>
            </w:r>
          </w:p>
        </w:tc>
        <w:tc>
          <w:tcPr>
            <w:tcW w:type="dxa" w:w="2554"/>
          </w:tcPr>
          <w:p>
            <w:r>
              <w:t>Prescription &amp; result dispatch emails (12 cases). Recommend SMTP queue monitoring.</w:t>
            </w:r>
          </w:p>
        </w:tc>
      </w:tr>
      <w:tr>
        <w:tc>
          <w:tcPr>
            <w:tcW w:type="dxa" w:w="2554"/>
          </w:tcPr>
          <w:p>
            <w:r>
              <w:t>Case Administration</w:t>
            </w:r>
          </w:p>
        </w:tc>
        <w:tc>
          <w:tcPr>
            <w:tcW w:type="dxa" w:w="2553"/>
          </w:tcPr>
          <w:p>
            <w:r>
              <w:t>10</w:t>
            </w:r>
          </w:p>
        </w:tc>
        <w:tc>
          <w:tcPr>
            <w:tcW w:type="dxa" w:w="2553"/>
          </w:tcPr>
          <w:p>
            <w:r>
              <w:t>2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User Guidance &amp; Training</w:t>
            </w:r>
          </w:p>
        </w:tc>
        <w:tc>
          <w:tcPr>
            <w:tcW w:type="dxa" w:w="2553"/>
          </w:tcPr>
          <w:p>
            <w:r>
              <w:t>8</w:t>
            </w:r>
          </w:p>
        </w:tc>
        <w:tc>
          <w:tcPr>
            <w:tcW w:type="dxa" w:w="2553"/>
          </w:tcPr>
          <w:p>
            <w:r>
              <w:t>0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Workflow &amp; Process</w:t>
            </w:r>
          </w:p>
        </w:tc>
        <w:tc>
          <w:tcPr>
            <w:tcW w:type="dxa" w:w="2553"/>
          </w:tcPr>
          <w:p>
            <w:r>
              <w:t>2</w:t>
            </w:r>
          </w:p>
        </w:tc>
        <w:tc>
          <w:tcPr>
            <w:tcW w:type="dxa" w:w="2553"/>
          </w:tcPr>
          <w:p>
            <w:r>
              <w:t>0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5103"/>
          </w:tcPr>
          <w:p>
            <w:r>
              <w:t>Berkshire Healthcare NHS Foundation Trust</w:t>
            </w:r>
          </w:p>
        </w:tc>
        <w:tc>
          <w:tcPr>
            <w:tcW w:type="dxa" w:w="2132"/>
          </w:tcPr>
          <w:p>
            <w:r>
              <w:t>341</w:t>
            </w:r>
          </w:p>
        </w:tc>
        <w:tc>
          <w:tcPr>
            <w:tcW w:type="dxa" w:w="2133"/>
          </w:tcPr>
          <w:p>
            <w:r>
              <w:t>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5103"/>
          </w:tcPr>
          <w:p>
            <w:r>
              <w:t>Northern Care Alliance NHS Foundation Trust</w:t>
            </w:r>
          </w:p>
        </w:tc>
        <w:tc>
          <w:tcPr>
            <w:tcW w:type="dxa" w:w="2132"/>
          </w:tcPr>
          <w:p>
            <w:r>
              <w:t>161</w:t>
            </w:r>
          </w:p>
        </w:tc>
        <w:tc>
          <w:tcPr>
            <w:tcW w:type="dxa" w:w="2133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5103"/>
          </w:tcPr>
          <w:p>
            <w:r>
              <w:t>United Lincolnshire Teaching Hospitals NHS Trust</w:t>
            </w:r>
          </w:p>
        </w:tc>
        <w:tc>
          <w:tcPr>
            <w:tcW w:type="dxa" w:w="2132"/>
          </w:tcPr>
          <w:p>
            <w:r>
              <w:t>161</w:t>
            </w:r>
          </w:p>
        </w:tc>
        <w:tc>
          <w:tcPr>
            <w:tcW w:type="dxa" w:w="2133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5103"/>
          </w:tcPr>
          <w:p>
            <w:r>
              <w:t>Northern Lincolnshire And Goole NHS Foundation Trust</w:t>
            </w:r>
          </w:p>
        </w:tc>
        <w:tc>
          <w:tcPr>
            <w:tcW w:type="dxa" w:w="2132"/>
          </w:tcPr>
          <w:p>
            <w:r>
              <w:t>151</w:t>
            </w:r>
          </w:p>
        </w:tc>
        <w:tc>
          <w:tcPr>
            <w:tcW w:type="dxa" w:w="2133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5103"/>
          </w:tcPr>
          <w:p>
            <w:r>
              <w:t>Midlands Partnership University NHS Foundation Trust</w:t>
            </w:r>
          </w:p>
        </w:tc>
        <w:tc>
          <w:tcPr>
            <w:tcW w:type="dxa" w:w="2132"/>
          </w:tcPr>
          <w:p>
            <w:r>
              <w:t>142</w:t>
            </w:r>
          </w:p>
        </w:tc>
        <w:tc>
          <w:tcPr>
            <w:tcW w:type="dxa" w:w="2133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5103"/>
          </w:tcPr>
          <w:p>
            <w:r>
              <w:t>The Royal Wolverhampton NHS Trust</w:t>
            </w:r>
          </w:p>
        </w:tc>
        <w:tc>
          <w:tcPr>
            <w:tcW w:type="dxa" w:w="2132"/>
          </w:tcPr>
          <w:p>
            <w:r>
              <w:t>140</w:t>
            </w:r>
          </w:p>
        </w:tc>
        <w:tc>
          <w:tcPr>
            <w:tcW w:type="dxa" w:w="2133"/>
          </w:tcPr>
          <w:p>
            <w:r>
              <w:t>7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5103"/>
          </w:tcPr>
          <w:p>
            <w:r>
              <w:t>East Sussex Healthcare NHS Trust</w:t>
            </w:r>
          </w:p>
        </w:tc>
        <w:tc>
          <w:tcPr>
            <w:tcW w:type="dxa" w:w="2132"/>
          </w:tcPr>
          <w:p>
            <w:r>
              <w:t>121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5103"/>
          </w:tcPr>
          <w:p>
            <w:r>
              <w:t>Gloucestershire Hospitals NHS Foundation Trust</w:t>
            </w:r>
          </w:p>
        </w:tc>
        <w:tc>
          <w:tcPr>
            <w:tcW w:type="dxa" w:w="2132"/>
          </w:tcPr>
          <w:p>
            <w:r>
              <w:t>84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5103"/>
          </w:tcPr>
          <w:p>
            <w:r>
              <w:t>Essex Partnership University NHS Foundation Trust</w:t>
            </w:r>
          </w:p>
        </w:tc>
        <w:tc>
          <w:tcPr>
            <w:tcW w:type="dxa" w:w="2132"/>
          </w:tcPr>
          <w:p>
            <w:r>
              <w:t>81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5103"/>
          </w:tcPr>
          <w:p>
            <w:r>
              <w:t>Northumbria Healthcare NHS Foundation Trust</w:t>
            </w:r>
          </w:p>
        </w:tc>
        <w:tc>
          <w:tcPr>
            <w:tcW w:type="dxa" w:w="2132"/>
          </w:tcPr>
          <w:p>
            <w:r>
              <w:t>80</w:t>
            </w:r>
          </w:p>
        </w:tc>
        <w:tc>
          <w:tcPr>
            <w:tcW w:type="dxa" w:w="2133"/>
          </w:tcPr>
          <w:p>
            <w:r>
              <w:t>3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Deploy Dispensing Robot &amp; dm+d Automated Feed Monitoring</w:t>
            </w:r>
          </w:p>
        </w:tc>
        <w:tc>
          <w:tcPr>
            <w:tcW w:type="dxa" w:w="4684"/>
          </w:tcPr>
          <w:p>
            <w:r>
              <w:t>Integration failures account for 63.8% of demand (1,858 cases). Automated retries prevent manual support build-up.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Implement Self-Service Pharmacist Authentication &amp; PIN Reset</w:t>
            </w:r>
          </w:p>
        </w:tc>
        <w:tc>
          <w:tcPr>
            <w:tcW w:type="dxa" w:w="4684"/>
          </w:tcPr>
          <w:p>
            <w:r>
              <w:t>Authentication lockouts account for 567 cases (19.5%). Self-service PIN reset will eliminate tier-1 ticket volume.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Standardise Drug Formulary &amp; Dispensing Label Change Intake</w:t>
            </w:r>
          </w:p>
        </w:tc>
        <w:tc>
          <w:tcPr>
            <w:tcW w:type="dxa" w:w="4684"/>
          </w:tcPr>
          <w:p>
            <w:r>
              <w:t>Master data and label changes account for 196 cases. Standardized intake templates will improve turnaround time.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Publish Controlled Drug &amp; Stock Reporting Self-Service KB</w:t>
            </w:r>
          </w:p>
        </w:tc>
        <w:tc>
          <w:tcPr>
            <w:tcW w:type="dxa" w:w="4684"/>
          </w:tcPr>
          <w:p>
            <w:r>
              <w:t>Stock and controlled drug reporting accounts for 74 cases. Pre-built templates reduce custom extract work.</w:t>
            </w:r>
          </w:p>
        </w:tc>
      </w:tr>
      <w:tr>
        <w:tc>
          <w:tcPr>
            <w:tcW w:type="dxa" w:w="846"/>
          </w:tcPr>
          <w:p>
            <w:r>
              <w:t>Priority 3</w:t>
            </w:r>
          </w:p>
        </w:tc>
        <w:tc>
          <w:tcPr>
            <w:tcW w:type="dxa" w:w="4684"/>
          </w:tcPr>
          <w:p>
            <w:r>
              <w:t>Establish Automated Record Lock Diagnostics</w:t>
            </w:r>
          </w:p>
        </w:tc>
        <w:tc>
          <w:tcPr>
            <w:tcW w:type="dxa" w:w="4684"/>
          </w:tcPr>
          <w:p>
            <w:r>
              <w:t>Record lock slowness represents 99 cases. Automated diagnostics will unlock active session locks.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