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00" w:after="200"/>
        <w:jc w:val="center"/>
        <w:rPr/>
      </w:pPr>
      <w:r>
        <w:rPr>
          <w:rFonts w:ascii="Aptos Display" w:hAnsi="Aptos Display"/>
          <w:b/>
          <w:color w:val="153D64"/>
          <w:sz w:val="52"/>
        </w:rPr>
        <w:t>Meds</w:t>
      </w:r>
      <w:r>
        <w:rPr>
          <w:rFonts w:ascii="Aptos Display" w:hAnsi="Aptos Display"/>
          <w:b/>
          <w:color w:val="153D64"/>
          <w:sz w:val="52"/>
        </w:rPr>
        <w:t xml:space="preserve"> Case Trend Report</w:t>
      </w:r>
    </w:p>
    <w:p>
      <w:pPr>
        <w:pStyle w:val="Normal"/>
        <w:jc w:val="center"/>
        <w:rPr/>
      </w:pPr>
      <w:r>
        <w:rPr>
          <w:color w:val="505050"/>
          <w:sz w:val="26"/>
        </w:rPr>
        <w:t>Management-level analysis of ServiceNow case export</w:t>
      </w:r>
    </w:p>
    <w:p>
      <w:pPr>
        <w:pStyle w:val="Normal"/>
        <w:jc w:val="center"/>
        <w:rPr/>
      </w:pPr>
      <w:r>
        <w:rPr/>
        <w:t>Source: data/raw/Meds_Cases_Last_12-Months.csv</w:t>
      </w:r>
    </w:p>
    <w:tbl>
      <w:tblPr>
        <w:tblW w:w="10224" w:type="dxa"/>
        <w:jc w:val="center"/>
        <w:tblInd w:w="0" w:type="dxa"/>
        <w:tblLayout w:type="fixed"/>
        <w:tblCellMar>
          <w:top w:w="160" w:type="dxa"/>
          <w:start w:w="100" w:type="dxa"/>
          <w:bottom w:w="80" w:type="dxa"/>
          <w:end w:w="100" w:type="dxa"/>
        </w:tblCellMar>
        <w:tblLook w:noHBand="0" w:noVBand="1" w:firstColumn="1" w:lastRow="0" w:lastColumn="0" w:firstRow="1" w:val="04a0"/>
      </w:tblPr>
      <w:tblGrid>
        <w:gridCol w:w="2342"/>
        <w:gridCol w:w="3261"/>
        <w:gridCol w:w="2292"/>
        <w:gridCol w:w="2329"/>
      </w:tblGrid>
      <w:tr>
        <w:trPr>
          <w:tblHeader w:val="true"/>
        </w:trPr>
        <w:tc>
          <w:tcPr>
            <w:tcW w:w="2342" w:type="dxa"/>
            <w:tcBorders/>
            <w:shd w:color="auto" w:fill="153D64" w:val="clear"/>
          </w:tcPr>
          <w:p>
            <w:pPr>
              <w:pStyle w:val="Normal"/>
              <w:spacing w:before="0" w:after="200"/>
              <w:jc w:val="center"/>
              <w:rPr>
                <w:b/>
                <w:bCs/>
                <w:sz w:val="34"/>
                <w:szCs w:val="34"/>
              </w:rPr>
            </w:pPr>
            <w:r>
              <w:rPr/>
              <w:t>2912</w:t>
            </w:r>
          </w:p>
        </w:tc>
        <w:tc>
          <w:tcPr>
            <w:tcW w:w="3261" w:type="dxa"/>
            <w:tcBorders/>
            <w:shd w:color="auto" w:fill="153D64" w:val="clear"/>
          </w:tcPr>
          <w:p>
            <w:pPr>
              <w:pStyle w:val="Normal"/>
              <w:spacing w:before="0" w:after="200"/>
              <w:jc w:val="center"/>
              <w:rPr>
                <w:b/>
                <w:bCs/>
                <w:sz w:val="34"/>
                <w:szCs w:val="34"/>
              </w:rPr>
            </w:pPr>
            <w:r>
              <w:rPr/>
              <w:t>99</w:t>
            </w:r>
          </w:p>
        </w:tc>
        <w:tc>
          <w:tcPr>
            <w:tcW w:w="2292" w:type="dxa"/>
            <w:tcBorders/>
            <w:shd w:color="auto" w:fill="153D64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1 days, 1 hrs, 56 mins</w:t>
            </w:r>
          </w:p>
        </w:tc>
        <w:tc>
          <w:tcPr>
            <w:tcW w:w="2329" w:type="dxa"/>
            <w:tcBorders/>
            <w:shd w:color="auto" w:fill="153D64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Integration &amp; Interfaces</w:t>
            </w:r>
          </w:p>
        </w:tc>
      </w:tr>
      <w:tr>
        <w:trPr/>
        <w:tc>
          <w:tcPr>
            <w:tcW w:w="2342" w:type="dxa"/>
            <w:tcBorders/>
            <w:shd w:color="auto" w:fill="EAF2F8" w:val="clear"/>
            <w:tcMar>
              <w:top w:w="80" w:type="dxa"/>
              <w:bottom w:w="1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3261" w:type="dxa"/>
            <w:tcBorders/>
            <w:shd w:color="auto" w:fill="EAF2F8" w:val="clear"/>
            <w:tcMar>
              <w:top w:w="80" w:type="dxa"/>
              <w:bottom w:w="1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292" w:type="dxa"/>
            <w:tcBorders/>
            <w:shd w:color="auto" w:fill="EAF2F8" w:val="clear"/>
            <w:tcMar>
              <w:top w:w="80" w:type="dxa"/>
              <w:bottom w:w="1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329" w:type="dxa"/>
            <w:tcBorders/>
            <w:shd w:color="auto" w:fill="EAF2F8" w:val="clear"/>
            <w:tcMar>
              <w:top w:w="80" w:type="dxa"/>
              <w:bottom w:w="14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153D64"/>
                <w:sz w:val="17"/>
              </w:rPr>
              <w:t xml:space="preserve">Largest trending 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Executive summary</w:t>
      </w:r>
    </w:p>
    <w:tbl>
      <w:tblPr>
        <w:tblW w:w="10224" w:type="dxa"/>
        <w:jc w:val="center"/>
        <w:tblInd w:w="0" w:type="dxa"/>
        <w:tblLayout w:type="fixed"/>
        <w:tblCellMar>
          <w:top w:w="160" w:type="dxa"/>
          <w:start w:w="180" w:type="dxa"/>
          <w:bottom w:w="160" w:type="dxa"/>
          <w:end w:w="180" w:type="dxa"/>
        </w:tblCellMar>
        <w:tblLook w:noHBand="0" w:noVBand="1" w:firstColumn="1" w:lastRow="0" w:lastColumn="0" w:firstRow="1" w:val="04a0"/>
      </w:tblPr>
      <w:tblGrid>
        <w:gridCol w:w="10224"/>
      </w:tblGrid>
      <w:tr>
        <w:trPr>
          <w:tblHeader w:val="true"/>
        </w:trPr>
        <w:tc>
          <w:tcPr>
            <w:tcW w:w="10224" w:type="dxa"/>
            <w:tcBorders/>
            <w:shd w:color="auto" w:fill="EAF2F8" w:val="clear"/>
          </w:tcPr>
          <w:p>
            <w:pPr>
              <w:pStyle w:val="Normal"/>
              <w:rPr/>
            </w:pPr>
            <w:r>
              <w:rPr/>
              <w:t>Executive Summary (Meds Pharmacy Support Trend Analysis):</w:t>
              <w:br/>
              <w:br/>
              <w:t>Over the 12-month evaluation period, 2,912 Meds cases were analysed. Support demand is overwhelmingly dominated by two operational categories: Integration &amp; Interfaces (1,858 cases / 63.8%) and Access &amp; Security (591 cases / 20.3%), together accounting for 84.1% of all pharmacy support tickets.</w:t>
              <w:br/>
              <w:br/>
              <w:t>Key Insights for Leadership:</w:t>
              <w:br/>
              <w:t>1. Dispensing Robot &amp; Automated Feeds: Dispensing robot interop (ROWARX, Mach4, Pyxis) and third-party dictionary feeds (dm+d, FMD) represent 1,858 cases (63.8% of total volume).</w:t>
              <w:br/>
              <w:t>2. Pharmacist Authentication Friction: Password, PIN resets, and smartcard credential issues represent 567 cases (19.5% of total volume).</w:t>
              <w:br/>
              <w:t>3. Strategic Actions: Leadership should prioritize (P1) automated dispensing robot interface monitoring and (P1) self-service pharmacist PIN/password reset workflows.</w:t>
            </w:r>
          </w:p>
          <w:p>
            <w:pPr>
              <w:pStyle w:val="Normal"/>
              <w:spacing w:before="80" w:after="20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>
          <w:b/>
        </w:rPr>
        <w:t xml:space="preserve">Key interpretation: </w:t>
      </w:r>
      <w:r>
        <w:rPr/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>
      <w:pPr>
        <w:pStyle w:val="Heading2"/>
        <w:rPr/>
      </w:pPr>
      <w:r>
        <w:rPr/>
        <w:t>Key metrics</w:t>
      </w:r>
    </w:p>
    <w:tbl>
      <w:tblPr>
        <w:tblStyle w:val="TableGrid"/>
        <w:tblW w:w="10214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noHBand="0" w:noVBand="1" w:firstColumn="1" w:lastRow="0" w:lastColumn="0" w:firstRow="1" w:val="04a0"/>
      </w:tblPr>
      <w:tblGrid>
        <w:gridCol w:w="3404"/>
        <w:gridCol w:w="3405"/>
        <w:gridCol w:w="3405"/>
      </w:tblGrid>
      <w:tr>
        <w:trPr>
          <w:tblHeader w:val="true"/>
        </w:trPr>
        <w:tc>
          <w:tcPr>
            <w:tcW w:w="3404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3405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Value</w:t>
            </w:r>
          </w:p>
        </w:tc>
        <w:tc>
          <w:tcPr>
            <w:tcW w:w="3405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404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Total cases analysed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2912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Total cases in Meds export</w:t>
            </w:r>
          </w:p>
        </w:tc>
      </w:tr>
      <w:tr>
        <w:trPr/>
        <w:tc>
          <w:tcPr>
            <w:tcW w:w="3404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Created date range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01/07/2025 - 30/07/2026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Creation period (sys_created_on)</w:t>
            </w:r>
          </w:p>
        </w:tc>
      </w:tr>
      <w:tr>
        <w:trPr/>
        <w:tc>
          <w:tcPr>
            <w:tcW w:w="3404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Current unresolved cases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99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Cases without resolution timestamp</w:t>
            </w:r>
          </w:p>
        </w:tc>
      </w:tr>
      <w:tr>
        <w:trPr/>
        <w:tc>
          <w:tcPr>
            <w:tcW w:w="3404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Median open age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30 days, 13 hrs, 54 mins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Median age for open cases</w:t>
            </w:r>
          </w:p>
        </w:tc>
      </w:tr>
      <w:tr>
        <w:trPr/>
        <w:tc>
          <w:tcPr>
            <w:tcW w:w="3404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P90 open age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212 days, 11 hrs, 40 mins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P90 age for open cases</w:t>
            </w:r>
          </w:p>
        </w:tc>
      </w:tr>
      <w:tr>
        <w:trPr/>
        <w:tc>
          <w:tcPr>
            <w:tcW w:w="3404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Cases resolved with date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2813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Cases with valid resolution date</w:t>
            </w:r>
          </w:p>
        </w:tc>
      </w:tr>
      <w:tr>
        <w:trPr/>
        <w:tc>
          <w:tcPr>
            <w:tcW w:w="3404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Median time to resolution (TTR)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 days, 1 hrs, 56 mins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Median duration from created to resolved</w:t>
            </w:r>
          </w:p>
        </w:tc>
      </w:tr>
      <w:tr>
        <w:trPr/>
        <w:tc>
          <w:tcPr>
            <w:tcW w:w="3404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P90 time to resolution (TTR)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27 days, 5 hrs, 44 mins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P90 duration from created to resolved</w:t>
            </w:r>
          </w:p>
        </w:tc>
      </w:tr>
    </w:tbl>
    <w:p>
      <w:pPr>
        <w:pStyle w:val="Heading1"/>
        <w:rPr/>
      </w:pPr>
      <w:r>
        <w:rPr/>
        <w:t>Case volume and portfolio shape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>
          <w:tblHeader w:val="true"/>
        </w:trPr>
        <w:tc>
          <w:tcPr>
            <w:tcW w:w="5112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2926080" cy="14630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6080" cy="1463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2926080" cy="14630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6080" cy="1463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jc w:val="center"/>
        <w:rPr/>
      </w:pPr>
      <w:r>
        <w:rPr>
          <w:i/>
          <w:color w:val="5A5A5A"/>
          <w:sz w:val="17"/>
        </w:rPr>
        <w:t>Figure 1. Monthly case creation trend and product concentration.</w:t>
      </w:r>
    </w:p>
    <w:p>
      <w:pPr>
        <w:pStyle w:val="Heading2"/>
        <w:rPr/>
      </w:pPr>
      <w:r>
        <w:rPr/>
        <w:t>Product distribution</w:t>
      </w:r>
    </w:p>
    <w:tbl>
      <w:tblPr>
        <w:tblStyle w:val="TableGrid"/>
        <w:tblW w:w="10214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noHBand="0" w:noVBand="1" w:firstColumn="1" w:lastRow="0" w:lastColumn="0" w:firstRow="1" w:val="04a0"/>
      </w:tblPr>
      <w:tblGrid>
        <w:gridCol w:w="845"/>
        <w:gridCol w:w="8363"/>
        <w:gridCol w:w="1006"/>
      </w:tblGrid>
      <w:tr>
        <w:trPr>
          <w:tblHeader w:val="true"/>
        </w:trPr>
        <w:tc>
          <w:tcPr>
            <w:tcW w:w="845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Rank</w:t>
            </w:r>
          </w:p>
        </w:tc>
        <w:tc>
          <w:tcPr>
            <w:tcW w:w="8363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Product</w:t>
            </w:r>
          </w:p>
        </w:tc>
        <w:tc>
          <w:tcPr>
            <w:tcW w:w="1006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Cases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836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Core Pharmacy</w:t>
            </w:r>
          </w:p>
        </w:tc>
        <w:tc>
          <w:tcPr>
            <w:tcW w:w="100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1776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836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ePMA</w:t>
            </w:r>
          </w:p>
        </w:tc>
        <w:tc>
          <w:tcPr>
            <w:tcW w:w="100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513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836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Pharmacy Support</w:t>
            </w:r>
          </w:p>
        </w:tc>
        <w:tc>
          <w:tcPr>
            <w:tcW w:w="100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110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836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Bundle - ePMA Medium Organisation</w:t>
            </w:r>
          </w:p>
        </w:tc>
        <w:tc>
          <w:tcPr>
            <w:tcW w:w="100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88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836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Electronic Medicines Management (eMM)</w:t>
            </w:r>
          </w:p>
        </w:tc>
        <w:tc>
          <w:tcPr>
            <w:tcW w:w="100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83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836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Hospital Pharmacy</w:t>
            </w:r>
          </w:p>
        </w:tc>
        <w:tc>
          <w:tcPr>
            <w:tcW w:w="100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53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836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Decision Support Services (DSS)</w:t>
            </w:r>
          </w:p>
        </w:tc>
        <w:tc>
          <w:tcPr>
            <w:tcW w:w="100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46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836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DSS on the Web</w:t>
            </w:r>
          </w:p>
        </w:tc>
        <w:tc>
          <w:tcPr>
            <w:tcW w:w="100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29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836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Optum Help Centre</w:t>
            </w:r>
          </w:p>
        </w:tc>
        <w:tc>
          <w:tcPr>
            <w:tcW w:w="100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23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836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Manufacturing (CIVAS)</w:t>
            </w:r>
          </w:p>
        </w:tc>
        <w:tc>
          <w:tcPr>
            <w:tcW w:w="100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21</w:t>
            </w:r>
          </w:p>
        </w:tc>
      </w:tr>
    </w:tbl>
    <w:p>
      <w:pPr>
        <w:pStyle w:val="Heading1"/>
        <w:rPr/>
      </w:pPr>
      <w:r>
        <w:rPr/>
        <w:t>Priority and state profile</w:t>
      </w:r>
    </w:p>
    <w:tbl>
      <w:tblPr>
        <w:tblStyle w:val="TableGrid"/>
        <w:tblW w:w="766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noHBand="0" w:noVBand="1" w:firstColumn="1" w:lastRow="0" w:lastColumn="0" w:firstRow="1" w:val="04a0"/>
      </w:tblPr>
      <w:tblGrid>
        <w:gridCol w:w="2553"/>
        <w:gridCol w:w="2553"/>
        <w:gridCol w:w="2554"/>
      </w:tblGrid>
      <w:tr>
        <w:trPr>
          <w:tblHeader w:val="true"/>
        </w:trPr>
        <w:tc>
          <w:tcPr>
            <w:tcW w:w="2553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State</w:t>
            </w:r>
          </w:p>
        </w:tc>
        <w:tc>
          <w:tcPr>
            <w:tcW w:w="2553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Cases</w:t>
            </w:r>
          </w:p>
        </w:tc>
        <w:tc>
          <w:tcPr>
            <w:tcW w:w="2554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Cases</w:t>
            </w:r>
          </w:p>
        </w:tc>
      </w:tr>
      <w:tr>
        <w:trPr/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Closed</w:t>
            </w:r>
          </w:p>
        </w:tc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2746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94.3%</w:t>
            </w:r>
          </w:p>
        </w:tc>
      </w:tr>
      <w:tr>
        <w:trPr/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 Progress</w:t>
            </w:r>
          </w:p>
        </w:tc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84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2.9%</w:t>
            </w:r>
          </w:p>
        </w:tc>
      </w:tr>
      <w:tr>
        <w:trPr/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Resolved</w:t>
            </w:r>
          </w:p>
        </w:tc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67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2.3%</w:t>
            </w:r>
          </w:p>
        </w:tc>
      </w:tr>
      <w:tr>
        <w:trPr/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On hold</w:t>
            </w:r>
          </w:p>
        </w:tc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15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0.5%</w:t>
            </w:r>
          </w:p>
        </w:tc>
      </w:tr>
    </w:tbl>
    <w:p>
      <w:pPr>
        <w:pStyle w:val="Heading1"/>
        <w:rPr/>
      </w:pPr>
      <w:r>
        <w:rPr/>
        <w:t>Trending topic analysis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224"/>
      </w:tblGrid>
      <w:tr>
        <w:trPr>
          <w:tblHeader w:val="true"/>
        </w:trPr>
        <w:tc>
          <w:tcPr>
            <w:tcW w:w="1022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drawing>
                <wp:inline distT="0" distB="0" distL="0" distR="0">
                  <wp:extent cx="5486400" cy="27432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743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jc w:val="center"/>
        <w:rPr/>
      </w:pPr>
      <w:r>
        <w:rPr>
          <w:i/>
          <w:color w:val="5A5A5A"/>
          <w:sz w:val="17"/>
        </w:rPr>
        <w:t>Figure 2. Topic clusters and movement of selected themes by month.</w:t>
      </w:r>
    </w:p>
    <w:p>
      <w:pPr>
        <w:pStyle w:val="Heading2"/>
        <w:rPr/>
      </w:pPr>
      <w:r>
        <w:rPr/>
        <w:t>Theme interpretation</w:t>
      </w:r>
    </w:p>
    <w:tbl>
      <w:tblPr>
        <w:tblStyle w:val="TableGrid"/>
        <w:tblW w:w="10214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noHBand="0" w:noVBand="1" w:firstColumn="1" w:lastRow="0" w:lastColumn="0" w:firstRow="1" w:val="04a0"/>
      </w:tblPr>
      <w:tblGrid>
        <w:gridCol w:w="2553"/>
        <w:gridCol w:w="2554"/>
        <w:gridCol w:w="2553"/>
        <w:gridCol w:w="2554"/>
      </w:tblGrid>
      <w:tr>
        <w:trPr>
          <w:tblHeader w:val="true"/>
        </w:trPr>
        <w:tc>
          <w:tcPr>
            <w:tcW w:w="2553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Theme</w:t>
            </w:r>
          </w:p>
        </w:tc>
        <w:tc>
          <w:tcPr>
            <w:tcW w:w="2554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Matching cases</w:t>
            </w:r>
          </w:p>
        </w:tc>
        <w:tc>
          <w:tcPr>
            <w:tcW w:w="2553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Recent signal from June onwards</w:t>
            </w:r>
          </w:p>
        </w:tc>
        <w:tc>
          <w:tcPr>
            <w:tcW w:w="2554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Management implication</w:t>
            </w:r>
          </w:p>
        </w:tc>
      </w:tr>
      <w:tr>
        <w:trPr/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Integration &amp; Interfaces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1773</w:t>
            </w:r>
          </w:p>
        </w:tc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293 cases (Jun-Jul)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Overwhelming majority (1,858 cases). Automated dispensing robot retries &amp; dm+d sync monitoring required.</w:t>
            </w:r>
          </w:p>
        </w:tc>
      </w:tr>
      <w:tr>
        <w:trPr/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Access &amp; Security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351</w:t>
            </w:r>
          </w:p>
        </w:tc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49 cases (Jun-Jul)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Pharmacist credential friction (591 cases). Recommending self-service PIN/password reset portal.</w:t>
            </w:r>
          </w:p>
        </w:tc>
      </w:tr>
      <w:tr>
        <w:trPr/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Performance &amp; Availability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198</w:t>
            </w:r>
          </w:p>
        </w:tc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38 cases (Jun-Jul)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Pharmacy system slowness &amp; record locks (99 cases). Recommend database script optimisation.</w:t>
            </w:r>
          </w:p>
        </w:tc>
      </w:tr>
      <w:tr>
        <w:trPr/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Configuration &amp; Administration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129</w:t>
            </w:r>
          </w:p>
        </w:tc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16 cases (Jun-Jul)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Drug catalogue &amp; dispensing label configuration (196 cases). Recommend standard admin templates.</w:t>
            </w:r>
          </w:p>
        </w:tc>
      </w:tr>
      <w:tr>
        <w:trPr/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Service Requests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113</w:t>
            </w:r>
          </w:p>
        </w:tc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15 cases (Jun-Jul)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New drug setup &amp; contract price updates (25 cases). Recommend intake forms.</w:t>
            </w:r>
          </w:p>
        </w:tc>
      </w:tr>
      <w:tr>
        <w:trPr/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Defects &amp; Errors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112</w:t>
            </w:r>
          </w:p>
        </w:tc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13 cases (Jun-Jul)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Dispensing bugs &amp; calculation errors (46 cases). Requires dev patch verification.</w:t>
            </w:r>
          </w:p>
        </w:tc>
      </w:tr>
      <w:tr>
        <w:trPr/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Reporting &amp; Analytics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105</w:t>
            </w:r>
          </w:p>
        </w:tc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16 cases (Jun-Jul)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Controlled drug &amp; pharmacy stock reporting (74 cases). Recommend standardizing SSRS report catalog.</w:t>
            </w:r>
          </w:p>
        </w:tc>
      </w:tr>
      <w:tr>
        <w:trPr/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 Management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64</w:t>
            </w:r>
          </w:p>
        </w:tc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14 cases (Jun-Jul)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Monitor trend movement and user demand.</w:t>
            </w:r>
          </w:p>
        </w:tc>
      </w:tr>
      <w:tr>
        <w:trPr/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Notifications &amp; Communications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47</w:t>
            </w:r>
          </w:p>
        </w:tc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 cases (Jun-Jul)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Prescription &amp; result dispatch emails (12 cases). Recommend SMTP queue monitoring.</w:t>
            </w:r>
          </w:p>
        </w:tc>
      </w:tr>
      <w:tr>
        <w:trPr/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Case Administration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 cases (Jun-Jul)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Monitor trend movement and user demand.</w:t>
            </w:r>
          </w:p>
        </w:tc>
      </w:tr>
      <w:tr>
        <w:trPr/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User Guidance &amp; Training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0 cases (Jun-Jul)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Monitor trend movement and user demand.</w:t>
            </w:r>
          </w:p>
        </w:tc>
      </w:tr>
      <w:tr>
        <w:trPr/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Workflow &amp; Process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5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0 cases (Jun-Jul)</w:t>
            </w:r>
          </w:p>
        </w:tc>
        <w:tc>
          <w:tcPr>
            <w:tcW w:w="255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Monitor trend movement and user demand.</w:t>
            </w:r>
          </w:p>
        </w:tc>
      </w:tr>
    </w:tbl>
    <w:p>
      <w:pPr>
        <w:pStyle w:val="Heading1"/>
        <w:rPr/>
      </w:pPr>
      <w:r>
        <w:rPr/>
        <w:t>Customer/account concentration</w:t>
      </w:r>
    </w:p>
    <w:tbl>
      <w:tblPr>
        <w:tblStyle w:val="TableGrid"/>
        <w:tblW w:w="10214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noHBand="0" w:noVBand="1" w:firstColumn="1" w:lastRow="0" w:lastColumn="0" w:firstRow="1" w:val="04a0"/>
      </w:tblPr>
      <w:tblGrid>
        <w:gridCol w:w="845"/>
        <w:gridCol w:w="5103"/>
        <w:gridCol w:w="2133"/>
        <w:gridCol w:w="2133"/>
      </w:tblGrid>
      <w:tr>
        <w:trPr>
          <w:tblHeader w:val="true"/>
        </w:trPr>
        <w:tc>
          <w:tcPr>
            <w:tcW w:w="845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Rank</w:t>
            </w:r>
          </w:p>
        </w:tc>
        <w:tc>
          <w:tcPr>
            <w:tcW w:w="5103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Account</w:t>
            </w:r>
          </w:p>
        </w:tc>
        <w:tc>
          <w:tcPr>
            <w:tcW w:w="2133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Cases</w:t>
            </w:r>
          </w:p>
        </w:tc>
        <w:tc>
          <w:tcPr>
            <w:tcW w:w="2133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Open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510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Berkshire Healthcare NHS Foundation Trust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341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510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Northern Care Alliance NHS Foundation Trust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161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510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United Lincolnshire Teaching Hospitals NHS Trust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161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510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Northern Lincolnshire And Goole NHS Foundation Trust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151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510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Midlands Partnership University NHS Foundation Trust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142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510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The Royal Wolverhampton NHS Trust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140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510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East Sussex Healthcare NHS Trust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121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510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Gloucestershire Hospitals NHS Foundation Trust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84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510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Essex Partnership University NHS Foundation Trust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81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84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510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Northumbria Healthcare NHS Foundation Trust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80</w:t>
            </w:r>
          </w:p>
        </w:tc>
        <w:tc>
          <w:tcPr>
            <w:tcW w:w="213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</w:p>
        </w:tc>
      </w:tr>
    </w:tbl>
    <w:p>
      <w:pPr>
        <w:pStyle w:val="Normal"/>
        <w:rPr/>
      </w:pPr>
      <w:r>
        <w:rPr>
          <w:b/>
        </w:rPr>
        <w:t xml:space="preserve">Management observation: </w:t>
      </w:r>
      <w:r>
        <w:rPr/>
        <w:t>Account concentration should be used for service review context only. The export does not include deployment scale, module footprint, contractual scope, number of users, site complexity, or customer reporting behaviour.</w:t>
      </w:r>
    </w:p>
    <w:p>
      <w:pPr>
        <w:pStyle w:val="Heading1"/>
        <w:rPr/>
      </w:pPr>
      <w:r>
        <w:rPr/>
        <w:t>Recommended management actions</w:t>
      </w:r>
    </w:p>
    <w:tbl>
      <w:tblPr>
        <w:tblStyle w:val="TableGrid"/>
        <w:tblW w:w="10214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noHBand="0" w:noVBand="1" w:firstColumn="1" w:lastRow="0" w:lastColumn="0" w:firstRow="1" w:val="04a0"/>
      </w:tblPr>
      <w:tblGrid>
        <w:gridCol w:w="1364"/>
        <w:gridCol w:w="4165"/>
        <w:gridCol w:w="4685"/>
      </w:tblGrid>
      <w:tr>
        <w:trPr>
          <w:tblHeader w:val="true"/>
        </w:trPr>
        <w:tc>
          <w:tcPr>
            <w:tcW w:w="1364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#</w:t>
            </w:r>
          </w:p>
        </w:tc>
        <w:tc>
          <w:tcPr>
            <w:tcW w:w="4165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Recommendation</w:t>
            </w:r>
          </w:p>
        </w:tc>
        <w:tc>
          <w:tcPr>
            <w:tcW w:w="4685" w:type="dxa"/>
            <w:tcBorders/>
            <w:shd w:color="auto" w:fill="153D64" w:val="clear"/>
            <w:vAlign w:val="center"/>
          </w:tcPr>
          <w:p>
            <w:pPr>
              <w:pStyle w:val="Normal"/>
              <w:widowControl/>
              <w:spacing w:lineRule="auto" w:line="252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136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Priority 1</w:t>
            </w:r>
          </w:p>
        </w:tc>
        <w:tc>
          <w:tcPr>
            <w:tcW w:w="416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Deploy Dispensing Robot &amp; dm+d Automated Feed Monitoring</w:t>
            </w:r>
          </w:p>
        </w:tc>
        <w:tc>
          <w:tcPr>
            <w:tcW w:w="468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Integration failures account for 63.8% of demand (1,858 cases). Automated retries prevent manual support build-up.</w:t>
            </w:r>
          </w:p>
        </w:tc>
      </w:tr>
      <w:tr>
        <w:trPr/>
        <w:tc>
          <w:tcPr>
            <w:tcW w:w="136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Priority 1</w:t>
            </w:r>
          </w:p>
        </w:tc>
        <w:tc>
          <w:tcPr>
            <w:tcW w:w="416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Implement Self-Service Pharmacist Authentication &amp; PIN Reset</w:t>
            </w:r>
          </w:p>
        </w:tc>
        <w:tc>
          <w:tcPr>
            <w:tcW w:w="468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Authentication lockouts account for 567 cases (19.5%). Self-service PIN reset will eliminate tier-1 ticket volume.</w:t>
            </w:r>
          </w:p>
        </w:tc>
      </w:tr>
      <w:tr>
        <w:trPr/>
        <w:tc>
          <w:tcPr>
            <w:tcW w:w="136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Priority 2</w:t>
            </w:r>
          </w:p>
        </w:tc>
        <w:tc>
          <w:tcPr>
            <w:tcW w:w="416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Standardise Drug Formulary &amp; Dispensing Label Change Intake</w:t>
            </w:r>
          </w:p>
        </w:tc>
        <w:tc>
          <w:tcPr>
            <w:tcW w:w="468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Master data and label changes account for 196 cases. Standardized intake templates will improve turnaround time.</w:t>
            </w:r>
          </w:p>
        </w:tc>
      </w:tr>
      <w:tr>
        <w:trPr/>
        <w:tc>
          <w:tcPr>
            <w:tcW w:w="136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Priority 2</w:t>
            </w:r>
          </w:p>
        </w:tc>
        <w:tc>
          <w:tcPr>
            <w:tcW w:w="416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Publish Controlled Drug &amp; Stock Reporting Self-Service KB</w:t>
            </w:r>
          </w:p>
        </w:tc>
        <w:tc>
          <w:tcPr>
            <w:tcW w:w="468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Stock and controlled drug reporting accounts for 74 cases. Pre-built templates reduce custom extract work.</w:t>
            </w:r>
          </w:p>
        </w:tc>
      </w:tr>
      <w:tr>
        <w:trPr/>
        <w:tc>
          <w:tcPr>
            <w:tcW w:w="136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Priority 3</w:t>
            </w:r>
          </w:p>
        </w:tc>
        <w:tc>
          <w:tcPr>
            <w:tcW w:w="416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Establish Automated Record Lock Diagnostics</w:t>
            </w:r>
          </w:p>
        </w:tc>
        <w:tc>
          <w:tcPr>
            <w:tcW w:w="468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Record lock slowness represents 99 cases. Automated diagnostics will unlock active session locks.</w:t>
            </w:r>
          </w:p>
        </w:tc>
      </w:tr>
    </w:tbl>
    <w:p>
      <w:pPr>
        <w:pStyle w:val="Heading1"/>
        <w:keepNext w:val="true"/>
        <w:keepLines/>
        <w:spacing w:before="240" w:after="120"/>
        <w:rPr/>
      </w:pPr>
      <w:r>
        <w:rPr/>
        <w:t>Appendix: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008" w:right="1008" w:gutter="0" w:header="72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 Display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Management summary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Management summary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646464"/>
        <w:sz w:val="16"/>
      </w:rPr>
      <w:t>Meds</w:t>
    </w:r>
    <w:r>
      <w:rPr>
        <w:color w:val="646464"/>
        <w:sz w:val="16"/>
      </w:rPr>
      <w:t xml:space="preserve"> Case Trend Report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646464"/>
        <w:sz w:val="16"/>
      </w:rPr>
      <w:t>Meds</w:t>
    </w:r>
    <w:r>
      <w:rPr>
        <w:color w:val="646464"/>
        <w:sz w:val="16"/>
      </w:rPr>
      <w:t xml:space="preserve"> Case Trend Report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8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Aptos" w:cs="" w:cstheme="minorBidi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4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LibreOffice/26.2.5.2$Linux_X86_64 LibreOffice_project/620$Build-2</Application>
  <AppVersion>15.0000</AppVersion>
  <Pages>6</Pages>
  <Words>873</Words>
  <Characters>5159</Characters>
  <CharactersWithSpaces>5818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2026-07-29T15:48:00Z</dcterms:created>
  <dc:creator>Lee Booth</dc:creator>
  <dc:description>generated by python-docx</dc:description>
  <dc:language>en-GB</dc:language>
  <cp:lastModifiedBy/>
  <dcterms:modified xsi:type="dcterms:W3CDTF">2026-07-31T11:29:37Z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