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r>
        <w:t>Source: data/raw/Symphony_Casea_Last_12-Months.csv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t>958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t>30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t>2 days, 1 hrs, 10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t>Integration &amp; Interfaces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t>Executive Summary (Symphony Support Trend Analysis):</w:t>
              <w:br/>
              <w:br/>
              <w:t>Over the 12-month evaluation period, 958 Symphony cases were analysed. Support demand is heavily concentrated in two primary operational categories: Integration &amp; Interfaces (500 cases / 52.2%) and Access &amp; Security (228 cases / 23.8%), together accounting for 76.0% of all ticket volume.</w:t>
              <w:br/>
              <w:br/>
              <w:t>Key Insights for Leadership:</w:t>
              <w:br/>
              <w:t>1. Emergency &amp; Acute Interface Demand: Integration failures (HL7 messaging / DAD interop) represent 268 cases, while external NHS dependencies (SCR, TIE, ODS, GP Import) account for 230 cases.</w:t>
              <w:br/>
              <w:t>2. High Information Governance Audit Overhead: Record access history and IG viewing audits represent 151 cases (15.8% of overall volume), averaging 19h 2m SLA business duration.</w:t>
              <w:br/>
              <w:t>3. Strategic Actions: Leadership should implement (P1) automated interface queue monitoring &amp; retries and (P1) an automated self-service Information Governance audit extraction portal.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t>Total cases analysed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  <w:r>
              <w:t>958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  <w:r>
              <w:t>Total cases in Symphony export</w:t>
            </w: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  <w:r>
              <w:t>03/07/2025 - 29/07/2026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  <w:r>
              <w:t>Creation period (sys_created_on)</w:t>
            </w: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  <w:r>
              <w:t>30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  <w:r>
              <w:t>Cases without resolution timestamp</w:t>
            </w: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  <w:r>
              <w:t>16 days, 9 hrs, 15 mins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  <w:r>
              <w:t>Median age for open cases</w:t>
            </w: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t>P90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  <w:r>
              <w:t>310 days, 8 hrs, 43 mins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  <w:r>
              <w:t>P90 age for open cases</w:t>
            </w: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t>Cases resolved with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  <w:r>
              <w:t>928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  <w:r>
              <w:t>Cases with valid resolution date</w:t>
            </w: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t>Median time to resolution (TTR)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  <w:r>
              <w:t>2 days, 1 hrs, 10 mins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  <w:r>
              <w:t>Median duration from created to resolved</w:t>
            </w: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t>P90 time to resolution (TTR)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  <w:r>
              <w:t>20 days, 15 hrs, 54 mins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  <w:r>
              <w:t>P90 duration from created to resolved</w:t>
            </w: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26080" cy="1463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926080" cy="14630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Symphony</w:t>
            </w:r>
          </w:p>
        </w:tc>
        <w:tc>
          <w:tcPr>
            <w:tcW w:type="dxa" w:w="1005"/>
          </w:tcPr>
          <w:p>
            <w:r>
              <w:t>899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Symphony - DAD</w:t>
            </w:r>
          </w:p>
        </w:tc>
        <w:tc>
          <w:tcPr>
            <w:tcW w:type="dxa" w:w="1005"/>
          </w:tcPr>
          <w:p>
            <w:r>
              <w:t>21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Symphony - SCR &amp; PDS</w:t>
            </w:r>
          </w:p>
        </w:tc>
        <w:tc>
          <w:tcPr>
            <w:tcW w:type="dxa" w:w="1005"/>
          </w:tcPr>
          <w:p>
            <w:r>
              <w:t>6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Symphony - ADT Interfacing</w:t>
            </w:r>
          </w:p>
        </w:tc>
        <w:tc>
          <w:tcPr>
            <w:tcW w:type="dxa" w:w="1005"/>
          </w:tcPr>
          <w:p>
            <w:r>
              <w:t>5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Optum Help Centre</w:t>
            </w:r>
          </w:p>
        </w:tc>
        <w:tc>
          <w:tcPr>
            <w:tcW w:type="dxa" w:w="1005"/>
          </w:tcPr>
          <w:p>
            <w:r>
              <w:t>5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Symphony - Capscan Matchcode (GBG)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Symphony - MIDAs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Symphony - Printed Output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PAS interface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Symphony - EIE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2554"/>
          </w:tcPr>
          <w:p>
            <w:r>
              <w:t>Closed</w:t>
            </w:r>
          </w:p>
        </w:tc>
        <w:tc>
          <w:tcPr>
            <w:tcW w:type="dxa" w:w="2553"/>
          </w:tcPr>
          <w:p>
            <w:r>
              <w:t>900</w:t>
            </w:r>
          </w:p>
        </w:tc>
        <w:tc>
          <w:tcPr>
            <w:tcW w:type="dxa" w:w="2553"/>
          </w:tcPr>
          <w:p>
            <w:r>
              <w:t>93.9%</w:t>
            </w:r>
          </w:p>
        </w:tc>
      </w:tr>
      <w:tr>
        <w:tc>
          <w:tcPr>
            <w:tcW w:type="dxa" w:w="2554"/>
          </w:tcPr>
          <w:p>
            <w:r>
              <w:t>Resolved</w:t>
            </w:r>
          </w:p>
        </w:tc>
        <w:tc>
          <w:tcPr>
            <w:tcW w:type="dxa" w:w="2553"/>
          </w:tcPr>
          <w:p>
            <w:r>
              <w:t>28</w:t>
            </w:r>
          </w:p>
        </w:tc>
        <w:tc>
          <w:tcPr>
            <w:tcW w:type="dxa" w:w="2553"/>
          </w:tcPr>
          <w:p>
            <w:r>
              <w:t>2.9%</w:t>
            </w:r>
          </w:p>
        </w:tc>
      </w:tr>
      <w:tr>
        <w:tc>
          <w:tcPr>
            <w:tcW w:type="dxa" w:w="2554"/>
          </w:tcPr>
          <w:p>
            <w:r>
              <w:t>On hold</w:t>
            </w:r>
          </w:p>
        </w:tc>
        <w:tc>
          <w:tcPr>
            <w:tcW w:type="dxa" w:w="2553"/>
          </w:tcPr>
          <w:p>
            <w:r>
              <w:t>19</w:t>
            </w:r>
          </w:p>
        </w:tc>
        <w:tc>
          <w:tcPr>
            <w:tcW w:type="dxa" w:w="2553"/>
          </w:tcPr>
          <w:p>
            <w:r>
              <w:t>2.0%</w:t>
            </w:r>
          </w:p>
        </w:tc>
      </w:tr>
      <w:tr>
        <w:tc>
          <w:tcPr>
            <w:tcW w:type="dxa" w:w="2554"/>
          </w:tcPr>
          <w:p>
            <w:r>
              <w:t>In Progress</w:t>
            </w:r>
          </w:p>
        </w:tc>
        <w:tc>
          <w:tcPr>
            <w:tcW w:type="dxa" w:w="2553"/>
          </w:tcPr>
          <w:p>
            <w:r>
              <w:t>11</w:t>
            </w:r>
          </w:p>
        </w:tc>
        <w:tc>
          <w:tcPr>
            <w:tcW w:type="dxa" w:w="2553"/>
          </w:tcPr>
          <w:p>
            <w:r>
              <w:t>1.1%</w:t>
            </w: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2743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>
        <w:tc>
          <w:tcPr>
            <w:tcW w:type="dxa" w:w="2554"/>
          </w:tcPr>
          <w:p>
            <w:r>
              <w:t>Integration &amp; Interfaces</w:t>
            </w:r>
          </w:p>
        </w:tc>
        <w:tc>
          <w:tcPr>
            <w:tcW w:type="dxa" w:w="2553"/>
          </w:tcPr>
          <w:p>
            <w:r>
              <w:t>500</w:t>
            </w:r>
          </w:p>
        </w:tc>
        <w:tc>
          <w:tcPr>
            <w:tcW w:type="dxa" w:w="2553"/>
          </w:tcPr>
          <w:p>
            <w:r>
              <w:t>73 cases (Jun-Jul)</w:t>
            </w:r>
          </w:p>
        </w:tc>
        <w:tc>
          <w:tcPr>
            <w:tcW w:type="dxa" w:w="2554"/>
          </w:tcPr>
          <w:p>
            <w:r>
              <w:t>Highest operational impact (HL7/DAD messaging). Automated queue retries and interop monitoring required.</w:t>
            </w:r>
          </w:p>
        </w:tc>
      </w:tr>
      <w:tr>
        <w:tc>
          <w:tcPr>
            <w:tcW w:type="dxa" w:w="2554"/>
          </w:tcPr>
          <w:p>
            <w:r>
              <w:t>Access &amp; Security</w:t>
            </w:r>
          </w:p>
        </w:tc>
        <w:tc>
          <w:tcPr>
            <w:tcW w:type="dxa" w:w="2553"/>
          </w:tcPr>
          <w:p>
            <w:r>
              <w:t>228</w:t>
            </w:r>
          </w:p>
        </w:tc>
        <w:tc>
          <w:tcPr>
            <w:tcW w:type="dxa" w:w="2553"/>
          </w:tcPr>
          <w:p>
            <w:r>
              <w:t>60 cases (Jun-Jul)</w:t>
            </w:r>
          </w:p>
        </w:tc>
        <w:tc>
          <w:tcPr>
            <w:tcW w:type="dxa" w:w="2554"/>
          </w:tcPr>
          <w:p>
            <w:r>
              <w:t>Driven by IG Audit &amp; Compliance requests (151 cases). Recommending automated self-service audit extraction portal.</w:t>
            </w:r>
          </w:p>
        </w:tc>
      </w:tr>
      <w:tr>
        <w:tc>
          <w:tcPr>
            <w:tcW w:type="dxa" w:w="2554"/>
          </w:tcPr>
          <w:p>
            <w:r>
              <w:t>Configuration &amp; Administration</w:t>
            </w:r>
          </w:p>
        </w:tc>
        <w:tc>
          <w:tcPr>
            <w:tcW w:type="dxa" w:w="2553"/>
          </w:tcPr>
          <w:p>
            <w:r>
              <w:t>80</w:t>
            </w:r>
          </w:p>
        </w:tc>
        <w:tc>
          <w:tcPr>
            <w:tcW w:type="dxa" w:w="2553"/>
          </w:tcPr>
          <w:p>
            <w:r>
              <w:t>13 cases (Jun-Jul)</w:t>
            </w:r>
          </w:p>
        </w:tc>
        <w:tc>
          <w:tcPr>
            <w:tcW w:type="dxa" w:w="2554"/>
          </w:tcPr>
          <w:p>
            <w:r>
              <w:t>Master data and departmental lookup changes (41 cases). Recommend standard admin change templates.</w:t>
            </w:r>
          </w:p>
        </w:tc>
      </w:tr>
      <w:tr>
        <w:tc>
          <w:tcPr>
            <w:tcW w:type="dxa" w:w="2554"/>
          </w:tcPr>
          <w:p>
            <w:r>
              <w:t>Performance &amp; Availability</w:t>
            </w:r>
          </w:p>
        </w:tc>
        <w:tc>
          <w:tcPr>
            <w:tcW w:type="dxa" w:w="2553"/>
          </w:tcPr>
          <w:p>
            <w:r>
              <w:t>40</w:t>
            </w:r>
          </w:p>
        </w:tc>
        <w:tc>
          <w:tcPr>
            <w:tcW w:type="dxa" w:w="2553"/>
          </w:tcPr>
          <w:p>
            <w:r>
              <w:t>6 cases (Jun-Jul)</w:t>
            </w:r>
          </w:p>
        </w:tc>
        <w:tc>
          <w:tcPr>
            <w:tcW w:type="dxa" w:w="2554"/>
          </w:tcPr>
          <w:p>
            <w:r>
              <w:t>UI freezing and slowness. Requires database script optimisation and client network checks.</w:t>
            </w:r>
          </w:p>
        </w:tc>
      </w:tr>
      <w:tr>
        <w:tc>
          <w:tcPr>
            <w:tcW w:type="dxa" w:w="2554"/>
          </w:tcPr>
          <w:p>
            <w:r>
              <w:t>Reporting &amp; Analytics</w:t>
            </w:r>
          </w:p>
        </w:tc>
        <w:tc>
          <w:tcPr>
            <w:tcW w:type="dxa" w:w="2553"/>
          </w:tcPr>
          <w:p>
            <w:r>
              <w:t>35</w:t>
            </w:r>
          </w:p>
        </w:tc>
        <w:tc>
          <w:tcPr>
            <w:tcW w:type="dxa" w:w="2553"/>
          </w:tcPr>
          <w:p>
            <w:r>
              <w:t>7 cases (Jun-Jul)</w:t>
            </w:r>
          </w:p>
        </w:tc>
        <w:tc>
          <w:tcPr>
            <w:tcW w:type="dxa" w:w="2554"/>
          </w:tcPr>
          <w:p>
            <w:r>
              <w:t>SSRS report generation &amp; data extracts (31 cases). Recommend publishing standard reporting catalog.</w:t>
            </w:r>
          </w:p>
        </w:tc>
      </w:tr>
      <w:tr>
        <w:tc>
          <w:tcPr>
            <w:tcW w:type="dxa" w:w="2554"/>
          </w:tcPr>
          <w:p>
            <w:r>
              <w:t>Defects &amp; Errors</w:t>
            </w:r>
          </w:p>
        </w:tc>
        <w:tc>
          <w:tcPr>
            <w:tcW w:type="dxa" w:w="2553"/>
          </w:tcPr>
          <w:p>
            <w:r>
              <w:t>20</w:t>
            </w:r>
          </w:p>
        </w:tc>
        <w:tc>
          <w:tcPr>
            <w:tcW w:type="dxa" w:w="2553"/>
          </w:tcPr>
          <w:p>
            <w:r>
              <w:t>5 cases (Jun-Jul)</w:t>
            </w:r>
          </w:p>
        </w:tc>
        <w:tc>
          <w:tcPr>
            <w:tcW w:type="dxa" w:w="2554"/>
          </w:tcPr>
          <w:p>
            <w:r>
              <w:t>Functional errors and scanning blank pages. Requires development patch verification.</w:t>
            </w:r>
          </w:p>
        </w:tc>
      </w:tr>
      <w:tr>
        <w:tc>
          <w:tcPr>
            <w:tcW w:type="dxa" w:w="2554"/>
          </w:tcPr>
          <w:p>
            <w:r>
              <w:t>Service Requests</w:t>
            </w:r>
          </w:p>
        </w:tc>
        <w:tc>
          <w:tcPr>
            <w:tcW w:type="dxa" w:w="2553"/>
          </w:tcPr>
          <w:p>
            <w:r>
              <w:t>18</w:t>
            </w:r>
          </w:p>
        </w:tc>
        <w:tc>
          <w:tcPr>
            <w:tcW w:type="dxa" w:w="2553"/>
          </w:tcPr>
          <w:p>
            <w:r>
              <w:t>3 cases (Jun-Jul)</w:t>
            </w:r>
          </w:p>
        </w:tc>
        <w:tc>
          <w:tcPr>
            <w:tcW w:type="dxa" w:w="2554"/>
          </w:tcPr>
          <w:p>
            <w:r>
              <w:t>New setup and quote requests. Recommend standard service catalog intake templates.</w:t>
            </w:r>
          </w:p>
        </w:tc>
      </w:tr>
      <w:tr>
        <w:tc>
          <w:tcPr>
            <w:tcW w:type="dxa" w:w="2554"/>
          </w:tcPr>
          <w:p>
            <w:r>
              <w:t>Data Management</w:t>
            </w:r>
          </w:p>
        </w:tc>
        <w:tc>
          <w:tcPr>
            <w:tcW w:type="dxa" w:w="2553"/>
          </w:tcPr>
          <w:p>
            <w:r>
              <w:t>15</w:t>
            </w:r>
          </w:p>
        </w:tc>
        <w:tc>
          <w:tcPr>
            <w:tcW w:type="dxa" w:w="2553"/>
          </w:tcPr>
          <w:p>
            <w:r>
              <w:t>1 cases (Jun-Jul)</w:t>
            </w:r>
          </w:p>
        </w:tc>
        <w:tc>
          <w:tcPr>
            <w:tcW w:type="dxa" w:w="2554"/>
          </w:tcPr>
          <w:p>
            <w:r>
              <w:t>Database data corrections and SQL fixes. Recommend tier-2 script library.</w:t>
            </w:r>
          </w:p>
        </w:tc>
      </w:tr>
      <w:tr>
        <w:tc>
          <w:tcPr>
            <w:tcW w:type="dxa" w:w="2554"/>
          </w:tcPr>
          <w:p>
            <w:r>
              <w:t>Notifications &amp; Communications</w:t>
            </w:r>
          </w:p>
        </w:tc>
        <w:tc>
          <w:tcPr>
            <w:tcW w:type="dxa" w:w="2553"/>
          </w:tcPr>
          <w:p>
            <w:r>
              <w:t>12</w:t>
            </w:r>
          </w:p>
        </w:tc>
        <w:tc>
          <w:tcPr>
            <w:tcW w:type="dxa" w:w="2553"/>
          </w:tcPr>
          <w:p>
            <w:r>
              <w:t>1 cases (Jun-Jul)</w:t>
            </w:r>
          </w:p>
        </w:tc>
        <w:tc>
          <w:tcPr>
            <w:tcW w:type="dxa" w:w="2554"/>
          </w:tcPr>
          <w:p>
            <w:r>
              <w:t>Monitor trend movement and user demand.</w:t>
            </w:r>
          </w:p>
        </w:tc>
      </w:tr>
      <w:tr>
        <w:tc>
          <w:tcPr>
            <w:tcW w:type="dxa" w:w="2554"/>
          </w:tcPr>
          <w:p>
            <w:r>
              <w:t>Workflow &amp; Process</w:t>
            </w:r>
          </w:p>
        </w:tc>
        <w:tc>
          <w:tcPr>
            <w:tcW w:type="dxa" w:w="2553"/>
          </w:tcPr>
          <w:p>
            <w:r>
              <w:t>5</w:t>
            </w:r>
          </w:p>
        </w:tc>
        <w:tc>
          <w:tcPr>
            <w:tcW w:type="dxa" w:w="2553"/>
          </w:tcPr>
          <w:p>
            <w:r>
              <w:t>1 cases (Jun-Jul)</w:t>
            </w:r>
          </w:p>
        </w:tc>
        <w:tc>
          <w:tcPr>
            <w:tcW w:type="dxa" w:w="2554"/>
          </w:tcPr>
          <w:p>
            <w:r>
              <w:t>Monitor trend movement and user demand.</w:t>
            </w:r>
          </w:p>
        </w:tc>
      </w:tr>
      <w:tr>
        <w:tc>
          <w:tcPr>
            <w:tcW w:type="dxa" w:w="2554"/>
          </w:tcPr>
          <w:p>
            <w:r>
              <w:t>User Guidance &amp; Training</w:t>
            </w:r>
          </w:p>
        </w:tc>
        <w:tc>
          <w:tcPr>
            <w:tcW w:type="dxa" w:w="2553"/>
          </w:tcPr>
          <w:p>
            <w:r>
              <w:t>4</w:t>
            </w:r>
          </w:p>
        </w:tc>
        <w:tc>
          <w:tcPr>
            <w:tcW w:type="dxa" w:w="2553"/>
          </w:tcPr>
          <w:p>
            <w:r>
              <w:t>1 cases (Jun-Jul)</w:t>
            </w:r>
          </w:p>
        </w:tc>
        <w:tc>
          <w:tcPr>
            <w:tcW w:type="dxa" w:w="2554"/>
          </w:tcPr>
          <w:p>
            <w:r>
              <w:t>Monitor trend movement and user demand.</w:t>
            </w:r>
          </w:p>
        </w:tc>
      </w:tr>
      <w:tr>
        <w:tc>
          <w:tcPr>
            <w:tcW w:type="dxa" w:w="2554"/>
          </w:tcPr>
          <w:p>
            <w:r>
              <w:t>Case Administration</w:t>
            </w:r>
          </w:p>
        </w:tc>
        <w:tc>
          <w:tcPr>
            <w:tcW w:type="dxa" w:w="2553"/>
          </w:tcPr>
          <w:p>
            <w:r>
              <w:t>1</w:t>
            </w:r>
          </w:p>
        </w:tc>
        <w:tc>
          <w:tcPr>
            <w:tcW w:type="dxa" w:w="2553"/>
          </w:tcPr>
          <w:p>
            <w:r>
              <w:t>0 cases (Jun-Jul)</w:t>
            </w:r>
          </w:p>
        </w:tc>
        <w:tc>
          <w:tcPr>
            <w:tcW w:type="dxa" w:w="2554"/>
          </w:tcPr>
          <w:p>
            <w:r>
              <w:t>Monitor trend movement and user demand.</w:t>
            </w: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5103"/>
          </w:tcPr>
          <w:p>
            <w:r>
              <w:t>Health Service Executive</w:t>
            </w:r>
          </w:p>
        </w:tc>
        <w:tc>
          <w:tcPr>
            <w:tcW w:type="dxa" w:w="2132"/>
          </w:tcPr>
          <w:p>
            <w:r>
              <w:t>75</w:t>
            </w:r>
          </w:p>
        </w:tc>
        <w:tc>
          <w:tcPr>
            <w:tcW w:type="dxa" w:w="2133"/>
          </w:tcPr>
          <w:p>
            <w:r>
              <w:t>0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5103"/>
          </w:tcPr>
          <w:p>
            <w:r>
              <w:t>South Tees Hospitals NHS Foundation Trust</w:t>
            </w:r>
          </w:p>
        </w:tc>
        <w:tc>
          <w:tcPr>
            <w:tcW w:type="dxa" w:w="2132"/>
          </w:tcPr>
          <w:p>
            <w:r>
              <w:t>72</w:t>
            </w:r>
          </w:p>
        </w:tc>
        <w:tc>
          <w:tcPr>
            <w:tcW w:type="dxa" w:w="2133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5103"/>
          </w:tcPr>
          <w:p>
            <w:r>
              <w:t>Mid Yorkshire Teaching NHS Trust</w:t>
            </w:r>
          </w:p>
        </w:tc>
        <w:tc>
          <w:tcPr>
            <w:tcW w:type="dxa" w:w="2132"/>
          </w:tcPr>
          <w:p>
            <w:r>
              <w:t>72</w:t>
            </w:r>
          </w:p>
        </w:tc>
        <w:tc>
          <w:tcPr>
            <w:tcW w:type="dxa" w:w="2133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5103"/>
          </w:tcPr>
          <w:p>
            <w:r>
              <w:t>Leeds Teaching Hospitals NHS Trust</w:t>
            </w:r>
          </w:p>
        </w:tc>
        <w:tc>
          <w:tcPr>
            <w:tcW w:type="dxa" w:w="2132"/>
          </w:tcPr>
          <w:p>
            <w:r>
              <w:t>66</w:t>
            </w:r>
          </w:p>
        </w:tc>
        <w:tc>
          <w:tcPr>
            <w:tcW w:type="dxa" w:w="2133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5103"/>
          </w:tcPr>
          <w:p>
            <w:r>
              <w:t>North West Anglia NHS Foundation Trust</w:t>
            </w:r>
          </w:p>
        </w:tc>
        <w:tc>
          <w:tcPr>
            <w:tcW w:type="dxa" w:w="2132"/>
          </w:tcPr>
          <w:p>
            <w:r>
              <w:t>59</w:t>
            </w:r>
          </w:p>
        </w:tc>
        <w:tc>
          <w:tcPr>
            <w:tcW w:type="dxa" w:w="2133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5103"/>
          </w:tcPr>
          <w:p>
            <w:r>
              <w:t>Swansea Bay University Health Board</w:t>
            </w:r>
          </w:p>
        </w:tc>
        <w:tc>
          <w:tcPr>
            <w:tcW w:type="dxa" w:w="2132"/>
          </w:tcPr>
          <w:p>
            <w:r>
              <w:t>58</w:t>
            </w:r>
          </w:p>
        </w:tc>
        <w:tc>
          <w:tcPr>
            <w:tcW w:type="dxa" w:w="2133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5103"/>
          </w:tcPr>
          <w:p>
            <w:r>
              <w:t>Wye Valley NHS Trust</w:t>
            </w:r>
          </w:p>
        </w:tc>
        <w:tc>
          <w:tcPr>
            <w:tcW w:type="dxa" w:w="2132"/>
          </w:tcPr>
          <w:p>
            <w:r>
              <w:t>56</w:t>
            </w:r>
          </w:p>
        </w:tc>
        <w:tc>
          <w:tcPr>
            <w:tcW w:type="dxa" w:w="2133"/>
          </w:tcPr>
          <w:p>
            <w:r>
              <w:t>0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5103"/>
          </w:tcPr>
          <w:p>
            <w:r>
              <w:t>North Cumbria Integrated Care NHS Foundation Trust</w:t>
            </w:r>
          </w:p>
        </w:tc>
        <w:tc>
          <w:tcPr>
            <w:tcW w:type="dxa" w:w="2132"/>
          </w:tcPr>
          <w:p>
            <w:r>
              <w:t>46</w:t>
            </w:r>
          </w:p>
        </w:tc>
        <w:tc>
          <w:tcPr>
            <w:tcW w:type="dxa" w:w="2133"/>
          </w:tcPr>
          <w:p>
            <w:r>
              <w:t>1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5103"/>
          </w:tcPr>
          <w:p>
            <w:r>
              <w:t>Doncaster and Bassetlaw Teaching Hospitals NHS Foundation Trust</w:t>
            </w:r>
          </w:p>
        </w:tc>
        <w:tc>
          <w:tcPr>
            <w:tcW w:type="dxa" w:w="2132"/>
          </w:tcPr>
          <w:p>
            <w:r>
              <w:t>43</w:t>
            </w:r>
          </w:p>
        </w:tc>
        <w:tc>
          <w:tcPr>
            <w:tcW w:type="dxa" w:w="2133"/>
          </w:tcPr>
          <w:p>
            <w:r>
              <w:t>4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5103"/>
          </w:tcPr>
          <w:p>
            <w:r>
              <w:t>Northern Lincolnshire And Goole NHS Foundation Trust</w:t>
            </w:r>
          </w:p>
        </w:tc>
        <w:tc>
          <w:tcPr>
            <w:tcW w:type="dxa" w:w="2132"/>
          </w:tcPr>
          <w:p>
            <w:r>
              <w:t>41</w:t>
            </w:r>
          </w:p>
        </w:tc>
        <w:tc>
          <w:tcPr>
            <w:tcW w:type="dxa" w:w="2133"/>
          </w:tcPr>
          <w:p>
            <w:r>
              <w:t>3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Priority 1</w:t>
            </w:r>
          </w:p>
        </w:tc>
        <w:tc>
          <w:tcPr>
            <w:tcW w:type="dxa" w:w="4684"/>
          </w:tcPr>
          <w:p>
            <w:r>
              <w:t>Implement Automated HL7 &amp; DAD Interface Queue Retry</w:t>
            </w:r>
          </w:p>
        </w:tc>
        <w:tc>
          <w:tcPr>
            <w:tcW w:type="dxa" w:w="4684"/>
          </w:tcPr>
          <w:p>
            <w:r>
              <w:t>Integration failures represent 52.2% of demand (500 cases). Automated retries will prevent manual support queue build-up.</w:t>
            </w:r>
          </w:p>
        </w:tc>
      </w:tr>
      <w:tr>
        <w:tc>
          <w:tcPr>
            <w:tcW w:type="dxa" w:w="846"/>
          </w:tcPr>
          <w:p>
            <w:r>
              <w:t>Priority 1</w:t>
            </w:r>
          </w:p>
        </w:tc>
        <w:tc>
          <w:tcPr>
            <w:tcW w:type="dxa" w:w="4684"/>
          </w:tcPr>
          <w:p>
            <w:r>
              <w:t>Deploy Self-Service Information Governance Audit Portal</w:t>
            </w:r>
          </w:p>
        </w:tc>
        <w:tc>
          <w:tcPr>
            <w:tcW w:type="dxa" w:w="4684"/>
          </w:tcPr>
          <w:p>
            <w:r>
              <w:t>Audit &amp; IG requests account for 151 cases (15.8%). An automated portal will eliminate tier-2 manual SQL audit extraction.</w:t>
            </w:r>
          </w:p>
        </w:tc>
      </w:tr>
      <w:tr>
        <w:tc>
          <w:tcPr>
            <w:tcW w:type="dxa" w:w="846"/>
          </w:tcPr>
          <w:p>
            <w:r>
              <w:t>Priority 2</w:t>
            </w:r>
          </w:p>
        </w:tc>
        <w:tc>
          <w:tcPr>
            <w:tcW w:type="dxa" w:w="4684"/>
          </w:tcPr>
          <w:p>
            <w:r>
              <w:t>Standardise Departmental &amp; Ward Lookup Change Requests</w:t>
            </w:r>
          </w:p>
        </w:tc>
        <w:tc>
          <w:tcPr>
            <w:tcW w:type="dxa" w:w="4684"/>
          </w:tcPr>
          <w:p>
            <w:r>
              <w:t>Master data changes represent 41 cases. Standardized intake forms will improve change turnaround times.</w:t>
            </w:r>
          </w:p>
        </w:tc>
      </w:tr>
      <w:tr>
        <w:tc>
          <w:tcPr>
            <w:tcW w:type="dxa" w:w="846"/>
          </w:tcPr>
          <w:p>
            <w:r>
              <w:t>Priority 2</w:t>
            </w:r>
          </w:p>
        </w:tc>
        <w:tc>
          <w:tcPr>
            <w:tcW w:type="dxa" w:w="4684"/>
          </w:tcPr>
          <w:p>
            <w:r>
              <w:t>Publish SSRS Self-Service Reporting Knowledge Base</w:t>
            </w:r>
          </w:p>
        </w:tc>
        <w:tc>
          <w:tcPr>
            <w:tcW w:type="dxa" w:w="4684"/>
          </w:tcPr>
          <w:p>
            <w:r>
              <w:t>Reporting &amp; data extracts account for 31 cases with high SLA duration (2d 3h). Pre-built templates reduce custom extract work.</w:t>
            </w:r>
          </w:p>
        </w:tc>
      </w:tr>
      <w:tr>
        <w:tc>
          <w:tcPr>
            <w:tcW w:type="dxa" w:w="846"/>
          </w:tcPr>
          <w:p>
            <w:r>
              <w:t>Priority 3</w:t>
            </w:r>
          </w:p>
        </w:tc>
        <w:tc>
          <w:tcPr>
            <w:tcW w:type="dxa" w:w="4684"/>
          </w:tcPr>
          <w:p>
            <w:r>
              <w:t>Establish Automated Printer &amp; Output Configuration Guidance</w:t>
            </w:r>
          </w:p>
        </w:tc>
        <w:tc>
          <w:tcPr>
            <w:tcW w:type="dxa" w:w="4684"/>
          </w:tcPr>
          <w:p>
            <w:r>
              <w:t>Batch printing issues represent 28 cases. KB articles and automated diagnostics will resolve client output issues.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0BEC" w14:textId="77777777" w:rsidR="00902A48" w:rsidRDefault="00902A48">
      <w:pPr>
        <w:spacing w:after="0" w:line="240" w:lineRule="auto"/>
      </w:pPr>
      <w:r>
        <w:separator/>
      </w:r>
    </w:p>
  </w:endnote>
  <w:endnote w:type="continuationSeparator" w:id="0">
    <w:p w14:paraId="0804F26C" w14:textId="77777777" w:rsidR="00902A48" w:rsidRDefault="0090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ADCC" w14:textId="77777777" w:rsidR="00902A48" w:rsidRDefault="00902A48">
      <w:pPr>
        <w:spacing w:after="0" w:line="240" w:lineRule="auto"/>
      </w:pPr>
      <w:r>
        <w:separator/>
      </w:r>
    </w:p>
  </w:footnote>
  <w:footnote w:type="continuationSeparator" w:id="0">
    <w:p w14:paraId="775E1A6C" w14:textId="77777777" w:rsidR="00902A48" w:rsidRDefault="00902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307</Words>
  <Characters>1899</Characters>
  <Application>Microsoft Office Word</Application>
  <DocSecurity>0</DocSecurity>
  <Lines>271</Lines>
  <Paragraphs>84</Paragraphs>
  <ScaleCrop>false</ScaleCrop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6</cp:revision>
  <dcterms:created xsi:type="dcterms:W3CDTF">2026-07-29T15:48:00Z</dcterms:created>
  <dcterms:modified xsi:type="dcterms:W3CDTF">2026-07-29T23:50:00Z</dcterms:modified>
  <cp:category/>
</cp:coreProperties>
</file>