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200"/>
        <w:jc w:val="center"/>
        <w:rPr/>
      </w:pPr>
      <w:r>
        <w:rPr>
          <w:rFonts w:ascii="Aptos Display" w:hAnsi="Aptos Display"/>
          <w:b/>
          <w:color w:val="153D64"/>
          <w:sz w:val="52"/>
        </w:rPr>
        <w:t>Symphony Case Trend Report</w:t>
      </w:r>
    </w:p>
    <w:p>
      <w:pPr>
        <w:pStyle w:val="Normal"/>
        <w:jc w:val="center"/>
        <w:rPr/>
      </w:pPr>
      <w:r>
        <w:rPr>
          <w:color w:val="505050"/>
          <w:sz w:val="26"/>
        </w:rPr>
        <w:t>Management-level analysis of ServiceNow case export</w:t>
      </w:r>
    </w:p>
    <w:p>
      <w:pPr>
        <w:pStyle w:val="Normal"/>
        <w:jc w:val="center"/>
        <w:rPr/>
      </w:pPr>
      <w:r>
        <w:rPr/>
        <w:t>Source: data/raw/Symphony_Casea_Last_12-Months.csv</w:t>
      </w:r>
    </w:p>
    <w:tbl>
      <w:tblPr>
        <w:tblW w:w="10224" w:type="dxa"/>
        <w:jc w:val="center"/>
        <w:tblInd w:w="0" w:type="dxa"/>
        <w:tblLayout w:type="fixed"/>
        <w:tblCellMar>
          <w:top w:w="160" w:type="dxa"/>
          <w:start w:w="100" w:type="dxa"/>
          <w:bottom w:w="80" w:type="dxa"/>
          <w:end w:w="100" w:type="dxa"/>
        </w:tblCellMar>
        <w:tblLook w:noHBand="0" w:noVBand="1" w:firstColumn="1" w:lastRow="0" w:lastColumn="0" w:firstRow="1" w:val="04a0"/>
      </w:tblPr>
      <w:tblGrid>
        <w:gridCol w:w="2342"/>
        <w:gridCol w:w="3261"/>
        <w:gridCol w:w="2292"/>
        <w:gridCol w:w="2329"/>
      </w:tblGrid>
      <w:tr>
        <w:trPr>
          <w:tblHeader w:val="true"/>
        </w:trPr>
        <w:tc>
          <w:tcPr>
            <w:tcW w:w="2342" w:type="dxa"/>
            <w:tcBorders/>
            <w:shd w:color="auto" w:fill="153D64" w:val="clear"/>
          </w:tcPr>
          <w:p>
            <w:pPr>
              <w:pStyle w:val="Normal"/>
              <w:spacing w:before="0" w:after="200"/>
              <w:jc w:val="center"/>
              <w:rPr>
                <w:b/>
                <w:bCs/>
                <w:sz w:val="34"/>
                <w:szCs w:val="34"/>
              </w:rPr>
            </w:pPr>
            <w:r>
              <w:rPr/>
              <w:t>958</w:t>
            </w:r>
          </w:p>
        </w:tc>
        <w:tc>
          <w:tcPr>
            <w:tcW w:w="3261" w:type="dxa"/>
            <w:tcBorders/>
            <w:shd w:color="auto" w:fill="153D64" w:val="clear"/>
          </w:tcPr>
          <w:p>
            <w:pPr>
              <w:pStyle w:val="Normal"/>
              <w:spacing w:before="0" w:after="200"/>
              <w:jc w:val="center"/>
              <w:rPr>
                <w:b/>
                <w:bCs/>
                <w:sz w:val="34"/>
                <w:szCs w:val="34"/>
              </w:rPr>
            </w:pPr>
            <w:r>
              <w:rPr/>
              <w:t>30</w:t>
            </w:r>
          </w:p>
        </w:tc>
        <w:tc>
          <w:tcPr>
            <w:tcW w:w="2292" w:type="dxa"/>
            <w:tcBorders/>
            <w:shd w:color="auto" w:fill="153D64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t>2 days, 1 hrs, 10 mins</w:t>
            </w:r>
          </w:p>
        </w:tc>
        <w:tc>
          <w:tcPr>
            <w:tcW w:w="2329" w:type="dxa"/>
            <w:tcBorders/>
            <w:shd w:color="auto" w:fill="153D64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t>Integration &amp; Interfaces</w:t>
            </w:r>
          </w:p>
        </w:tc>
      </w:tr>
      <w:tr>
        <w:trPr/>
        <w:tc>
          <w:tcPr>
            <w:tcW w:w="2342" w:type="dxa"/>
            <w:tcBorders/>
            <w:shd w:color="auto" w:fill="EAF2F8" w:val="clear"/>
            <w:tcMar>
              <w:top w:w="80" w:type="dxa"/>
              <w:bottom w:w="140" w:type="dxa"/>
            </w:tcMar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3261" w:type="dxa"/>
            <w:tcBorders/>
            <w:shd w:color="auto" w:fill="EAF2F8" w:val="clear"/>
            <w:tcMar>
              <w:top w:w="80" w:type="dxa"/>
              <w:bottom w:w="140" w:type="dxa"/>
            </w:tcMar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292" w:type="dxa"/>
            <w:tcBorders/>
            <w:shd w:color="auto" w:fill="EAF2F8" w:val="clear"/>
            <w:tcMar>
              <w:top w:w="80" w:type="dxa"/>
              <w:bottom w:w="140" w:type="dxa"/>
            </w:tcMar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329" w:type="dxa"/>
            <w:tcBorders/>
            <w:shd w:color="auto" w:fill="EAF2F8" w:val="clear"/>
            <w:tcMar>
              <w:top w:w="80" w:type="dxa"/>
              <w:bottom w:w="140" w:type="dxa"/>
            </w:tcMar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53D64"/>
                <w:sz w:val="17"/>
              </w:rPr>
              <w:t xml:space="preserve">Largest trending 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Executive summary</w:t>
      </w:r>
    </w:p>
    <w:tbl>
      <w:tblPr>
        <w:tblW w:w="10224" w:type="dxa"/>
        <w:jc w:val="center"/>
        <w:tblInd w:w="0" w:type="dxa"/>
        <w:tblLayout w:type="fixed"/>
        <w:tblCellMar>
          <w:top w:w="160" w:type="dxa"/>
          <w:start w:w="180" w:type="dxa"/>
          <w:bottom w:w="160" w:type="dxa"/>
          <w:end w:w="180" w:type="dxa"/>
        </w:tblCellMar>
        <w:tblLook w:noHBand="0" w:noVBand="1" w:firstColumn="1" w:lastRow="0" w:lastColumn="0" w:firstRow="1" w:val="04a0"/>
      </w:tblPr>
      <w:tblGrid>
        <w:gridCol w:w="10224"/>
      </w:tblGrid>
      <w:tr>
        <w:trPr>
          <w:tblHeader w:val="true"/>
        </w:trPr>
        <w:tc>
          <w:tcPr>
            <w:tcW w:w="10224" w:type="dxa"/>
            <w:tcBorders/>
            <w:shd w:color="auto" w:fill="EAF2F8" w:val="clear"/>
          </w:tcPr>
          <w:p>
            <w:pPr>
              <w:pStyle w:val="Normal"/>
              <w:rPr/>
            </w:pPr>
            <w:r>
              <w:rPr/>
              <w:t>Executive Summary (Symphony Support Trend Analysis):</w:t>
              <w:br/>
              <w:br/>
              <w:t>Over the 12-month evaluation period, 958 Symphony cases were analysed. Support demand is heavily concentrated in two primary operational categories: Integration &amp; Interfaces (500 cases / 52.2%) and Access &amp; Security (228 cases / 23.8%), together accounting for 76.0% of all ticket volume.</w:t>
              <w:br/>
              <w:br/>
              <w:t>Key Insights for Leadership:</w:t>
              <w:br/>
              <w:t>1. Emergency &amp; Acute Interface Demand: Integration failures (HL7 messaging / DAD interop) represent 268 cases, while external NHS dependencies (SCR, TIE, ODS, GP Import) account for 230 cases.</w:t>
              <w:br/>
              <w:t>2. High Information Governance Audit Overhead: Record access history and IG viewing audits represent 151 cases (15.8% of overall volume), averaging 19h 2m SLA business duration.</w:t>
              <w:br/>
              <w:t>3. Strategic Actions: Leadership should implement (P1) automated interface queue monitoring &amp; retries and (P1) an automated self-service Information Governance audit extraction portal.</w:t>
            </w:r>
          </w:p>
          <w:p>
            <w:pPr>
              <w:pStyle w:val="Normal"/>
              <w:spacing w:before="80" w:after="20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>
          <w:b/>
        </w:rPr>
        <w:t xml:space="preserve">Key interpretation: </w:t>
      </w:r>
      <w:r>
        <w:rPr/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>
      <w:pPr>
        <w:pStyle w:val="Heading2"/>
        <w:rPr/>
      </w:pPr>
      <w:r>
        <w:rPr/>
        <w:t>Key metrics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3404"/>
        <w:gridCol w:w="3405"/>
        <w:gridCol w:w="3405"/>
      </w:tblGrid>
      <w:tr>
        <w:trPr>
          <w:tblHeader w:val="true"/>
        </w:trPr>
        <w:tc>
          <w:tcPr>
            <w:tcW w:w="3404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Metric</w:t>
            </w:r>
          </w:p>
        </w:tc>
        <w:tc>
          <w:tcPr>
            <w:tcW w:w="3405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Value</w:t>
            </w:r>
          </w:p>
        </w:tc>
        <w:tc>
          <w:tcPr>
            <w:tcW w:w="3405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Total cases analysed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958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Total cases in Symphony export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Created date range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03/07/2025 - 29/07/2026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Creation period (sys_created_on)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Current unresolved cases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30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Cases without resolution timestamp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Median open age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16 days, 9 hrs, 15 mins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Median age for open cases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P90 open age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310 days, 8 hrs, 43 mins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P90 age for open cases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Cases resolved with date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928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Cases with valid resolution date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Median time to resolution (TTR)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 days, 1 hrs, 10 mins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Median duration from created to resolved</w:t>
            </w:r>
          </w:p>
        </w:tc>
      </w:tr>
      <w:tr>
        <w:trPr/>
        <w:tc>
          <w:tcPr>
            <w:tcW w:w="3404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P90 time to resolution (TTR)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20 days, 15 hrs, 54 mins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P90 duration from created to resolved</w:t>
            </w:r>
          </w:p>
        </w:tc>
      </w:tr>
    </w:tbl>
    <w:p>
      <w:pPr>
        <w:pStyle w:val="Heading1"/>
        <w:rPr/>
      </w:pPr>
      <w:r>
        <w:rPr/>
        <w:t>Case volume and portfolio shape</w:t>
      </w:r>
    </w:p>
    <w:tbl>
      <w:tblPr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112"/>
        <w:gridCol w:w="5112"/>
      </w:tblGrid>
      <w:tr>
        <w:trPr>
          <w:tblHeader w:val="true"/>
        </w:trPr>
        <w:tc>
          <w:tcPr>
            <w:tcW w:w="5112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drawing>
                <wp:inline distT="0" distB="0" distL="0" distR="0">
                  <wp:extent cx="292608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6080" cy="14630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drawing>
                <wp:inline distT="0" distB="0" distL="0" distR="0">
                  <wp:extent cx="2926080" cy="146304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6080" cy="14630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jc w:val="center"/>
        <w:rPr/>
      </w:pPr>
      <w:r>
        <w:rPr>
          <w:i/>
          <w:color w:val="5A5A5A"/>
          <w:sz w:val="17"/>
        </w:rPr>
        <w:t>Figure 1. Monthly case creation trend and product concentration.</w:t>
      </w:r>
    </w:p>
    <w:p>
      <w:pPr>
        <w:pStyle w:val="Heading2"/>
        <w:rPr/>
      </w:pPr>
      <w:r>
        <w:rPr/>
        <w:t>Product distribution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845"/>
        <w:gridCol w:w="8363"/>
        <w:gridCol w:w="1006"/>
      </w:tblGrid>
      <w:tr>
        <w:trPr>
          <w:tblHeader w:val="true"/>
        </w:trPr>
        <w:tc>
          <w:tcPr>
            <w:tcW w:w="845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Rank</w:t>
            </w:r>
          </w:p>
        </w:tc>
        <w:tc>
          <w:tcPr>
            <w:tcW w:w="836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Product</w:t>
            </w:r>
          </w:p>
        </w:tc>
        <w:tc>
          <w:tcPr>
            <w:tcW w:w="1006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Cases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899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DAD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21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SCR &amp; PDS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ADT Interfacing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Optum Help Centre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Capscan Matchcode (GBG)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MIDAs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8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Printed Output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PAS interface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</w:p>
        </w:tc>
        <w:tc>
          <w:tcPr>
            <w:tcW w:w="836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Symphony - EIE</w:t>
            </w:r>
          </w:p>
        </w:tc>
        <w:tc>
          <w:tcPr>
            <w:tcW w:w="100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</w:tr>
    </w:tbl>
    <w:p>
      <w:pPr>
        <w:pStyle w:val="Heading1"/>
        <w:rPr/>
      </w:pPr>
      <w:r>
        <w:rPr/>
        <w:t>Priority and state profile</w:t>
      </w:r>
    </w:p>
    <w:tbl>
      <w:tblPr>
        <w:tblStyle w:val="TableGrid"/>
        <w:tblW w:w="766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2553"/>
        <w:gridCol w:w="2553"/>
        <w:gridCol w:w="2554"/>
      </w:tblGrid>
      <w:tr>
        <w:trPr>
          <w:tblHeader w:val="true"/>
        </w:trPr>
        <w:tc>
          <w:tcPr>
            <w:tcW w:w="255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State</w:t>
            </w:r>
          </w:p>
        </w:tc>
        <w:tc>
          <w:tcPr>
            <w:tcW w:w="255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Cases</w:t>
            </w:r>
          </w:p>
        </w:tc>
        <w:tc>
          <w:tcPr>
            <w:tcW w:w="2554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Cases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Closed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900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93.9%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Resolved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28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2.9%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On hold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19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2.0%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11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1.1%</w:t>
            </w:r>
          </w:p>
        </w:tc>
      </w:tr>
    </w:tbl>
    <w:p>
      <w:pPr>
        <w:pStyle w:val="Heading1"/>
        <w:rPr/>
      </w:pPr>
      <w:r>
        <w:rPr/>
        <w:t>Trending topic analysis</w:t>
      </w:r>
    </w:p>
    <w:tbl>
      <w:tblPr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224"/>
      </w:tblGrid>
      <w:tr>
        <w:trPr>
          <w:tblHeader w:val="true"/>
        </w:trPr>
        <w:tc>
          <w:tcPr>
            <w:tcW w:w="10224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drawing>
                <wp:inline distT="0" distB="0" distL="0" distR="0">
                  <wp:extent cx="5486400" cy="27432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743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jc w:val="center"/>
        <w:rPr/>
      </w:pPr>
      <w:r>
        <w:rPr>
          <w:i/>
          <w:color w:val="5A5A5A"/>
          <w:sz w:val="17"/>
        </w:rPr>
        <w:t>Figure 2. Topic clusters and movement of selected themes by month.</w:t>
      </w:r>
    </w:p>
    <w:p>
      <w:pPr>
        <w:pStyle w:val="Heading2"/>
        <w:rPr/>
      </w:pPr>
      <w:r>
        <w:rPr/>
        <w:t>Theme interpretation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2553"/>
        <w:gridCol w:w="2554"/>
        <w:gridCol w:w="2553"/>
        <w:gridCol w:w="2554"/>
      </w:tblGrid>
      <w:tr>
        <w:trPr>
          <w:tblHeader w:val="true"/>
        </w:trPr>
        <w:tc>
          <w:tcPr>
            <w:tcW w:w="255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Theme</w:t>
            </w:r>
          </w:p>
        </w:tc>
        <w:tc>
          <w:tcPr>
            <w:tcW w:w="2554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Matching cases</w:t>
            </w:r>
          </w:p>
        </w:tc>
        <w:tc>
          <w:tcPr>
            <w:tcW w:w="255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Recent signal from June onwards</w:t>
            </w:r>
          </w:p>
        </w:tc>
        <w:tc>
          <w:tcPr>
            <w:tcW w:w="2554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Management implication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Integration &amp; Interfaces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500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73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Highest operational impact (HL7/DAD messaging). Automated queue retries and interop monitoring required.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Access &amp; Security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228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60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Driven by IG Audit &amp; Compliance requests (151 cases). Recommending automated self-service audit extraction portal.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Configuration &amp; Administration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80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13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Master data and departmental lookup changes (41 cases). Recommend standard admin change templates.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Performance &amp; Availability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40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UI freezing and slowness. Requires database script optimisation and client network checks.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Reporting &amp; Analytics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35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SSRS report generation &amp; data extracts (31 cases). Recommend publishing standard reporting catalog.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Defects &amp; Errors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20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Functional errors and scanning blank pages. Requires development patch verification.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Service Requests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18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New setup and quote requests. Recommend standard service catalog intake templates.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Data Management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15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Database data corrections and SQL fixes. Recommend tier-2 script library.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Notifications &amp; Communications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12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Monitor trend movement and user demand.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Workflow &amp; Process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Monitor trend movement and user demand.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User Guidance &amp; Training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Monitor trend movement and user demand.</w:t>
            </w:r>
          </w:p>
        </w:tc>
      </w:tr>
      <w:tr>
        <w:trPr/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Case Administration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5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0 cases (Jun-Jul)</w:t>
            </w:r>
          </w:p>
        </w:tc>
        <w:tc>
          <w:tcPr>
            <w:tcW w:w="255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Monitor trend movement and user demand.</w:t>
            </w:r>
          </w:p>
        </w:tc>
      </w:tr>
    </w:tbl>
    <w:p>
      <w:pPr>
        <w:pStyle w:val="Heading1"/>
        <w:rPr/>
      </w:pPr>
      <w:r>
        <w:rPr/>
        <w:t>Customer/account concentration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845"/>
        <w:gridCol w:w="5103"/>
        <w:gridCol w:w="2133"/>
        <w:gridCol w:w="2133"/>
      </w:tblGrid>
      <w:tr>
        <w:trPr>
          <w:tblHeader w:val="true"/>
        </w:trPr>
        <w:tc>
          <w:tcPr>
            <w:tcW w:w="845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Rank</w:t>
            </w:r>
          </w:p>
        </w:tc>
        <w:tc>
          <w:tcPr>
            <w:tcW w:w="510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Account</w:t>
            </w:r>
          </w:p>
        </w:tc>
        <w:tc>
          <w:tcPr>
            <w:tcW w:w="213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Cases</w:t>
            </w:r>
          </w:p>
        </w:tc>
        <w:tc>
          <w:tcPr>
            <w:tcW w:w="2133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Open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Health Service Executive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75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South Tees Hospitals NHS Foundation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72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Mid Yorkshire Teaching NHS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72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Leeds Teaching Hospitals NHS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66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North West Anglia NHS Foundation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59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Swansea Bay University Health Board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58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Wye Valley NHS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56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8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North Cumbria Integrated Care NHS Foundation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46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Doncaster and Bassetlaw Teaching Hospitals NHS Foundation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43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84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</w:p>
        </w:tc>
        <w:tc>
          <w:tcPr>
            <w:tcW w:w="510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Northern Lincolnshire And Goole NHS Foundation Trust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41</w:t>
            </w:r>
          </w:p>
        </w:tc>
        <w:tc>
          <w:tcPr>
            <w:tcW w:w="213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3</w:t>
            </w:r>
          </w:p>
        </w:tc>
      </w:tr>
    </w:tbl>
    <w:p>
      <w:pPr>
        <w:pStyle w:val="Normal"/>
        <w:rPr/>
      </w:pPr>
      <w:r>
        <w:rPr>
          <w:b/>
        </w:rPr>
        <w:t xml:space="preserve">Management observation: </w:t>
      </w:r>
      <w:r>
        <w:rPr/>
        <w:t>Account concentration should be used for service review context only. The export does not include deployment scale, module footprint, contractual scope, number of users, site complexity, or customer reporting behaviour.</w:t>
      </w:r>
    </w:p>
    <w:p>
      <w:pPr>
        <w:pStyle w:val="Heading1"/>
        <w:rPr/>
      </w:pPr>
      <w:r>
        <w:rPr/>
        <w:t>Recommended management actions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1301"/>
        <w:gridCol w:w="4228"/>
        <w:gridCol w:w="4685"/>
      </w:tblGrid>
      <w:tr>
        <w:trPr>
          <w:tblHeader w:val="true"/>
        </w:trPr>
        <w:tc>
          <w:tcPr>
            <w:tcW w:w="1301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#</w:t>
            </w:r>
          </w:p>
        </w:tc>
        <w:tc>
          <w:tcPr>
            <w:tcW w:w="4228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Recommendation</w:t>
            </w:r>
          </w:p>
        </w:tc>
        <w:tc>
          <w:tcPr>
            <w:tcW w:w="4685" w:type="dxa"/>
            <w:tcBorders/>
            <w:shd w:color="auto" w:fill="153D64" w:val="clear"/>
            <w:vAlign w:val="center"/>
          </w:tcPr>
          <w:p>
            <w:pPr>
              <w:pStyle w:val="Normal"/>
              <w:widowControl/>
              <w:spacing w:lineRule="auto" w:line="252" w:before="0" w:after="4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1301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Priority 1</w:t>
            </w:r>
          </w:p>
        </w:tc>
        <w:tc>
          <w:tcPr>
            <w:tcW w:w="4228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Implement Automated HL7 &amp; DAD Interface Queue Retry</w:t>
            </w:r>
          </w:p>
        </w:tc>
        <w:tc>
          <w:tcPr>
            <w:tcW w:w="468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Integration failures represent 52.2% of demand (500 cases). Automated retries will prevent manual support queue build-up.</w:t>
            </w:r>
          </w:p>
        </w:tc>
      </w:tr>
      <w:tr>
        <w:trPr/>
        <w:tc>
          <w:tcPr>
            <w:tcW w:w="1301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Priority 1</w:t>
            </w:r>
          </w:p>
        </w:tc>
        <w:tc>
          <w:tcPr>
            <w:tcW w:w="4228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Deploy Self-Service Information Governance Audit Portal</w:t>
            </w:r>
          </w:p>
        </w:tc>
        <w:tc>
          <w:tcPr>
            <w:tcW w:w="468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Audit &amp; IG requests account for 151 cases (15.8%). An automated portal will eliminate tier-2 manual SQL audit extraction.</w:t>
            </w:r>
          </w:p>
        </w:tc>
      </w:tr>
      <w:tr>
        <w:trPr/>
        <w:tc>
          <w:tcPr>
            <w:tcW w:w="1301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Priority 2</w:t>
            </w:r>
          </w:p>
        </w:tc>
        <w:tc>
          <w:tcPr>
            <w:tcW w:w="4228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Standardise Departmental &amp; Ward Lookup Change Requests</w:t>
            </w:r>
          </w:p>
        </w:tc>
        <w:tc>
          <w:tcPr>
            <w:tcW w:w="468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Master data changes represent 41 cases. Standardized intake forms will improve change turnaround times.</w:t>
            </w:r>
          </w:p>
        </w:tc>
      </w:tr>
      <w:tr>
        <w:trPr/>
        <w:tc>
          <w:tcPr>
            <w:tcW w:w="1301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Priority 2</w:t>
            </w:r>
          </w:p>
        </w:tc>
        <w:tc>
          <w:tcPr>
            <w:tcW w:w="4228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Publish SSRS Self-Service Reporting Knowledge Base</w:t>
            </w:r>
          </w:p>
        </w:tc>
        <w:tc>
          <w:tcPr>
            <w:tcW w:w="468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Reporting &amp; data extracts account for 31 cases with high SLA duration (2d 3h). Pre-built templates reduce custom extract work.</w:t>
            </w:r>
          </w:p>
        </w:tc>
      </w:tr>
      <w:tr>
        <w:trPr/>
        <w:tc>
          <w:tcPr>
            <w:tcW w:w="1301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Priority 3</w:t>
            </w:r>
          </w:p>
        </w:tc>
        <w:tc>
          <w:tcPr>
            <w:tcW w:w="4228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Establish Automated Printer &amp; Output Configuration Guidance</w:t>
            </w:r>
          </w:p>
        </w:tc>
        <w:tc>
          <w:tcPr>
            <w:tcW w:w="468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Batch printing issues represent 28 cases. KB articles and automated diagnostics will resolve client output issues.</w:t>
            </w:r>
          </w:p>
        </w:tc>
      </w:tr>
    </w:tbl>
    <w:p>
      <w:pPr>
        <w:pStyle w:val="Heading1"/>
        <w:keepNext w:val="true"/>
        <w:keepLines/>
        <w:spacing w:before="240" w:after="120"/>
        <w:rPr/>
      </w:pPr>
      <w:r>
        <w:rPr/>
        <w:t>Appendix: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1008" w:right="1008" w:gutter="0" w:header="72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6"/>
      </w:rPr>
      <w:t>Management summary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6"/>
      </w:rPr>
      <w:t>Management summary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646464"/>
        <w:sz w:val="16"/>
      </w:rPr>
      <w:t>Symphony Case Trend Report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646464"/>
        <w:sz w:val="16"/>
      </w:rPr>
      <w:t>Symphony Case Trend Report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8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ptos" w:hAnsi="Aptos" w:eastAsia="Aptos" w:cs="" w:cstheme="minorBidi"/>
      <w:color w:val="auto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LibreOffice/26.2.5.2$Linux_X86_64 LibreOffice_project/620$Build-2</Application>
  <AppVersion>15.0000</AppVersion>
  <Pages>6</Pages>
  <Words>903</Words>
  <Characters>5159</Characters>
  <CharactersWithSpaces>5848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2026-07-29T15:48:00Z</dcterms:created>
  <dc:creator>Lee Booth</dc:creator>
  <dc:description>generated by python-docx</dc:description>
  <dc:language>en-GB</dc:language>
  <cp:lastModifiedBy/>
  <dcterms:modified xsi:type="dcterms:W3CDTF">2026-07-31T11:26:48Z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