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Source files: Symphony_Casea_Last_12-Months.csv (case data) and Symphony_SLA_Last_12-Months.csv (SLA durations), merged on case number. Derived dataset: Merged_Cases_With_SLA_Formatted.csv. Report generated: 2026-07-29 22:37:34.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/>
            <w:r>
              <w:t>958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/>
            <w:r>
              <w:t>Open: 58 / Resolved: 900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/>
            <w:r>
              <w:t>Median: 2 days, 1 hrs, 10 mins; P90: 20 days, 16 hrs, 45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/>
            <w:r>
              <w:t>Audit / IG / access investigation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/>
            <w:r/>
            <w:r>
              <w:t>This report covers 967 Symphony cases. The data window is 03/07/2025 - 03/08/2026. Demand concentration: highest-volume theme is 'Other' (see Trend Distribution). Primary service metric: median time to resolution is 2 days, 1 hrs, 17 mins, with P90 of 20 days, 16 hrs, 45 mins. Current backlog: 29 unresolved cases; median open age 15 days, 5 hrs, 53 mins, P90 314 days, 21 hrs, 43 mins. Recommended priorities: (1) rapidly create KB articles and automation for high-volume, low-complexity issues; (2) strengthen triage to reduce P90 resolution; (3) remediate recurring environmental/import processes causing operational noise.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4"/>
          </w:tcPr>
          <w:p>
            <w:r>
              <w:t>Total cases analysed</w:t>
            </w:r>
          </w:p>
        </w:tc>
        <w:tc>
          <w:tcPr>
            <w:tcW w:type="dxa" w:w="3405"/>
          </w:tcPr>
          <w:p>
            <w:r>
              <w:t>967</w:t>
            </w:r>
          </w:p>
        </w:tc>
        <w:tc>
          <w:tcPr>
            <w:tcW w:type="dxa" w:w="3405"/>
          </w:tcPr>
          <w:p>
            <w:r>
              <w:t>As counted in merged dataset</w:t>
            </w:r>
          </w:p>
        </w:tc>
      </w:tr>
      <w:tr>
        <w:tc>
          <w:tcPr>
            <w:tcW w:type="dxa" w:w="3404"/>
          </w:tcPr>
          <w:p>
            <w:r>
              <w:t>Created date range</w:t>
            </w:r>
          </w:p>
        </w:tc>
        <w:tc>
          <w:tcPr>
            <w:tcW w:type="dxa" w:w="3405"/>
          </w:tcPr>
          <w:p>
            <w:r>
              <w:t>03/07/2025 - 03/08/2026</w:t>
            </w:r>
          </w:p>
        </w:tc>
        <w:tc>
          <w:tcPr>
            <w:tcW w:type="dxa" w:w="3405"/>
          </w:tcPr>
          <w:p>
            <w:r>
              <w:t>Date range of case creation (sys_created_on).</w:t>
            </w:r>
          </w:p>
        </w:tc>
      </w:tr>
      <w:tr>
        <w:tc>
          <w:tcPr>
            <w:tcW w:type="dxa" w:w="3404"/>
          </w:tcPr>
          <w:p>
            <w:r>
              <w:t>Current unresolved cases</w:t>
            </w:r>
          </w:p>
        </w:tc>
        <w:tc>
          <w:tcPr>
            <w:tcW w:type="dxa" w:w="3405"/>
          </w:tcPr>
          <w:p>
            <w:r>
              <w:t>29</w:t>
            </w:r>
          </w:p>
        </w:tc>
        <w:tc>
          <w:tcPr>
            <w:tcW w:type="dxa" w:w="3405"/>
          </w:tcPr>
          <w:p>
            <w:r>
              <w:t>Cases without a resolved date (resolved_at empty). Includes any non-Closed states.</w:t>
            </w:r>
          </w:p>
        </w:tc>
      </w:tr>
      <w:tr>
        <w:tc>
          <w:tcPr>
            <w:tcW w:type="dxa" w:w="3404"/>
          </w:tcPr>
          <w:p>
            <w:r>
              <w:t>Median open age</w:t>
            </w:r>
          </w:p>
        </w:tc>
        <w:tc>
          <w:tcPr>
            <w:tcW w:type="dxa" w:w="3405"/>
          </w:tcPr>
          <w:p>
            <w:r>
              <w:t>15 days, 5 hrs, 53 mins</w:t>
            </w:r>
          </w:p>
        </w:tc>
        <w:tc>
          <w:tcPr>
            <w:tcW w:type="dxa" w:w="3405"/>
          </w:tcPr>
          <w:p>
            <w:r>
              <w:t>Median age for currently unresolved cases: duration since creation.</w:t>
            </w:r>
          </w:p>
        </w:tc>
      </w:tr>
      <w:tr>
        <w:tc>
          <w:tcPr>
            <w:tcW w:type="dxa" w:w="3404"/>
          </w:tcPr>
          <w:p>
            <w:r>
              <w:t>90th percentile open age</w:t>
            </w:r>
          </w:p>
        </w:tc>
        <w:tc>
          <w:tcPr>
            <w:tcW w:type="dxa" w:w="3405"/>
          </w:tcPr>
          <w:p>
            <w:r>
              <w:t>314 days, 21 hrs, 43 mins</w:t>
            </w:r>
          </w:p>
        </w:tc>
        <w:tc>
          <w:tcPr>
            <w:tcW w:type="dxa" w:w="3405"/>
          </w:tcPr>
          <w:p>
            <w:r>
              <w:t>P90 age for currently unresolved cases.</w:t>
            </w:r>
          </w:p>
        </w:tc>
      </w:tr>
      <w:tr>
        <w:tc>
          <w:tcPr>
            <w:tcW w:type="dxa" w:w="3404"/>
          </w:tcPr>
          <w:p>
            <w:r>
              <w:t>Resolved/closed with resolution date</w:t>
            </w:r>
          </w:p>
        </w:tc>
        <w:tc>
          <w:tcPr>
            <w:tcW w:type="dxa" w:w="3405"/>
          </w:tcPr>
          <w:p>
            <w:r>
              <w:t>938</w:t>
            </w:r>
          </w:p>
        </w:tc>
        <w:tc>
          <w:tcPr>
            <w:tcW w:type="dxa" w:w="3405"/>
          </w:tcPr>
          <w:p>
            <w:r>
              <w:t>Count of cases with a resolved date present.</w:t>
            </w:r>
          </w:p>
        </w:tc>
      </w:tr>
      <w:tr>
        <w:tc>
          <w:tcPr>
            <w:tcW w:type="dxa" w:w="3404"/>
          </w:tcPr>
          <w:p>
            <w:r>
              <w:t>Median resolution duration</w:t>
            </w:r>
          </w:p>
        </w:tc>
        <w:tc>
          <w:tcPr>
            <w:tcW w:type="dxa" w:w="3405"/>
          </w:tcPr>
          <w:p>
            <w:r>
              <w:t>2 days, 1 hrs, 17 mins</w:t>
            </w:r>
          </w:p>
        </w:tc>
        <w:tc>
          <w:tcPr>
            <w:tcW w:type="dxa" w:w="3405"/>
          </w:tcPr>
          <w:p>
            <w:r>
              <w:t>Median time-to-resolution for resolved cases (Created -&gt; Resolved).</w:t>
            </w:r>
          </w:p>
        </w:tc>
      </w:tr>
      <w:tr>
        <w:tc>
          <w:tcPr>
            <w:tcW w:type="dxa" w:w="3404"/>
          </w:tcPr>
          <w:p>
            <w:r>
              <w:t>90th percentile resolution duration</w:t>
            </w:r>
          </w:p>
        </w:tc>
        <w:tc>
          <w:tcPr>
            <w:tcW w:type="dxa" w:w="3405"/>
          </w:tcPr>
          <w:p>
            <w:r>
              <w:t>20 days, 16 hrs, 45 mins</w:t>
            </w:r>
          </w:p>
        </w:tc>
        <w:tc>
          <w:tcPr>
            <w:tcW w:type="dxa" w:w="3405"/>
          </w:tcPr>
          <w:p>
            <w:r>
              <w:t>P90 time-to-resolution for resolved cases.</w:t>
            </w: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274320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2743200" cy="13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Symphony</w:t>
            </w:r>
          </w:p>
        </w:tc>
        <w:tc>
          <w:tcPr>
            <w:tcW w:type="dxa" w:w="1005"/>
          </w:tcPr>
          <w:p>
            <w:r>
              <w:t>907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Symphony - DAD</w:t>
            </w:r>
          </w:p>
        </w:tc>
        <w:tc>
          <w:tcPr>
            <w:tcW w:type="dxa" w:w="1005"/>
          </w:tcPr>
          <w:p>
            <w:r>
              <w:t>22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Symphony - SCR &amp; PDS</w:t>
            </w:r>
          </w:p>
        </w:tc>
        <w:tc>
          <w:tcPr>
            <w:tcW w:type="dxa" w:w="1005"/>
          </w:tcPr>
          <w:p>
            <w:r>
              <w:t>6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Symphony - ADT Interfacing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Optum Help Centre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Symphony - Capscan Matchcode (GBG)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Symphony - MIDAs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Symphony - Printed Output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PAS interface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Symphony - EIE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2743200" cy="1828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  <w:tr>
        <w:tc>
          <w:tcPr>
            <w:tcW w:type="dxa" w:w="10224"/>
          </w:tcPr>
          <w:p>
            <w:r/>
          </w:p>
        </w:tc>
      </w:tr>
      <w:tr>
        <w:tc>
          <w:tcPr>
            <w:tcW w:type="dxa" w:w="10224"/>
          </w:tcPr>
          <w:p>
            <w:r/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856</w:t>
            </w:r>
          </w:p>
        </w:tc>
        <w:tc>
          <w:tcPr>
            <w:tcW w:type="dxa" w:w="2132"/>
          </w:tcPr>
          <w:p>
            <w:r>
              <w:t>158</w:t>
            </w:r>
          </w:p>
        </w:tc>
        <w:tc>
          <w:tcPr>
            <w:tcW w:type="dxa" w:w="2133"/>
          </w:tcPr>
          <w:p>
            <w:r>
              <w:t>High volume — consider KB and automation.</w:t>
            </w:r>
          </w:p>
        </w:tc>
      </w:tr>
      <w:tr>
        <w:tc>
          <w:tcPr>
            <w:tcW w:type="dxa" w:w="846"/>
          </w:tcPr>
          <w:p>
            <w:r>
              <w:t>Reporting &amp; Analytics / Reporting</w:t>
            </w:r>
          </w:p>
        </w:tc>
        <w:tc>
          <w:tcPr>
            <w:tcW w:type="dxa" w:w="5103"/>
          </w:tcPr>
          <w:p>
            <w:r>
              <w:t>34</w:t>
            </w:r>
          </w:p>
        </w:tc>
        <w:tc>
          <w:tcPr>
            <w:tcW w:type="dxa" w:w="2132"/>
          </w:tcPr>
          <w:p>
            <w:r>
              <w:t>5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Notifications &amp; Communications / Email</w:t>
            </w:r>
          </w:p>
        </w:tc>
        <w:tc>
          <w:tcPr>
            <w:tcW w:type="dxa" w:w="5103"/>
          </w:tcPr>
          <w:p>
            <w:r>
              <w:t>33</w:t>
            </w:r>
          </w:p>
        </w:tc>
        <w:tc>
          <w:tcPr>
            <w:tcW w:type="dxa" w:w="2132"/>
          </w:tcPr>
          <w:p>
            <w:r>
              <w:t>8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Performance &amp; Availability / Performance</w:t>
            </w:r>
          </w:p>
        </w:tc>
        <w:tc>
          <w:tcPr>
            <w:tcW w:type="dxa" w:w="5103"/>
          </w:tcPr>
          <w:p>
            <w:r>
              <w:t>12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Defects &amp; Errors / Error Messages</w:t>
            </w:r>
          </w:p>
        </w:tc>
        <w:tc>
          <w:tcPr>
            <w:tcW w:type="dxa" w:w="5103"/>
          </w:tcPr>
          <w:p>
            <w:r>
              <w:t>8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User Guidance &amp; Training / Training</w:t>
            </w:r>
          </w:p>
        </w:tc>
        <w:tc>
          <w:tcPr>
            <w:tcW w:type="dxa" w:w="5103"/>
          </w:tcPr>
          <w:p>
            <w:r>
              <w:t>6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Alerts</w:t>
            </w:r>
          </w:p>
        </w:tc>
        <w:tc>
          <w:tcPr>
            <w:tcW w:type="dxa" w:w="5103"/>
          </w:tcPr>
          <w:p>
            <w:r>
              <w:t>5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Dashboard</w:t>
            </w:r>
          </w:p>
        </w:tc>
        <w:tc>
          <w:tcPr>
            <w:tcW w:type="dxa" w:w="5103"/>
          </w:tcPr>
          <w:p>
            <w:r>
              <w:t>3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User Access</w:t>
            </w:r>
          </w:p>
        </w:tc>
        <w:tc>
          <w:tcPr>
            <w:tcW w:type="dxa" w:w="5103"/>
          </w:tcPr>
          <w:p>
            <w:r>
              <w:t>3</w:t>
            </w:r>
          </w:p>
        </w:tc>
        <w:tc>
          <w:tcPr>
            <w:tcW w:type="dxa" w:w="2132"/>
          </w:tcPr>
          <w:p>
            <w:r>
              <w:t>2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Data Management / Data Quality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Performance &amp; Availability / Availability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Service Requests / Information Request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Subscription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Data Management / Data Recovery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Analytics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Health Service Executive</w:t>
            </w:r>
          </w:p>
        </w:tc>
        <w:tc>
          <w:tcPr>
            <w:tcW w:type="dxa" w:w="4684"/>
          </w:tcPr>
          <w:p>
            <w:r>
              <w:t>75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Mid Yorkshire Teaching NHS Trust</w:t>
            </w:r>
          </w:p>
        </w:tc>
        <w:tc>
          <w:tcPr>
            <w:tcW w:type="dxa" w:w="4684"/>
          </w:tcPr>
          <w:p>
            <w:r>
              <w:t>74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South Tees Hospitals NHS Foundation Trust</w:t>
            </w:r>
          </w:p>
        </w:tc>
        <w:tc>
          <w:tcPr>
            <w:tcW w:type="dxa" w:w="4684"/>
          </w:tcPr>
          <w:p>
            <w:r>
              <w:t>73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Leeds Teaching Hospitals NHS Trust</w:t>
            </w:r>
          </w:p>
        </w:tc>
        <w:tc>
          <w:tcPr>
            <w:tcW w:type="dxa" w:w="4684"/>
          </w:tcPr>
          <w:p>
            <w:r>
              <w:t>66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North West Anglia NHS Foundation Trust</w:t>
            </w:r>
          </w:p>
        </w:tc>
        <w:tc>
          <w:tcPr>
            <w:tcW w:type="dxa" w:w="4684"/>
          </w:tcPr>
          <w:p>
            <w:r>
              <w:t>61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Swansea Bay University Health Board</w:t>
            </w:r>
          </w:p>
        </w:tc>
        <w:tc>
          <w:tcPr>
            <w:tcW w:type="dxa" w:w="4684"/>
          </w:tcPr>
          <w:p>
            <w:r>
              <w:t>59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Wye Valley NHS Trust</w:t>
            </w:r>
          </w:p>
        </w:tc>
        <w:tc>
          <w:tcPr>
            <w:tcW w:type="dxa" w:w="4684"/>
          </w:tcPr>
          <w:p>
            <w:r>
              <w:t>56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North Cumbria Integrated Care NHS Foundation Trust</w:t>
            </w:r>
          </w:p>
        </w:tc>
        <w:tc>
          <w:tcPr>
            <w:tcW w:type="dxa" w:w="4684"/>
          </w:tcPr>
          <w:p>
            <w:r>
              <w:t>46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Doncaster and Bassetlaw Teaching Hospitals NHS Foundation Trust</w:t>
            </w:r>
          </w:p>
        </w:tc>
        <w:tc>
          <w:tcPr>
            <w:tcW w:type="dxa" w:w="4684"/>
          </w:tcPr>
          <w:p>
            <w:r>
              <w:t>43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Northern Lincolnshire And Goole NHS Foundation Trust</w:t>
            </w:r>
          </w:p>
        </w:tc>
        <w:tc>
          <w:tcPr>
            <w:tcW w:type="dxa" w:w="4684"/>
          </w:tcPr>
          <w:p>
            <w:r>
              <w:t>41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p>
      <w:r>
        <w:t>Appendix — Methods and Caveats</w:t>
        <w:br/>
        <w:br/>
        <w:t>Method: The report uses Symphony case exports merged with SLA durations on case number. Date parsing assumes day-first format. Time-to-resolution (TTR) is calculated as Resolved Date minus Created Date; open age uses the report generation time as reference. Trend classification used keyword matching against templates/Trends.txt with three additional authorised categories added during processing.</w:t>
        <w:br/>
        <w:br/>
        <w:t>Caveats: The merge preserved all cases from the primary case export and aligned SLA seconds where available; some cases lack SLA rows and some descriptions contain embedded line breaks which may affect automated token matching. 52 cases remain unclassified after automated passes. Durations are shown as "[DD] days, [HH] hrs, [MI] mins" with zero components suppressed.</w:t>
        <w:br/>
        <w:br/>
        <w:t>Privacy: No patient-identifiable data is included in outputs. Aggregate metrics only.</w:t>
        <w:br/>
        <w:br/>
        <w:t>If you require changes to classification rules, date range, or unresolved definition, request a rerun with updated parameters.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