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p xmlns:wp14="http://schemas.microsoft.com/office/word/2010/wordml" w14:paraId="0F08DB3D" wp14:textId="77777777">
      <w:pPr>
        <w:spacing w:before="1400"/>
        <w:jc w:val="center"/>
      </w:pPr>
      <w:r>
        <w:rPr>
          <w:rFonts w:ascii="Aptos Display" w:hAnsi="Aptos Display"/>
          <w:b/>
          <w:color w:val="153D64"/>
          <w:sz w:val="52"/>
        </w:rPr>
        <w:t>Symphony Case Trend Report</w:t>
      </w:r>
    </w:p>
    <w:p xmlns:wp14="http://schemas.microsoft.com/office/word/2010/wordml" w14:paraId="6A0B3597" wp14:textId="77777777">
      <w:pPr>
        <w:jc w:val="center"/>
      </w:pPr>
      <w:r>
        <w:rPr>
          <w:color w:val="505050"/>
          <w:sz w:val="26"/>
        </w:rPr>
        <w:t>Management-level analysis of ServiceNow case export</w:t>
      </w:r>
    </w:p>
    <w:p xmlns:wp14="http://schemas.microsoft.com/office/word/2010/wordml" w14:paraId="11D9DD57" wp14:textId="77777777">
      <w:pPr>
        <w:jc w:val="center"/>
      </w:pPr>
      <w:r>
        <w:rPr>
          <w:color w:val="646464"/>
          <w:sz w:val="18"/>
        </w:rPr>
        <w:t>Source: Symphony Cases This year.csv | Data range: 02/01/2026 09:48 to 22/07/2026 10:46 | Prepared for Lee Booth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xmlns:wp14="http://schemas.microsoft.com/office/word/2010/wordml" w14:paraId="6F720C23" wp14:textId="77777777">
        <w:tc>
          <w:tcPr>
            <w:tcW w:w="2556" w:type="dxa"/>
            <w:shd w:fill="153D64"/>
            <w:tcMar>
              <w:top w:w="160" w:type="dxa"/>
              <w:start w:w="100" w:type="dxa"/>
              <w:bottom w:w="80" w:type="dxa"/>
              <w:end w:w="100" w:type="dxa"/>
            </w:tcMar>
          </w:tcPr>
          <w:p w14:paraId="0CE2C0D6" wp14:textId="77777777">
            <w:pPr>
              <w:jc w:val="center"/>
            </w:pPr>
            <w:r>
              <w:rPr>
                <w:b/>
                <w:color w:val="FFFFFF"/>
                <w:sz w:val="34"/>
              </w:rPr>
              <w:t>438</w:t>
            </w:r>
          </w:p>
        </w:tc>
        <w:tc>
          <w:tcPr>
            <w:tcW w:w="2556" w:type="dxa"/>
            <w:shd w:fill="153D64"/>
            <w:tcMar>
              <w:top w:w="160" w:type="dxa"/>
              <w:start w:w="100" w:type="dxa"/>
              <w:bottom w:w="80" w:type="dxa"/>
              <w:end w:w="100" w:type="dxa"/>
            </w:tcMar>
          </w:tcPr>
          <w:p w14:paraId="4E1E336A" wp14:textId="77777777">
            <w:pPr>
              <w:jc w:val="center"/>
            </w:pPr>
            <w:r>
              <w:rPr>
                <w:b/>
                <w:color w:val="FFFFFF"/>
                <w:sz w:val="34"/>
              </w:rPr>
              <w:t>14</w:t>
            </w:r>
          </w:p>
        </w:tc>
        <w:tc>
          <w:tcPr>
            <w:tcW w:w="2556" w:type="dxa"/>
            <w:shd w:fill="153D64"/>
            <w:tcMar>
              <w:top w:w="160" w:type="dxa"/>
              <w:start w:w="100" w:type="dxa"/>
              <w:bottom w:w="80" w:type="dxa"/>
              <w:end w:w="100" w:type="dxa"/>
            </w:tcMar>
          </w:tcPr>
          <w:p w14:paraId="5D7F7A77" wp14:textId="77777777">
            <w:pPr>
              <w:jc w:val="center"/>
            </w:pPr>
            <w:r>
              <w:rPr>
                <w:b/>
                <w:color w:val="FFFFFF"/>
                <w:sz w:val="34"/>
              </w:rPr>
              <w:t>2.0 days</w:t>
            </w:r>
          </w:p>
        </w:tc>
        <w:tc>
          <w:tcPr>
            <w:tcW w:w="2556" w:type="dxa"/>
            <w:shd w:fill="153D64"/>
            <w:tcMar>
              <w:top w:w="160" w:type="dxa"/>
              <w:start w:w="100" w:type="dxa"/>
              <w:bottom w:w="80" w:type="dxa"/>
              <w:end w:w="100" w:type="dxa"/>
            </w:tcMar>
          </w:tcPr>
          <w:p w14:paraId="7B5F4C78" wp14:textId="77777777">
            <w:pPr>
              <w:jc w:val="center"/>
            </w:pPr>
            <w:r>
              <w:rPr>
                <w:b/>
                <w:color w:val="FFFFFF"/>
                <w:sz w:val="34"/>
              </w:rPr>
              <w:t>Symphony</w:t>
            </w:r>
          </w:p>
        </w:tc>
        <w:trPr>
          <w:tblHeader/>
        </w:trPr>
      </w:tr>
      <w:tr xmlns:wp14="http://schemas.microsoft.com/office/word/2010/wordml" w14:paraId="04704C48" wp14:textId="77777777">
        <w:tc>
          <w:tcPr>
            <w:tcW w:w="2556" w:type="dxa"/>
            <w:shd w:fill="EAF2F8"/>
            <w:tcMar>
              <w:top w:w="80" w:type="dxa"/>
              <w:start w:w="100" w:type="dxa"/>
              <w:bottom w:w="140" w:type="dxa"/>
              <w:end w:w="100" w:type="dxa"/>
            </w:tcMar>
          </w:tcPr>
          <w:p w14:paraId="6FF5E0F9" wp14:textId="77777777">
            <w:pPr>
              <w:jc w:val="center"/>
            </w:pPr>
            <w:r>
              <w:rPr>
                <w:color w:val="153D64"/>
                <w:sz w:val="17"/>
              </w:rPr>
              <w:t>Total cases</w:t>
            </w:r>
          </w:p>
        </w:tc>
        <w:tc>
          <w:tcPr>
            <w:tcW w:w="2556" w:type="dxa"/>
            <w:shd w:fill="EAF2F8"/>
            <w:tcMar>
              <w:top w:w="80" w:type="dxa"/>
              <w:start w:w="100" w:type="dxa"/>
              <w:bottom w:w="140" w:type="dxa"/>
              <w:end w:w="100" w:type="dxa"/>
            </w:tcMar>
          </w:tcPr>
          <w:p w14:paraId="5975CC47" wp14:textId="77777777">
            <w:pPr>
              <w:jc w:val="center"/>
            </w:pPr>
            <w:r>
              <w:rPr>
                <w:color w:val="153D64"/>
                <w:sz w:val="17"/>
              </w:rPr>
              <w:t>Open / unresolved</w:t>
            </w:r>
          </w:p>
        </w:tc>
        <w:tc>
          <w:tcPr>
            <w:tcW w:w="2556" w:type="dxa"/>
            <w:shd w:fill="EAF2F8"/>
            <w:tcMar>
              <w:top w:w="80" w:type="dxa"/>
              <w:start w:w="100" w:type="dxa"/>
              <w:bottom w:w="140" w:type="dxa"/>
              <w:end w:w="100" w:type="dxa"/>
            </w:tcMar>
          </w:tcPr>
          <w:p w14:paraId="43BA5CC1" wp14:textId="77777777">
            <w:pPr>
              <w:jc w:val="center"/>
            </w:pPr>
            <w:r>
              <w:rPr>
                <w:color w:val="153D64"/>
                <w:sz w:val="17"/>
              </w:rPr>
              <w:t>Median time to resolution</w:t>
            </w:r>
          </w:p>
        </w:tc>
        <w:tc>
          <w:tcPr>
            <w:tcW w:w="2556" w:type="dxa"/>
            <w:shd w:fill="EAF2F8"/>
            <w:tcMar>
              <w:top w:w="80" w:type="dxa"/>
              <w:start w:w="100" w:type="dxa"/>
              <w:bottom w:w="140" w:type="dxa"/>
              <w:end w:w="100" w:type="dxa"/>
            </w:tcMar>
          </w:tcPr>
          <w:p w14:paraId="78E1953A" wp14:textId="77777777">
            <w:pPr>
              <w:jc w:val="center"/>
            </w:pPr>
            <w:r>
              <w:rPr>
                <w:color w:val="153D64"/>
                <w:sz w:val="17"/>
              </w:rPr>
              <w:t>Largest product stream</w:t>
            </w:r>
          </w:p>
        </w:tc>
      </w:tr>
    </w:tbl>
    <w:p xmlns:wp14="http://schemas.microsoft.com/office/word/2010/wordml" w14:paraId="672A6659" wp14:textId="77777777">
      <w:r>
        <w:br w:type="page"/>
      </w:r>
    </w:p>
    <w:p xmlns:wp14="http://schemas.microsoft.com/office/word/2010/wordml" w14:paraId="5AFB387A" wp14:textId="77777777">
      <w:pPr>
        <w:pStyle w:val="Heading1"/>
      </w:pPr>
      <w:r>
        <w:t>Executive summary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xmlns:wp14="http://schemas.microsoft.com/office/word/2010/wordml" w14:paraId="0581A2AC" wp14:textId="77777777">
        <w:tc>
          <w:tcPr>
            <w:tcW w:w="10224" w:type="dxa"/>
            <w:shd w:fill="EAF2F8"/>
            <w:tcMar>
              <w:top w:w="160" w:type="dxa"/>
              <w:start w:w="180" w:type="dxa"/>
              <w:bottom w:w="160" w:type="dxa"/>
              <w:end w:w="180" w:type="dxa"/>
            </w:tcMar>
          </w:tcPr>
          <w:p w14:paraId="3268D5DB" wp14:textId="77777777">
            <w:r>
              <w:rPr>
                <w:b/>
                <w:color w:val="153D64"/>
                <w:sz w:val="21"/>
              </w:rPr>
              <w:t>Executive summary</w:t>
            </w:r>
          </w:p>
          <w:p w14:paraId="330D7EAD" wp14:textId="77777777">
            <w:pPr>
              <w:spacing w:before="80"/>
            </w:pPr>
            <w:r>
              <w:rPr>
                <w:sz w:val="19"/>
              </w:rPr>
              <w:t>The Symphony case export shows a smaller but clinically sensitive support workload compared with the medicines case list, with demand concentrated around Symphony and related DAD/interface activity. The strongest recurring signals are DAD/HL7/interface messaging, audit and information governance requests, clinical workflow questions, data/configuration investigation, and performance or error handling. The management opportunity is to standardise repeat investigation patterns, keep DAD/interface runbooks current, and clearly separate audit/IG requests from operational incident demand.</w:t>
            </w:r>
          </w:p>
        </w:tc>
        <w:trPr>
          <w:tblHeader/>
        </w:trPr>
      </w:tr>
    </w:tbl>
    <w:p xmlns:wp14="http://schemas.microsoft.com/office/word/2010/wordml" w14:paraId="46D37961" wp14:textId="77777777">
      <w:r>
        <w:rPr>
          <w:b/>
        </w:rPr>
        <w:t xml:space="preserve">Key interpretation: </w:t>
      </w:r>
      <w:r>
        <w:t>This report should be read as a management trend view rather than a root-cause analysis. Topic counts are keyword-based and overlapping. The underlying case notes contain operational SQL, interface and audit references, so the report intentionally avoids exposing patient-specific identifiers or detailed case scripts.</w:t>
      </w:r>
    </w:p>
    <w:p xmlns:wp14="http://schemas.microsoft.com/office/word/2010/wordml" w14:paraId="2975C1B6" wp14:textId="77777777">
      <w:pPr>
        <w:pStyle w:val="Heading2"/>
      </w:pPr>
      <w:r>
        <w:t>Key metrics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xmlns:wp14="http://schemas.microsoft.com/office/word/2010/wordml" w14:paraId="1893CB47" wp14:textId="77777777">
        <w:trPr>
          <w:tblHeader w:val="true"/>
        </w:trPr>
        <w:tc>
          <w:tcPr>
            <w:tcW w:w="3408" w:type="dxa"/>
            <w:vAlign w:val="center"/>
            <w:shd w:fill="153D64"/>
            <w:tcMar>
              <w:top w:w="80" w:type="dxa"/>
              <w:start w:w="80" w:type="dxa"/>
              <w:bottom w:w="80" w:type="dxa"/>
              <w:end w:w="80" w:type="dxa"/>
            </w:tcMar>
            <w:shd w:fill="153D64"/>
          </w:tcPr>
          <w:p w14:paraId="03DECD36" wp14:textId="77777777"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w="3408" w:type="dxa"/>
            <w:vAlign w:val="center"/>
            <w:shd w:fill="153D64"/>
            <w:tcMar>
              <w:top w:w="80" w:type="dxa"/>
              <w:start w:w="80" w:type="dxa"/>
              <w:bottom w:w="80" w:type="dxa"/>
              <w:end w:w="80" w:type="dxa"/>
            </w:tcMar>
            <w:shd w:fill="153D64"/>
          </w:tcPr>
          <w:p w14:paraId="6D3D45CB" wp14:textId="77777777"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w="3408" w:type="dxa"/>
            <w:vAlign w:val="center"/>
            <w:shd w:fill="153D64"/>
            <w:tcMar>
              <w:top w:w="80" w:type="dxa"/>
              <w:start w:w="80" w:type="dxa"/>
              <w:bottom w:w="80" w:type="dxa"/>
              <w:end w:w="80" w:type="dxa"/>
            </w:tcMar>
            <w:shd w:fill="153D64"/>
          </w:tcPr>
          <w:p w14:paraId="25546E3C" wp14:textId="77777777"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Notes</w:t>
            </w:r>
          </w:p>
        </w:tc>
      </w:tr>
      <w:tr xmlns:wp14="http://schemas.microsoft.com/office/word/2010/wordml" w14:paraId="16F410EF" wp14:textId="77777777">
        <w:tc>
          <w:tcPr>
            <w:tcW w:w="3408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7F379071" wp14:textId="77777777">
            <w:pPr>
              <w:spacing w:after="40" w:line="252" w:lineRule="auto"/>
            </w:pPr>
            <w:r/>
            <w:r>
              <w:rPr>
                <w:b/>
                <w:sz w:val="18"/>
              </w:rPr>
              <w:t>Total cases analysed</w:t>
            </w:r>
          </w:p>
        </w:tc>
        <w:tc>
          <w:tcPr>
            <w:tcW w:w="3408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2D0962AE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438</w:t>
            </w:r>
          </w:p>
        </w:tc>
        <w:tc>
          <w:tcPr>
            <w:tcW w:w="3408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19BC9D21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All rows in the CSV export.</w:t>
            </w:r>
          </w:p>
        </w:tc>
      </w:tr>
      <w:tr xmlns:wp14="http://schemas.microsoft.com/office/word/2010/wordml" w14:paraId="2F6D1D61" wp14:textId="77777777">
        <w:tc>
          <w:tcPr>
            <w:tcW w:w="3408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2B7A7517" wp14:textId="77777777">
            <w:pPr>
              <w:spacing w:after="40" w:line="252" w:lineRule="auto"/>
            </w:pPr>
            <w:r/>
            <w:r>
              <w:rPr>
                <w:b/>
                <w:sz w:val="18"/>
              </w:rPr>
              <w:t>Created date range</w:t>
            </w:r>
          </w:p>
        </w:tc>
        <w:tc>
          <w:tcPr>
            <w:tcW w:w="3408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74C2072F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02/01/2026 09:48 to 22/07/2026 10:46</w:t>
            </w:r>
          </w:p>
        </w:tc>
        <w:tc>
          <w:tcPr>
            <w:tcW w:w="3408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1CEAE98E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Based on sys_created_on.</w:t>
            </w:r>
          </w:p>
        </w:tc>
      </w:tr>
      <w:tr xmlns:wp14="http://schemas.microsoft.com/office/word/2010/wordml" w14:paraId="3A8B5EC4" wp14:textId="77777777">
        <w:tc>
          <w:tcPr>
            <w:tcW w:w="3408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71D14926" wp14:textId="77777777">
            <w:pPr>
              <w:spacing w:after="40" w:line="252" w:lineRule="auto"/>
            </w:pPr>
            <w:r/>
            <w:r>
              <w:rPr>
                <w:b/>
                <w:sz w:val="18"/>
              </w:rPr>
              <w:t>Current unresolved cases</w:t>
            </w:r>
          </w:p>
        </w:tc>
        <w:tc>
          <w:tcPr>
            <w:tcW w:w="3408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0F953182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w="3408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1E8158BC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Rows with no resolved_at value.</w:t>
            </w:r>
          </w:p>
        </w:tc>
      </w:tr>
      <w:tr xmlns:wp14="http://schemas.microsoft.com/office/word/2010/wordml" w14:paraId="066992F7" wp14:textId="77777777">
        <w:tc>
          <w:tcPr>
            <w:tcW w:w="3408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31A115DF" wp14:textId="77777777">
            <w:pPr>
              <w:spacing w:after="40" w:line="252" w:lineRule="auto"/>
            </w:pPr>
            <w:r/>
            <w:r>
              <w:rPr>
                <w:b/>
                <w:sz w:val="18"/>
              </w:rPr>
              <w:t>Median open age</w:t>
            </w:r>
          </w:p>
        </w:tc>
        <w:tc>
          <w:tcPr>
            <w:tcW w:w="3408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31C9D8A5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7.0 days</w:t>
            </w:r>
          </w:p>
        </w:tc>
        <w:tc>
          <w:tcPr>
            <w:tcW w:w="3408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3BC2B344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Calculated against 22/07/2026 12:05.</w:t>
            </w:r>
          </w:p>
        </w:tc>
      </w:tr>
      <w:tr xmlns:wp14="http://schemas.microsoft.com/office/word/2010/wordml" w14:paraId="1E31B102" wp14:textId="77777777">
        <w:tc>
          <w:tcPr>
            <w:tcW w:w="3408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5F1FFE0C" wp14:textId="77777777">
            <w:pPr>
              <w:spacing w:after="40" w:line="252" w:lineRule="auto"/>
            </w:pPr>
            <w:r/>
            <w:r>
              <w:rPr>
                <w:b/>
                <w:sz w:val="18"/>
              </w:rPr>
              <w:t>90th percentile open age</w:t>
            </w:r>
          </w:p>
        </w:tc>
        <w:tc>
          <w:tcPr>
            <w:tcW w:w="3408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5AAB38A9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19.9 days</w:t>
            </w:r>
          </w:p>
        </w:tc>
        <w:tc>
          <w:tcPr>
            <w:tcW w:w="3408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57C568F4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Highlights stale open cases.</w:t>
            </w:r>
          </w:p>
        </w:tc>
      </w:tr>
      <w:tr xmlns:wp14="http://schemas.microsoft.com/office/word/2010/wordml" w14:paraId="7A27EB9A" wp14:textId="77777777">
        <w:tc>
          <w:tcPr>
            <w:tcW w:w="3408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2F0FE97E" wp14:textId="77777777">
            <w:pPr>
              <w:spacing w:after="40" w:line="252" w:lineRule="auto"/>
            </w:pPr>
            <w:r/>
            <w:r>
              <w:rPr>
                <w:b/>
                <w:sz w:val="18"/>
              </w:rPr>
              <w:t>Resolved/closed with resolution date</w:t>
            </w:r>
          </w:p>
        </w:tc>
        <w:tc>
          <w:tcPr>
            <w:tcW w:w="3408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744D5BC7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424</w:t>
            </w:r>
          </w:p>
        </w:tc>
        <w:tc>
          <w:tcPr>
            <w:tcW w:w="3408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32533B53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Rows with resolved_at populated.</w:t>
            </w:r>
          </w:p>
        </w:tc>
      </w:tr>
      <w:tr xmlns:wp14="http://schemas.microsoft.com/office/word/2010/wordml" w14:paraId="1B4B1B78" wp14:textId="77777777">
        <w:tc>
          <w:tcPr>
            <w:tcW w:w="3408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7E4B5CBE" wp14:textId="77777777">
            <w:pPr>
              <w:spacing w:after="40" w:line="252" w:lineRule="auto"/>
            </w:pPr>
            <w:r/>
            <w:r>
              <w:rPr>
                <w:b/>
                <w:sz w:val="18"/>
              </w:rPr>
              <w:t>Median resolution duration</w:t>
            </w:r>
          </w:p>
        </w:tc>
        <w:tc>
          <w:tcPr>
            <w:tcW w:w="3408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056B496C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2.0 days</w:t>
            </w:r>
          </w:p>
        </w:tc>
        <w:tc>
          <w:tcPr>
            <w:tcW w:w="3408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681F27D6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Created-to-resolved duration.</w:t>
            </w:r>
          </w:p>
        </w:tc>
      </w:tr>
      <w:tr xmlns:wp14="http://schemas.microsoft.com/office/word/2010/wordml" w14:paraId="3A7001EF" wp14:textId="77777777">
        <w:tc>
          <w:tcPr>
            <w:tcW w:w="3408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06ED4521" wp14:textId="77777777">
            <w:pPr>
              <w:spacing w:after="40" w:line="252" w:lineRule="auto"/>
            </w:pPr>
            <w:r/>
            <w:r>
              <w:rPr>
                <w:b/>
                <w:sz w:val="18"/>
              </w:rPr>
              <w:t>90th percentile resolution duration</w:t>
            </w:r>
          </w:p>
        </w:tc>
        <w:tc>
          <w:tcPr>
            <w:tcW w:w="3408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44ED8C6A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14.8 days</w:t>
            </w:r>
          </w:p>
        </w:tc>
        <w:tc>
          <w:tcPr>
            <w:tcW w:w="3408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22A5E0B3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Long-tail resolution indicator.</w:t>
            </w:r>
          </w:p>
        </w:tc>
      </w:tr>
    </w:tbl>
    <w:p xmlns:wp14="http://schemas.microsoft.com/office/word/2010/wordml" w14:paraId="35E87359" wp14:textId="77777777">
      <w:pPr>
        <w:pStyle w:val="Heading1"/>
      </w:pPr>
      <w:r>
        <w:t>Case volume and portfolio shape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xmlns:wp14="http://schemas.microsoft.com/office/word/2010/wordml" w14:paraId="0A37501D" wp14:textId="77777777">
        <w:tc>
          <w:tcPr>
            <w:tcW w:w="5112" w:type="dxa"/>
          </w:tcPr>
          <w:p w14:paraId="5DAB6C7B" wp14:textId="77777777"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 xmlns:wp14="http://schemas.microsoft.com/office/word/2010/wordprocessingDrawing" wp14:anchorId="64666849" wp14:editId="7777777">
                  <wp:extent cx="3337560" cy="1506001"/>
                  <wp:docPr id="1" name="Picture 1" descr="Image: image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nthly_cas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7560" cy="15060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2" w:type="dxa"/>
          </w:tcPr>
          <w:p w14:paraId="02EB378F" wp14:textId="77777777"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 xmlns:wp14="http://schemas.microsoft.com/office/word/2010/wordprocessingDrawing" wp14:anchorId="0BBA46D6" wp14:editId="7777777">
                  <wp:extent cx="3337560" cy="1726966"/>
                  <wp:docPr id="2" name="Picture 2" descr="Image: image2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duct_volum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7560" cy="17269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rPr>
          <w:tblHeader/>
        </w:trPr>
      </w:tr>
    </w:tbl>
    <w:p xmlns:wp14="http://schemas.microsoft.com/office/word/2010/wordml" w14:paraId="1230FEB2" wp14:textId="77777777">
      <w:pPr>
        <w:jc w:val="center"/>
      </w:pPr>
      <w:r>
        <w:rPr>
          <w:i/>
          <w:color w:val="5A5A5A"/>
          <w:sz w:val="17"/>
        </w:rPr>
        <w:t>Figure 1. Monthly case creation trend and product concentration.</w:t>
      </w:r>
    </w:p>
    <w:p xmlns:wp14="http://schemas.microsoft.com/office/word/2010/wordml" w14:paraId="01A101E9" wp14:textId="2A291F80">
      <w:r w:rsidRPr="66434ECF" w:rsidR="66434ECF">
        <w:rPr>
          <w:b w:val="1"/>
          <w:bCs w:val="1"/>
        </w:rPr>
        <w:t xml:space="preserve">Management observation: </w:t>
      </w:r>
      <w:r w:rsidR="66434ECF">
        <w:rPr/>
        <w:t xml:space="preserve">Case demand is concentrated in the core Symphony product stream with related sub-products appearing through DAD, printed </w:t>
      </w:r>
      <w:r w:rsidR="66434ECF">
        <w:rPr/>
        <w:t>output,</w:t>
      </w:r>
      <w:r w:rsidR="66434ECF">
        <w:rPr/>
        <w:t xml:space="preserve"> and </w:t>
      </w:r>
      <w:r w:rsidR="66434ECF">
        <w:rPr/>
        <w:t>Capscan</w:t>
      </w:r>
      <w:r w:rsidR="66434ECF">
        <w:rPr/>
        <w:t>/</w:t>
      </w:r>
      <w:r w:rsidR="66434ECF">
        <w:rPr/>
        <w:t>Matchcode</w:t>
      </w:r>
      <w:r w:rsidR="66434ECF">
        <w:rPr/>
        <w:t xml:space="preserve">. July is partial-month data and should not be compared with completed months without </w:t>
      </w:r>
      <w:r w:rsidR="66434ECF">
        <w:rPr/>
        <w:t>normalising</w:t>
      </w:r>
      <w:r w:rsidR="66434ECF">
        <w:rPr/>
        <w:t>.</w:t>
      </w:r>
    </w:p>
    <w:p xmlns:wp14="http://schemas.microsoft.com/office/word/2010/wordml" w14:paraId="3BFE81EF" wp14:textId="77777777">
      <w:pPr>
        <w:pStyle w:val="Heading2"/>
      </w:pPr>
      <w:r>
        <w:t>Product distribution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xmlns:wp14="http://schemas.microsoft.com/office/word/2010/wordml" w14:paraId="160C92D3" wp14:textId="77777777">
        <w:trPr>
          <w:tblHeader w:val="true"/>
        </w:trPr>
        <w:tc>
          <w:tcPr>
            <w:tcW w:w="3408" w:type="dxa"/>
            <w:vAlign w:val="center"/>
            <w:shd w:fill="153D64"/>
            <w:tcMar>
              <w:top w:w="80" w:type="dxa"/>
              <w:start w:w="80" w:type="dxa"/>
              <w:bottom w:w="80" w:type="dxa"/>
              <w:end w:w="80" w:type="dxa"/>
            </w:tcMar>
            <w:shd w:fill="153D64"/>
          </w:tcPr>
          <w:p w14:paraId="0AF847C3" wp14:textId="77777777"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Rank</w:t>
            </w:r>
          </w:p>
        </w:tc>
        <w:tc>
          <w:tcPr>
            <w:tcW w:w="3408" w:type="dxa"/>
            <w:vAlign w:val="center"/>
            <w:shd w:fill="153D64"/>
            <w:tcMar>
              <w:top w:w="80" w:type="dxa"/>
              <w:start w:w="80" w:type="dxa"/>
              <w:bottom w:w="80" w:type="dxa"/>
              <w:end w:w="80" w:type="dxa"/>
            </w:tcMar>
            <w:shd w:fill="153D64"/>
          </w:tcPr>
          <w:p w14:paraId="34FB80BF" wp14:textId="77777777"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Product</w:t>
            </w:r>
          </w:p>
        </w:tc>
        <w:tc>
          <w:tcPr>
            <w:tcW w:w="3408" w:type="dxa"/>
            <w:vAlign w:val="center"/>
            <w:shd w:fill="153D64"/>
            <w:tcMar>
              <w:top w:w="80" w:type="dxa"/>
              <w:start w:w="80" w:type="dxa"/>
              <w:bottom w:w="80" w:type="dxa"/>
              <w:end w:w="80" w:type="dxa"/>
            </w:tcMar>
            <w:shd w:fill="153D64"/>
          </w:tcPr>
          <w:p w14:paraId="3F6D7B76" wp14:textId="77777777"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Cases</w:t>
            </w:r>
          </w:p>
        </w:tc>
      </w:tr>
      <w:tr xmlns:wp14="http://schemas.microsoft.com/office/word/2010/wordml" w14:paraId="3FB21420" wp14:textId="77777777">
        <w:tc>
          <w:tcPr>
            <w:tcW w:w="3408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649841BE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w="3408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5799AEBA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Symphony</w:t>
            </w:r>
          </w:p>
        </w:tc>
        <w:tc>
          <w:tcPr>
            <w:tcW w:w="3408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529FA3A5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390</w:t>
            </w:r>
          </w:p>
        </w:tc>
      </w:tr>
      <w:tr xmlns:wp14="http://schemas.microsoft.com/office/word/2010/wordml" w14:paraId="19C9BA86" wp14:textId="77777777">
        <w:tc>
          <w:tcPr>
            <w:tcW w:w="3408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18F999B5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w="3408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159DF66D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Symphony - DAD</w:t>
            </w:r>
          </w:p>
        </w:tc>
        <w:tc>
          <w:tcPr>
            <w:tcW w:w="3408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2847A633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19</w:t>
            </w:r>
          </w:p>
        </w:tc>
      </w:tr>
      <w:tr xmlns:wp14="http://schemas.microsoft.com/office/word/2010/wordml" w14:paraId="23382F3D" wp14:textId="77777777">
        <w:tc>
          <w:tcPr>
            <w:tcW w:w="3408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5FCD5EC4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w="3408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2A548851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Symphony - SCR &amp; PDS</w:t>
            </w:r>
          </w:p>
        </w:tc>
        <w:tc>
          <w:tcPr>
            <w:tcW w:w="3408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29B4EA11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6</w:t>
            </w:r>
          </w:p>
        </w:tc>
      </w:tr>
      <w:tr xmlns:wp14="http://schemas.microsoft.com/office/word/2010/wordml" w14:paraId="770AA8F1" wp14:textId="77777777">
        <w:tc>
          <w:tcPr>
            <w:tcW w:w="3408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2598DEE6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w="3408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3D1DA260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Symphony - Printed Output</w:t>
            </w:r>
          </w:p>
        </w:tc>
        <w:tc>
          <w:tcPr>
            <w:tcW w:w="3408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0B778152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3</w:t>
            </w:r>
          </w:p>
        </w:tc>
      </w:tr>
      <w:tr xmlns:wp14="http://schemas.microsoft.com/office/word/2010/wordml" w14:paraId="4D83772F" wp14:textId="77777777">
        <w:tc>
          <w:tcPr>
            <w:tcW w:w="3408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78941E47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w="3408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11677474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Symphony - Capscan Matchcode (GBG)</w:t>
            </w:r>
          </w:p>
        </w:tc>
        <w:tc>
          <w:tcPr>
            <w:tcW w:w="3408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7A036E3D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3</w:t>
            </w:r>
          </w:p>
        </w:tc>
      </w:tr>
      <w:tr xmlns:wp14="http://schemas.microsoft.com/office/word/2010/wordml" w14:paraId="61AE4EC6" wp14:textId="77777777">
        <w:tc>
          <w:tcPr>
            <w:tcW w:w="3408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1B87E3DE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w="3408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4A716D25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Symphony - MIDAs</w:t>
            </w:r>
          </w:p>
        </w:tc>
        <w:tc>
          <w:tcPr>
            <w:tcW w:w="3408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68D9363B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3</w:t>
            </w:r>
          </w:p>
        </w:tc>
      </w:tr>
      <w:tr xmlns:wp14="http://schemas.microsoft.com/office/word/2010/wordml" w14:paraId="555A4780" wp14:textId="77777777">
        <w:tc>
          <w:tcPr>
            <w:tcW w:w="3408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75697EEC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w="3408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42208588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Optum Help Centre</w:t>
            </w:r>
          </w:p>
        </w:tc>
        <w:tc>
          <w:tcPr>
            <w:tcW w:w="3408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7144751B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2</w:t>
            </w:r>
          </w:p>
        </w:tc>
      </w:tr>
      <w:tr xmlns:wp14="http://schemas.microsoft.com/office/word/2010/wordml" w14:paraId="77DA4292" wp14:textId="77777777">
        <w:tc>
          <w:tcPr>
            <w:tcW w:w="3408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44B0A208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w="3408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35122515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Symphony - EIE</w:t>
            </w:r>
          </w:p>
        </w:tc>
        <w:tc>
          <w:tcPr>
            <w:tcW w:w="3408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78E884CA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2</w:t>
            </w:r>
          </w:p>
        </w:tc>
      </w:tr>
      <w:tr xmlns:wp14="http://schemas.microsoft.com/office/word/2010/wordml" w14:paraId="70E6EB5E" wp14:textId="77777777">
        <w:tc>
          <w:tcPr>
            <w:tcW w:w="3408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2B2B7304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w="3408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6532EB4E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Symphony - Manchester Triage v3</w:t>
            </w:r>
          </w:p>
        </w:tc>
        <w:tc>
          <w:tcPr>
            <w:tcW w:w="3408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7842F596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2</w:t>
            </w:r>
          </w:p>
        </w:tc>
      </w:tr>
      <w:tr xmlns:wp14="http://schemas.microsoft.com/office/word/2010/wordml" w14:paraId="25FB2B00" wp14:textId="77777777">
        <w:tc>
          <w:tcPr>
            <w:tcW w:w="3408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5D369756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w="3408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7C78734F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Symphony - Additional Departments</w:t>
            </w:r>
          </w:p>
        </w:tc>
        <w:tc>
          <w:tcPr>
            <w:tcW w:w="3408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56B20A0C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1</w:t>
            </w:r>
          </w:p>
        </w:tc>
      </w:tr>
    </w:tbl>
    <w:p xmlns:wp14="http://schemas.microsoft.com/office/word/2010/wordml" w14:paraId="0D9F42A2" wp14:textId="77777777">
      <w:pPr>
        <w:pStyle w:val="Heading1"/>
      </w:pPr>
      <w:r>
        <w:t>Priority and state profile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xmlns:wp14="http://schemas.microsoft.com/office/word/2010/wordml" w14:paraId="6A05A809" wp14:textId="77777777">
        <w:tc>
          <w:tcPr>
            <w:tcW w:w="5112" w:type="dxa"/>
          </w:tcPr>
          <w:p w14:paraId="5A39BBE3" wp14:textId="77777777"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 xmlns:wp14="http://schemas.microsoft.com/office/word/2010/wordprocessingDrawing" wp14:anchorId="25CA56BF" wp14:editId="7777777">
                  <wp:extent cx="3337560" cy="1737873"/>
                  <wp:docPr id="3" name="Picture 3" descr="Image: image3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ority_profil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7560" cy="17378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2" w:type="dxa"/>
          </w:tcPr>
          <w:p w14:paraId="41C8F396" wp14:textId="77777777"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 xmlns:wp14="http://schemas.microsoft.com/office/word/2010/wordprocessingDrawing" wp14:anchorId="0B6A3E9C" wp14:editId="7777777">
                  <wp:extent cx="3337560" cy="1737873"/>
                  <wp:docPr id="4" name="Picture 4" descr="Image: image4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en_by_produc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7560" cy="17378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rPr>
          <w:tblHeader/>
        </w:trPr>
      </w:tr>
    </w:tbl>
    <w:p xmlns:wp14="http://schemas.microsoft.com/office/word/2010/wordml" w14:paraId="3BD12BF2" wp14:textId="77777777">
      <w:pPr>
        <w:jc w:val="center"/>
      </w:pPr>
      <w:r>
        <w:rPr>
          <w:i/>
          <w:color w:val="5A5A5A"/>
          <w:sz w:val="17"/>
        </w:rPr>
        <w:t>Figure 2. Priority distribution and open case concentration.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xmlns:wp14="http://schemas.microsoft.com/office/word/2010/wordml" w14:paraId="4334CB9B" wp14:textId="77777777">
        <w:trPr>
          <w:tblHeader w:val="true"/>
        </w:trPr>
        <w:tc>
          <w:tcPr>
            <w:tcW w:w="2556" w:type="dxa"/>
            <w:vAlign w:val="center"/>
            <w:shd w:fill="153D64"/>
            <w:tcMar>
              <w:top w:w="80" w:type="dxa"/>
              <w:start w:w="80" w:type="dxa"/>
              <w:bottom w:w="80" w:type="dxa"/>
              <w:end w:w="80" w:type="dxa"/>
            </w:tcMar>
            <w:shd w:fill="153D64"/>
          </w:tcPr>
          <w:p w14:paraId="02AFDB51" wp14:textId="77777777"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State</w:t>
            </w:r>
          </w:p>
        </w:tc>
        <w:tc>
          <w:tcPr>
            <w:tcW w:w="2556" w:type="dxa"/>
            <w:vAlign w:val="center"/>
            <w:shd w:fill="153D64"/>
            <w:tcMar>
              <w:top w:w="80" w:type="dxa"/>
              <w:start w:w="80" w:type="dxa"/>
              <w:bottom w:w="80" w:type="dxa"/>
              <w:end w:w="80" w:type="dxa"/>
            </w:tcMar>
            <w:shd w:fill="153D64"/>
          </w:tcPr>
          <w:p w14:paraId="75DF5DAF" wp14:textId="77777777"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Cases</w:t>
            </w:r>
          </w:p>
        </w:tc>
        <w:tc>
          <w:tcPr>
            <w:tcW w:w="2556" w:type="dxa"/>
            <w:vAlign w:val="center"/>
            <w:shd w:fill="153D64"/>
            <w:tcMar>
              <w:top w:w="80" w:type="dxa"/>
              <w:start w:w="80" w:type="dxa"/>
              <w:bottom w:w="80" w:type="dxa"/>
              <w:end w:w="80" w:type="dxa"/>
            </w:tcMar>
            <w:shd w:fill="153D64"/>
          </w:tcPr>
          <w:p w14:paraId="66CAD181" wp14:textId="77777777"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w="2556" w:type="dxa"/>
            <w:vAlign w:val="center"/>
            <w:shd w:fill="153D64"/>
            <w:tcMar>
              <w:top w:w="80" w:type="dxa"/>
              <w:start w:w="80" w:type="dxa"/>
              <w:bottom w:w="80" w:type="dxa"/>
              <w:end w:w="80" w:type="dxa"/>
            </w:tcMar>
            <w:shd w:fill="153D64"/>
          </w:tcPr>
          <w:p w14:paraId="6509FF10" wp14:textId="77777777"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Cases</w:t>
            </w:r>
          </w:p>
        </w:tc>
      </w:tr>
      <w:tr xmlns:wp14="http://schemas.microsoft.com/office/word/2010/wordml" w14:paraId="75B4402B" wp14:textId="77777777"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6DE14BBE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Closed</w:t>
            </w:r>
          </w:p>
        </w:tc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41657CDB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395</w:t>
            </w:r>
          </w:p>
        </w:tc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5FBABB89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4 - Low</w:t>
            </w:r>
          </w:p>
        </w:tc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032EB26C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226</w:t>
            </w:r>
          </w:p>
        </w:tc>
      </w:tr>
      <w:tr xmlns:wp14="http://schemas.microsoft.com/office/word/2010/wordml" w14:paraId="6B42A644" wp14:textId="77777777"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7E7A0E10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Resolved</w:t>
            </w:r>
          </w:p>
        </w:tc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4B34824B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29</w:t>
            </w:r>
          </w:p>
        </w:tc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290F65A5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3 - Medium</w:t>
            </w:r>
          </w:p>
        </w:tc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66886912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182</w:t>
            </w:r>
          </w:p>
        </w:tc>
      </w:tr>
      <w:tr xmlns:wp14="http://schemas.microsoft.com/office/word/2010/wordml" w14:paraId="4A347D4B" wp14:textId="77777777"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204D8F82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On hold</w:t>
            </w:r>
          </w:p>
        </w:tc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089009E4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1CB22D7E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2 - High</w:t>
            </w:r>
          </w:p>
        </w:tc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1D8EB8EE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24</w:t>
            </w:r>
          </w:p>
        </w:tc>
      </w:tr>
      <w:tr xmlns:wp14="http://schemas.microsoft.com/office/word/2010/wordml" w14:paraId="12862ACC" wp14:textId="77777777"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5BBB0EA1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In Progress</w:t>
            </w:r>
          </w:p>
        </w:tc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44240AAE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76DB90EB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57AB7477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3</w:t>
            </w:r>
          </w:p>
        </w:tc>
      </w:tr>
      <w:tr xmlns:wp14="http://schemas.microsoft.com/office/word/2010/wordml" w14:paraId="646AB887" wp14:textId="77777777">
        <w:tc>
          <w:tcPr>
            <w:tcW w:w="2556" w:type="dxa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72A3D3EC" wp14:textId="77777777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0D0B940D" wp14:textId="77777777">
            <w:pPr>
              <w:spacing w:after="40" w:line="252" w:lineRule="auto"/>
            </w:pPr>
          </w:p>
        </w:tc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6B8C778F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1 - Critical</w:t>
            </w:r>
          </w:p>
        </w:tc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2CC21B90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2</w:t>
            </w:r>
          </w:p>
        </w:tc>
      </w:tr>
      <w:tr xmlns:wp14="http://schemas.microsoft.com/office/word/2010/wordml" w14:paraId="5A3C3AB2" wp14:textId="77777777">
        <w:tc>
          <w:tcPr>
            <w:tcW w:w="2556" w:type="dxa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0E27B00A" wp14:textId="77777777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60061E4C" wp14:textId="77777777">
            <w:pPr>
              <w:spacing w:after="40" w:line="252" w:lineRule="auto"/>
            </w:pPr>
          </w:p>
        </w:tc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1946A7AE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249FAAB8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1</w:t>
            </w:r>
          </w:p>
        </w:tc>
      </w:tr>
    </w:tbl>
    <w:p xmlns:wp14="http://schemas.microsoft.com/office/word/2010/wordml" w14:paraId="065D4105" wp14:textId="77777777">
      <w:pPr>
        <w:pStyle w:val="Heading1"/>
      </w:pPr>
      <w:r>
        <w:t>Trending topic analysis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xmlns:wp14="http://schemas.microsoft.com/office/word/2010/wordml" w14:paraId="44EAFD9C" wp14:textId="77777777">
        <w:tc>
          <w:tcPr>
            <w:tcW w:w="5112" w:type="dxa"/>
          </w:tcPr>
          <w:p w14:paraId="4B94D5A5" wp14:textId="77777777"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 xmlns:wp14="http://schemas.microsoft.com/office/word/2010/wordprocessingDrawing" wp14:anchorId="713F741B" wp14:editId="7777777">
                  <wp:extent cx="3337560" cy="1724561"/>
                  <wp:docPr id="5" name="Picture 5" descr="Image: image5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opic_clusters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7560" cy="17245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2" w:type="dxa"/>
          </w:tcPr>
          <w:p w14:paraId="3DEEC669" wp14:textId="77777777"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 xmlns:wp14="http://schemas.microsoft.com/office/word/2010/wordprocessingDrawing" wp14:anchorId="0FFC5162" wp14:editId="7777777">
                  <wp:extent cx="3337560" cy="1740215"/>
                  <wp:docPr id="6" name="Picture 6" descr="Image: image6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opic_trend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7560" cy="174021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rPr>
          <w:tblHeader/>
        </w:trPr>
      </w:tr>
    </w:tbl>
    <w:p xmlns:wp14="http://schemas.microsoft.com/office/word/2010/wordml" w14:paraId="51932823" wp14:textId="77777777">
      <w:pPr>
        <w:jc w:val="center"/>
      </w:pPr>
      <w:r>
        <w:rPr>
          <w:i/>
          <w:color w:val="5A5A5A"/>
          <w:sz w:val="17"/>
        </w:rPr>
        <w:t>Figure 3. Topic clusters and movement of selected themes by month.</w:t>
      </w:r>
    </w:p>
    <w:p xmlns:wp14="http://schemas.microsoft.com/office/word/2010/wordml" w14:paraId="3FE1AB20" wp14:textId="77777777">
      <w:pPr>
        <w:pStyle w:val="Heading2"/>
      </w:pPr>
      <w:r>
        <w:t>Theme interpretation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xmlns:wp14="http://schemas.microsoft.com/office/word/2010/wordml" w14:paraId="7D86A773" wp14:textId="77777777">
        <w:trPr>
          <w:tblHeader w:val="true"/>
        </w:trPr>
        <w:tc>
          <w:tcPr>
            <w:tcW w:w="2556" w:type="dxa"/>
            <w:vAlign w:val="center"/>
            <w:shd w:fill="153D64"/>
            <w:tcMar>
              <w:top w:w="80" w:type="dxa"/>
              <w:start w:w="80" w:type="dxa"/>
              <w:bottom w:w="80" w:type="dxa"/>
              <w:end w:w="80" w:type="dxa"/>
            </w:tcMar>
            <w:shd w:fill="153D64"/>
          </w:tcPr>
          <w:p w14:paraId="3437213D" wp14:textId="77777777"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7"/>
              </w:rPr>
              <w:t>Theme</w:t>
            </w:r>
          </w:p>
        </w:tc>
        <w:tc>
          <w:tcPr>
            <w:tcW w:w="2556" w:type="dxa"/>
            <w:vAlign w:val="center"/>
            <w:shd w:fill="153D64"/>
            <w:tcMar>
              <w:top w:w="80" w:type="dxa"/>
              <w:start w:w="80" w:type="dxa"/>
              <w:bottom w:w="80" w:type="dxa"/>
              <w:end w:w="80" w:type="dxa"/>
            </w:tcMar>
            <w:shd w:fill="153D64"/>
          </w:tcPr>
          <w:p w14:paraId="41B8FCE0" wp14:textId="77777777"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7"/>
              </w:rPr>
              <w:t>Matching cases</w:t>
            </w:r>
          </w:p>
        </w:tc>
        <w:tc>
          <w:tcPr>
            <w:tcW w:w="2556" w:type="dxa"/>
            <w:vAlign w:val="center"/>
            <w:shd w:fill="153D64"/>
            <w:tcMar>
              <w:top w:w="80" w:type="dxa"/>
              <w:start w:w="80" w:type="dxa"/>
              <w:bottom w:w="80" w:type="dxa"/>
              <w:end w:w="80" w:type="dxa"/>
            </w:tcMar>
            <w:shd w:fill="153D64"/>
          </w:tcPr>
          <w:p w14:paraId="7B69AEF2" wp14:textId="77777777"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7"/>
              </w:rPr>
              <w:t>Recent signal from June onwards</w:t>
            </w:r>
          </w:p>
        </w:tc>
        <w:tc>
          <w:tcPr>
            <w:tcW w:w="2556" w:type="dxa"/>
            <w:vAlign w:val="center"/>
            <w:shd w:fill="153D64"/>
            <w:tcMar>
              <w:top w:w="80" w:type="dxa"/>
              <w:start w:w="80" w:type="dxa"/>
              <w:bottom w:w="80" w:type="dxa"/>
              <w:end w:w="80" w:type="dxa"/>
            </w:tcMar>
            <w:shd w:fill="153D64"/>
          </w:tcPr>
          <w:p w14:paraId="41D58C70" wp14:textId="77777777"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7"/>
              </w:rPr>
              <w:t>Management implication</w:t>
            </w:r>
          </w:p>
        </w:tc>
      </w:tr>
      <w:tr xmlns:wp14="http://schemas.microsoft.com/office/word/2010/wordml" w14:paraId="126A322B" wp14:textId="77777777"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3CF29006" wp14:textId="77777777"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Audit / IG / access investigation</w:t>
            </w:r>
          </w:p>
        </w:tc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49DFADE7" wp14:textId="77777777"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281</w:t>
            </w:r>
          </w:p>
        </w:tc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5AA05B6E" wp14:textId="77777777"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90</w:t>
            </w:r>
          </w:p>
        </w:tc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7ED3A57C" wp14:textId="77777777"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Separate audit/IG demand from incident demand and standardise safe evidence handling, outputs and redaction expectations.</w:t>
            </w:r>
          </w:p>
        </w:tc>
      </w:tr>
      <w:tr xmlns:wp14="http://schemas.microsoft.com/office/word/2010/wordml" w14:paraId="4FCCF072" wp14:textId="77777777"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6779EF03" wp14:textId="77777777"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DAD / HL7 / interface messaging</w:t>
            </w:r>
          </w:p>
        </w:tc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2C4EA0F3" wp14:textId="77777777"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235</w:t>
            </w:r>
          </w:p>
        </w:tc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2850DD93" wp14:textId="77777777"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90</w:t>
            </w:r>
          </w:p>
        </w:tc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25DDCC37" wp14:textId="77777777"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Maintain a clear DAD/HL7 runbook covering message queues, failed messages, event logs, restart evidence and escalation thresholds.</w:t>
            </w:r>
          </w:p>
        </w:tc>
      </w:tr>
      <w:tr xmlns:wp14="http://schemas.microsoft.com/office/word/2010/wordml" w14:paraId="35DFC7ED" wp14:textId="77777777"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6FE6CD16" wp14:textId="77777777"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Performance / outage / errors</w:t>
            </w:r>
          </w:p>
        </w:tc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01687A06" wp14:textId="77777777"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169</w:t>
            </w:r>
          </w:p>
        </w:tc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4D2760AF" wp14:textId="77777777"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57</w:t>
            </w:r>
          </w:p>
        </w:tc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094E1823" wp14:textId="77777777"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Use a rapid incident triage flow covering server availability, DAD status, front-end availability, locks, errors and repeated symptoms.</w:t>
            </w:r>
          </w:p>
        </w:tc>
      </w:tr>
      <w:tr xmlns:wp14="http://schemas.microsoft.com/office/word/2010/wordml" w14:paraId="2148B999" wp14:textId="77777777"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770D85D1" wp14:textId="77777777"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Clinical workflow / DEP / clinic / BRM</w:t>
            </w:r>
          </w:p>
        </w:tc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4B9E354E" wp14:textId="77777777"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132</w:t>
            </w:r>
          </w:p>
        </w:tc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3CBA40D0" wp14:textId="77777777"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51</w:t>
            </w:r>
          </w:p>
        </w:tc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6D969A37" wp14:textId="77777777"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Create playbooks for DEP, clinic booking, BRM, discharge and attendance workflows where front-end behaviour depends on configuration/data state.</w:t>
            </w:r>
          </w:p>
        </w:tc>
      </w:tr>
      <w:tr xmlns:wp14="http://schemas.microsoft.com/office/word/2010/wordml" w14:paraId="494A9C7F" wp14:textId="77777777"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3ACE87F7" wp14:textId="77777777"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Data / SQL / configuration</w:t>
            </w:r>
          </w:p>
        </w:tc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6D3A19EC" wp14:textId="77777777"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129</w:t>
            </w:r>
          </w:p>
        </w:tc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55739EF0" wp14:textId="77777777"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43</w:t>
            </w:r>
          </w:p>
        </w:tc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33113549" wp14:textId="77777777"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Codify repeat SQL/configuration investigation steps while keeping patient identifiers out of management reporting.</w:t>
            </w:r>
          </w:p>
        </w:tc>
      </w:tr>
      <w:tr xmlns:wp14="http://schemas.microsoft.com/office/word/2010/wordml" w14:paraId="72B40B23" wp14:textId="77777777"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6AAA77B1" wp14:textId="77777777"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Location / department / lookup changes</w:t>
            </w:r>
          </w:p>
        </w:tc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5C30BB71" wp14:textId="77777777"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97</w:t>
            </w:r>
          </w:p>
        </w:tc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61A51A77" wp14:textId="77777777"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39</w:t>
            </w:r>
          </w:p>
        </w:tc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6695F518" wp14:textId="77777777"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Track location, department, lookup and mapping changes as a known regression/incident contributor.</w:t>
            </w:r>
          </w:p>
        </w:tc>
      </w:tr>
      <w:tr xmlns:wp14="http://schemas.microsoft.com/office/word/2010/wordml" w14:paraId="12A9A6F6" wp14:textId="77777777"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032DBE36" wp14:textId="77777777"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Login / access / permissions</w:t>
            </w:r>
          </w:p>
        </w:tc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1DCB3458" wp14:textId="77777777"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88</w:t>
            </w:r>
          </w:p>
        </w:tc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5AFB958C" wp14:textId="77777777"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36</w:t>
            </w:r>
          </w:p>
        </w:tc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6F427E45" wp14:textId="77777777"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Standardise access checks for user login failures, generic accounts, Citrix, permissions and environment availability.</w:t>
            </w:r>
          </w:p>
        </w:tc>
      </w:tr>
      <w:tr xmlns:wp14="http://schemas.microsoft.com/office/word/2010/wordml" w14:paraId="7E1158DE" wp14:textId="77777777"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083B2624" wp14:textId="77777777"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Printing / documents / output</w:t>
            </w:r>
          </w:p>
        </w:tc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67F82D0C" wp14:textId="77777777"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70</w:t>
            </w:r>
          </w:p>
        </w:tc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0AA4FC67" wp14:textId="77777777"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24</w:t>
            </w:r>
          </w:p>
        </w:tc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0CAA4741" wp14:textId="77777777"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Refresh guidance for printed output, labels, e-docs, Midas and image/document-handling limitations.</w:t>
            </w:r>
          </w:p>
        </w:tc>
      </w:tr>
      <w:tr xmlns:wp14="http://schemas.microsoft.com/office/word/2010/wordml" w14:paraId="4115B5C1" wp14:textId="77777777"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12FF5ACF" wp14:textId="77777777"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Reporting / SSRS / dashboards</w:t>
            </w:r>
          </w:p>
        </w:tc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141FAE07" wp14:textId="77777777"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29</w:t>
            </w:r>
          </w:p>
        </w:tc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446DE71A" wp14:textId="77777777"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10</w:t>
            </w:r>
          </w:p>
        </w:tc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467BC423" wp14:textId="77777777"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Retain a reporting/SSRS checklist, including folder availability, dashboard dependencies and recovery steps.</w:t>
            </w:r>
          </w:p>
        </w:tc>
      </w:tr>
      <w:tr xmlns:wp14="http://schemas.microsoft.com/office/word/2010/wordml" w14:paraId="4731A77B" wp14:textId="77777777"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4BF9DC71" wp14:textId="77777777"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Appointments / scheduling</w:t>
            </w:r>
          </w:p>
        </w:tc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44C26413" wp14:textId="77777777"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22</w:t>
            </w:r>
          </w:p>
        </w:tc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109B8484" wp14:textId="77777777">
            <w:pPr>
              <w:spacing w:after="40" w:line="252" w:lineRule="auto"/>
            </w:pPr>
            <w:r/>
            <w:r>
              <w:rPr>
                <w:b w:val="0"/>
                <w:sz w:val="17"/>
              </w:rPr>
              <w:t>7</w:t>
            </w:r>
          </w:p>
        </w:tc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698E37E5" wp14:textId="77777777">
            <w:pPr>
              <w:spacing w:after="40" w:line="252" w:lineRule="auto"/>
            </w:pPr>
            <w:r/>
            <w:r>
              <w:rPr>
                <w:b w:val="0"/>
                <w:sz w:val="16"/>
              </w:rPr>
              <w:t>Treat appointment booking and clinic diary behaviours as configuration-sensitive workflows with repeatable diagnostic checks.</w:t>
            </w:r>
          </w:p>
        </w:tc>
      </w:tr>
    </w:tbl>
    <w:p xmlns:wp14="http://schemas.microsoft.com/office/word/2010/wordml" w14:paraId="2F9FECC2" wp14:textId="77777777">
      <w:pPr>
        <w:pStyle w:val="Heading1"/>
      </w:pPr>
      <w:r>
        <w:t>Customer/account concentration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xmlns:wp14="http://schemas.microsoft.com/office/word/2010/wordml" w14:paraId="4A5EF33E" wp14:textId="77777777">
        <w:trPr>
          <w:tblHeader w:val="true"/>
        </w:trPr>
        <w:tc>
          <w:tcPr>
            <w:tcW w:w="2556" w:type="dxa"/>
            <w:vAlign w:val="center"/>
            <w:shd w:fill="153D64"/>
            <w:tcMar>
              <w:top w:w="80" w:type="dxa"/>
              <w:start w:w="80" w:type="dxa"/>
              <w:bottom w:w="80" w:type="dxa"/>
              <w:end w:w="80" w:type="dxa"/>
            </w:tcMar>
            <w:shd w:fill="153D64"/>
          </w:tcPr>
          <w:p w14:paraId="6A5A7F46" wp14:textId="77777777"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Rank</w:t>
            </w:r>
          </w:p>
        </w:tc>
        <w:tc>
          <w:tcPr>
            <w:tcW w:w="2556" w:type="dxa"/>
            <w:vAlign w:val="center"/>
            <w:shd w:fill="153D64"/>
            <w:tcMar>
              <w:top w:w="80" w:type="dxa"/>
              <w:start w:w="80" w:type="dxa"/>
              <w:bottom w:w="80" w:type="dxa"/>
              <w:end w:w="80" w:type="dxa"/>
            </w:tcMar>
            <w:shd w:fill="153D64"/>
          </w:tcPr>
          <w:p w14:paraId="60DA6E8B" wp14:textId="77777777"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Account</w:t>
            </w:r>
          </w:p>
        </w:tc>
        <w:tc>
          <w:tcPr>
            <w:tcW w:w="2556" w:type="dxa"/>
            <w:vAlign w:val="center"/>
            <w:shd w:fill="153D64"/>
            <w:tcMar>
              <w:top w:w="80" w:type="dxa"/>
              <w:start w:w="80" w:type="dxa"/>
              <w:bottom w:w="80" w:type="dxa"/>
              <w:end w:w="80" w:type="dxa"/>
            </w:tcMar>
            <w:shd w:fill="153D64"/>
          </w:tcPr>
          <w:p w14:paraId="7DB29359" wp14:textId="77777777"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Cases</w:t>
            </w:r>
          </w:p>
        </w:tc>
        <w:tc>
          <w:tcPr>
            <w:tcW w:w="2556" w:type="dxa"/>
            <w:vAlign w:val="center"/>
            <w:shd w:fill="153D64"/>
            <w:tcMar>
              <w:top w:w="80" w:type="dxa"/>
              <w:start w:w="80" w:type="dxa"/>
              <w:bottom w:w="80" w:type="dxa"/>
              <w:end w:w="80" w:type="dxa"/>
            </w:tcMar>
            <w:shd w:fill="153D64"/>
          </w:tcPr>
          <w:p w14:paraId="252FEF7B" wp14:textId="77777777"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Open</w:t>
            </w:r>
          </w:p>
        </w:tc>
      </w:tr>
      <w:tr xmlns:wp14="http://schemas.microsoft.com/office/word/2010/wordml" w14:paraId="41C7D139" wp14:textId="77777777"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19F14E3C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2CB9DF89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Mid Yorkshire Teaching NHS Trust</w:t>
            </w:r>
          </w:p>
        </w:tc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704A35C2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40</w:t>
            </w:r>
          </w:p>
        </w:tc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065D2414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1</w:t>
            </w:r>
          </w:p>
        </w:tc>
      </w:tr>
      <w:tr xmlns:wp14="http://schemas.microsoft.com/office/word/2010/wordml" w14:paraId="3420FD06" wp14:textId="77777777"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138328F9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38479D32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South Tees Hospitals NHS Foundation Trust</w:t>
            </w:r>
          </w:p>
        </w:tc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347BE502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39</w:t>
            </w:r>
          </w:p>
        </w:tc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2E32D521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1</w:t>
            </w:r>
          </w:p>
        </w:tc>
      </w:tr>
      <w:tr xmlns:wp14="http://schemas.microsoft.com/office/word/2010/wordml" w14:paraId="0995035E" wp14:textId="77777777"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297C039E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029636F5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North West Anglia NHS Foundation Trust</w:t>
            </w:r>
          </w:p>
        </w:tc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27635376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36</w:t>
            </w:r>
          </w:p>
        </w:tc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4B584315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0</w:t>
            </w:r>
          </w:p>
        </w:tc>
      </w:tr>
      <w:tr xmlns:wp14="http://schemas.microsoft.com/office/word/2010/wordml" w14:paraId="595DD42E" wp14:textId="77777777"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279935FF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2A9CAD84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Health Service Executive</w:t>
            </w:r>
          </w:p>
        </w:tc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7CE58F48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33</w:t>
            </w:r>
          </w:p>
        </w:tc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2322F001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0</w:t>
            </w:r>
          </w:p>
        </w:tc>
      </w:tr>
      <w:tr xmlns:wp14="http://schemas.microsoft.com/office/word/2010/wordml" w14:paraId="7EF86A20" wp14:textId="77777777"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729DE7E4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4CB06983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North Cumbria Integrated Care NHS Foundation Trust</w:t>
            </w:r>
          </w:p>
        </w:tc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36334656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26</w:t>
            </w:r>
          </w:p>
        </w:tc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0C50080F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1</w:t>
            </w:r>
          </w:p>
        </w:tc>
      </w:tr>
      <w:tr xmlns:wp14="http://schemas.microsoft.com/office/word/2010/wordml" w14:paraId="506311EF" wp14:textId="77777777"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6DDB914C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0D617F11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Swansea Bay University Health Board</w:t>
            </w:r>
          </w:p>
        </w:tc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029B61C8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26</w:t>
            </w:r>
          </w:p>
        </w:tc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54B6C890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2</w:t>
            </w:r>
          </w:p>
        </w:tc>
      </w:tr>
      <w:tr xmlns:wp14="http://schemas.microsoft.com/office/word/2010/wordml" w14:paraId="4BBDBC90" wp14:textId="77777777"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6F74D8FD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7303D7C2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Leeds Teaching Hospitals NHS Trust</w:t>
            </w:r>
          </w:p>
        </w:tc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07581EC8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22</w:t>
            </w:r>
          </w:p>
        </w:tc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050B3AD0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1</w:t>
            </w:r>
          </w:p>
        </w:tc>
      </w:tr>
      <w:tr xmlns:wp14="http://schemas.microsoft.com/office/word/2010/wordml" w14:paraId="23170A7E" wp14:textId="77777777"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03853697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4F625152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Wye Valley NHS Trust</w:t>
            </w:r>
          </w:p>
        </w:tc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7B568215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21</w:t>
            </w:r>
          </w:p>
        </w:tc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7B7EFE02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0</w:t>
            </w:r>
          </w:p>
        </w:tc>
      </w:tr>
      <w:tr xmlns:wp14="http://schemas.microsoft.com/office/word/2010/wordml" w14:paraId="6D062E9B" wp14:textId="77777777"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42124560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4A1DF4CC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Isle Of Wight NHS Trust</w:t>
            </w:r>
          </w:p>
        </w:tc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7C14D38D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19</w:t>
            </w:r>
          </w:p>
        </w:tc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33113584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0</w:t>
            </w:r>
          </w:p>
        </w:tc>
      </w:tr>
      <w:tr xmlns:wp14="http://schemas.microsoft.com/office/word/2010/wordml" w14:paraId="5C3DF6E2" wp14:textId="77777777"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3E1FE5D4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3F08ACF9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Northern Lincolnshire And Goole NHS Foundation Trust</w:t>
            </w:r>
          </w:p>
        </w:tc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526D80A2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18</w:t>
            </w:r>
          </w:p>
        </w:tc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6B965A47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1</w:t>
            </w:r>
          </w:p>
        </w:tc>
      </w:tr>
      <w:tr xmlns:wp14="http://schemas.microsoft.com/office/word/2010/wordml" w14:paraId="78EDAA6A" wp14:textId="77777777"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4737E36C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749E1600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Betsi Cadwaladr University Healthboard</w:t>
            </w:r>
          </w:p>
        </w:tc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111B77A1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17</w:t>
            </w:r>
          </w:p>
        </w:tc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511F3AB7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1</w:t>
            </w:r>
          </w:p>
        </w:tc>
      </w:tr>
      <w:tr xmlns:wp14="http://schemas.microsoft.com/office/word/2010/wordml" w14:paraId="21B56A86" wp14:textId="77777777"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4B73E586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7EB9E5B6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Doncaster and Bassetlaw Teaching Hospitals NHS Foundation Trust</w:t>
            </w:r>
          </w:p>
        </w:tc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5DA96121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17</w:t>
            </w:r>
          </w:p>
        </w:tc>
        <w:tc>
          <w:tcPr>
            <w:tcW w:w="25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5531F93F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0</w:t>
            </w:r>
          </w:p>
        </w:tc>
      </w:tr>
    </w:tbl>
    <w:p xmlns:wp14="http://schemas.microsoft.com/office/word/2010/wordml" w14:paraId="4582006C" wp14:textId="77777777">
      <w:r>
        <w:rPr>
          <w:b/>
        </w:rPr>
        <w:t xml:space="preserve">Management observation: </w:t>
      </w:r>
      <w:r>
        <w:t>Account concentration should be used for service review context only. The export does not include deployment scale, module footprint, contractual scope, number of users, site complexity, or customer reporting behaviour.</w:t>
      </w:r>
    </w:p>
    <w:p xmlns:wp14="http://schemas.microsoft.com/office/word/2010/wordml" w14:paraId="1A9BFFA2" wp14:textId="77777777">
      <w:pPr>
        <w:pStyle w:val="Heading1"/>
      </w:pPr>
      <w:r>
        <w:t>Recommended management actions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xmlns:wp14="http://schemas.microsoft.com/office/word/2010/wordml" w14:paraId="774EFABD" wp14:textId="77777777">
        <w:trPr>
          <w:tblHeader w:val="true"/>
        </w:trPr>
        <w:tc>
          <w:tcPr>
            <w:tcW w:w="3408" w:type="dxa"/>
            <w:vAlign w:val="center"/>
            <w:shd w:fill="153D64"/>
            <w:tcMar>
              <w:top w:w="80" w:type="dxa"/>
              <w:start w:w="80" w:type="dxa"/>
              <w:bottom w:w="80" w:type="dxa"/>
              <w:end w:w="80" w:type="dxa"/>
            </w:tcMar>
            <w:shd w:fill="153D64"/>
          </w:tcPr>
          <w:p w14:paraId="5AFC7B24" wp14:textId="77777777"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3408" w:type="dxa"/>
            <w:vAlign w:val="center"/>
            <w:shd w:fill="153D64"/>
            <w:tcMar>
              <w:top w:w="80" w:type="dxa"/>
              <w:start w:w="80" w:type="dxa"/>
              <w:bottom w:w="80" w:type="dxa"/>
              <w:end w:w="80" w:type="dxa"/>
            </w:tcMar>
            <w:shd w:fill="153D64"/>
          </w:tcPr>
          <w:p w14:paraId="08BF9F4B" wp14:textId="77777777"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Recommendation</w:t>
            </w:r>
          </w:p>
        </w:tc>
        <w:tc>
          <w:tcPr>
            <w:tcW w:w="3408" w:type="dxa"/>
            <w:vAlign w:val="center"/>
            <w:shd w:fill="153D64"/>
            <w:tcMar>
              <w:top w:w="80" w:type="dxa"/>
              <w:start w:w="80" w:type="dxa"/>
              <w:bottom w:w="80" w:type="dxa"/>
              <w:end w:w="80" w:type="dxa"/>
            </w:tcMar>
            <w:shd w:fill="153D64"/>
          </w:tcPr>
          <w:p w14:paraId="726ABD8E" wp14:textId="77777777">
            <w:pPr>
              <w:spacing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Rationale</w:t>
            </w:r>
          </w:p>
        </w:tc>
      </w:tr>
      <w:tr xmlns:wp14="http://schemas.microsoft.com/office/word/2010/wordml" w14:paraId="1AAF86D3" wp14:textId="77777777">
        <w:tc>
          <w:tcPr>
            <w:tcW w:w="3408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39507054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w="3408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399BA849" wp14:textId="77777777">
            <w:pPr>
              <w:spacing w:after="40" w:line="252" w:lineRule="auto"/>
            </w:pPr>
            <w:r/>
            <w:r>
              <w:rPr>
                <w:b/>
                <w:sz w:val="18"/>
              </w:rPr>
              <w:t>Create a DAD/interface operational runbook</w:t>
            </w:r>
          </w:p>
        </w:tc>
        <w:tc>
          <w:tcPr>
            <w:tcW w:w="3408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69268F88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DAD, HL7, TIE, PAS/IPM and failed/queued message references are one of the strongest repeated signals in the export.</w:t>
            </w:r>
          </w:p>
        </w:tc>
      </w:tr>
      <w:tr xmlns:wp14="http://schemas.microsoft.com/office/word/2010/wordml" w14:paraId="67AB06F9" wp14:textId="77777777">
        <w:tc>
          <w:tcPr>
            <w:tcW w:w="3408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58A8CB7E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w="3408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4164BED0" wp14:textId="77777777">
            <w:pPr>
              <w:spacing w:after="40" w:line="252" w:lineRule="auto"/>
            </w:pPr>
            <w:r/>
            <w:r>
              <w:rPr>
                <w:b/>
                <w:sz w:val="18"/>
              </w:rPr>
              <w:t>Separate audit/IG requests from incident reporting</w:t>
            </w:r>
          </w:p>
        </w:tc>
        <w:tc>
          <w:tcPr>
            <w:tcW w:w="3408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4D79D8FE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Audit/access investigation demand is substantial and should be tracked separately so it does not distort operational incident trends.</w:t>
            </w:r>
          </w:p>
        </w:tc>
      </w:tr>
      <w:tr xmlns:wp14="http://schemas.microsoft.com/office/word/2010/wordml" w14:paraId="4695231B" wp14:textId="77777777">
        <w:tc>
          <w:tcPr>
            <w:tcW w:w="3408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2A2176D0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w="3408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590225EB" wp14:textId="77777777">
            <w:pPr>
              <w:spacing w:after="40" w:line="252" w:lineRule="auto"/>
            </w:pPr>
            <w:r/>
            <w:r>
              <w:rPr>
                <w:b/>
                <w:sz w:val="18"/>
              </w:rPr>
              <w:t>Standardise Symphony workflow triage packs</w:t>
            </w:r>
          </w:p>
        </w:tc>
        <w:tc>
          <w:tcPr>
            <w:tcW w:w="3408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60D38F39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DEP, clinic, BRM, discharge and attendance workflows appear repeatedly and would benefit from consistent evidence requests and known diagnostic routes.</w:t>
            </w:r>
          </w:p>
        </w:tc>
      </w:tr>
      <w:tr xmlns:wp14="http://schemas.microsoft.com/office/word/2010/wordml" w14:paraId="38484B83" wp14:textId="77777777">
        <w:tc>
          <w:tcPr>
            <w:tcW w:w="3408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7C964D78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w="3408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6093A13E" wp14:textId="77777777">
            <w:pPr>
              <w:spacing w:after="40" w:line="252" w:lineRule="auto"/>
            </w:pPr>
            <w:r/>
            <w:r>
              <w:rPr>
                <w:b/>
                <w:sz w:val="18"/>
              </w:rPr>
              <w:t>Introduce controlled topic tagging in ServiceNow</w:t>
            </w:r>
          </w:p>
        </w:tc>
        <w:tc>
          <w:tcPr>
            <w:tcW w:w="3408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48AA38D3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A controlled set of Symphony tags would reduce reliance on keyword inference and improve future trend reporting.</w:t>
            </w:r>
          </w:p>
        </w:tc>
      </w:tr>
      <w:tr xmlns:wp14="http://schemas.microsoft.com/office/word/2010/wordml" w14:paraId="2C977814" wp14:textId="77777777">
        <w:tc>
          <w:tcPr>
            <w:tcW w:w="3408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1D0ADF7A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w="3408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570D2A02" wp14:textId="77777777">
            <w:pPr>
              <w:spacing w:after="40" w:line="252" w:lineRule="auto"/>
            </w:pPr>
            <w:r/>
            <w:r>
              <w:rPr>
                <w:b/>
                <w:sz w:val="18"/>
              </w:rPr>
              <w:t>Create AI-assisted summarisation prompts for repeat cases</w:t>
            </w:r>
          </w:p>
        </w:tc>
        <w:tc>
          <w:tcPr>
            <w:tcW w:w="3408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0BDD198F" wp14:textId="77777777">
            <w:pPr>
              <w:spacing w:after="40" w:line="252" w:lineRule="auto"/>
            </w:pPr>
            <w:r/>
            <w:r>
              <w:rPr>
                <w:b w:val="0"/>
                <w:sz w:val="18"/>
              </w:rPr>
              <w:t>Useful prompt fields include symptom, affected workflow, customer/site, DAD/service evidence, SQL/configuration checks, suspected cause, workaround and next action.</w:t>
            </w:r>
          </w:p>
        </w:tc>
      </w:tr>
    </w:tbl>
    <w:p xmlns:wp14="http://schemas.microsoft.com/office/word/2010/wordml" w14:paraId="3FF1F0E2" wp14:textId="77777777">
      <w:pPr>
        <w:pStyle w:val="Heading1"/>
      </w:pPr>
      <w:r>
        <w:t>Appendix: Method and caveats</w:t>
      </w:r>
    </w:p>
    <w:p xmlns:wp14="http://schemas.microsoft.com/office/word/2010/wordml" w14:paraId="381B8DCB" wp14:textId="77777777">
      <w:pPr>
        <w:pStyle w:val="ListBullet"/>
      </w:pPr>
      <w:r>
        <w:t>Source data: Symphony Cases This year.csv, containing ServiceNow-style case fields including number, account, priority, state, product, short_description and work_notes.</w:t>
      </w:r>
    </w:p>
    <w:p xmlns:wp14="http://schemas.microsoft.com/office/word/2010/wordml" w14:paraId="08F69E9B" wp14:textId="77777777">
      <w:pPr>
        <w:pStyle w:val="ListBullet"/>
      </w:pPr>
      <w:r>
        <w:t>Topic analysis used keyword matching across short_description, product and work_notes. Counts are directional and overlapping, not mutually exclusive.</w:t>
      </w:r>
    </w:p>
    <w:p xmlns:wp14="http://schemas.microsoft.com/office/word/2010/wordml" w14:paraId="5C14941A" wp14:textId="77777777">
      <w:pPr>
        <w:pStyle w:val="ListBullet"/>
      </w:pPr>
      <w:r>
        <w:t>Open cases were identified where resolved_at was blank. Age calculations use 22/07/2026 12:05 as the reference point.</w:t>
      </w:r>
    </w:p>
    <w:p xmlns:wp14="http://schemas.microsoft.com/office/word/2010/wordml" w14:paraId="68D48C35" wp14:textId="77777777">
      <w:pPr>
        <w:pStyle w:val="ListBullet"/>
      </w:pPr>
      <w:r>
        <w:t>July 2026 is a partial month in this export and should not be directly compared with full months without normalisation.</w:t>
      </w:r>
    </w:p>
    <w:p xmlns:wp14="http://schemas.microsoft.com/office/word/2010/wordml" w14:paraId="13449E91" wp14:textId="77777777">
      <w:pPr>
        <w:pStyle w:val="ListBullet"/>
      </w:pPr>
      <w:r>
        <w:t>The report deliberately avoids individual colleague performance comparisons and patient-specific examples. The purpose is service trend insight and process improvement.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>Total Symphony cases (last 12 months): 882</w:t>
      </w:r>
    </w:p>
    <w:p>
      <w:r>
        <w:t>P4 case count: 434</w:t>
      </w:r>
    </w:p>
    <w:p>
      <w:r>
        <w:t>Average time to resolution: 7 days, 5 hrs, 49 mins, 4 secs</w:t>
      </w:r>
    </w:p>
    <w:p>
      <w:r>
        <w:t>Average SLA business duration: 1 day, 56 mins, 59 secs</w:t>
      </w:r>
    </w:p>
    <w:p>
      <w:r>
        <w:t>Average SLA actual duration: 3 days, 3 hrs, 4 mins, 11 secs</w:t>
      </w:r>
    </w:p>
    <w:p>
      <w:pPr>
        <w:pStyle w:val="Heading1"/>
      </w:pPr>
      <w:r>
        <w:t>Trends</w:t>
      </w:r>
    </w:p>
    <w:p>
      <w:pPr>
        <w:pStyle w:val="Heading2"/>
      </w:pPr>
      <w:r>
        <w:t>Symphony</w:t>
      </w:r>
    </w:p>
    <w:p>
      <w:r>
        <w:t>Count: 141</w:t>
      </w:r>
    </w:p>
    <w:p>
      <w:r>
        <w:t>Average resolution: 7 days, 23 hrs, 35 mins, 49 secs</w:t>
      </w:r>
    </w:p>
    <w:p>
      <w:r>
        <w:t>Average SLA business: 23 hrs, 37 mins, 39 secs</w:t>
      </w:r>
    </w:p>
    <w:p>
      <w:r>
        <w:t>Average SLA actual: 2 days, 21 hrs, 57 mins, 15 secs</w:t>
      </w:r>
    </w:p>
    <w:p>
      <w:r>
        <w:t>Recommendations:</w:t>
      </w:r>
    </w:p>
    <w:p>
      <w:r>
        <w:t>- Investigate root causes for 'symphony' trend and create a reusable knowledgebase article.</w:t>
      </w:r>
    </w:p>
    <w:p>
      <w:r>
        <w:t>- Provide targeted training or quick-reference guides to support teams.</w:t>
      </w:r>
    </w:p>
    <w:p>
      <w:r>
        <w:t>- Automate common fixes where possible and add proactive monitoring/alerts.</w:t>
      </w:r>
    </w:p>
    <w:p>
      <w:pPr>
        <w:pStyle w:val="Heading2"/>
      </w:pPr>
      <w:r>
        <w:t>Not</w:t>
      </w:r>
    </w:p>
    <w:p>
      <w:r>
        <w:t>Count: 104</w:t>
      </w:r>
    </w:p>
    <w:p>
      <w:r>
        <w:t>Average resolution: 7 days, 11 hrs, 23 mins, 15 secs</w:t>
      </w:r>
    </w:p>
    <w:p>
      <w:r>
        <w:t>Average SLA business: 1 day, 3 hrs, 12 mins, 6 secs</w:t>
      </w:r>
    </w:p>
    <w:p>
      <w:r>
        <w:t>Average SLA actual: 3 days, 1 hr, 5 mins, 4 secs</w:t>
      </w:r>
    </w:p>
    <w:p>
      <w:r>
        <w:t>Recommendations:</w:t>
      </w:r>
    </w:p>
    <w:p>
      <w:r>
        <w:t>- Investigate root causes for 'not' trend and create a reusable knowledgebase article.</w:t>
      </w:r>
    </w:p>
    <w:p>
      <w:r>
        <w:t>- Provide targeted training or quick-reference guides to support teams.</w:t>
      </w:r>
    </w:p>
    <w:p>
      <w:r>
        <w:t>- Automate common fixes where possible and add proactive monitoring/alerts.</w:t>
      </w:r>
    </w:p>
    <w:p>
      <w:pPr>
        <w:pStyle w:val="Heading2"/>
      </w:pPr>
      <w:r>
        <w:t>Audit</w:t>
      </w:r>
    </w:p>
    <w:p>
      <w:r>
        <w:t>Count: 92</w:t>
      </w:r>
    </w:p>
    <w:p>
      <w:r>
        <w:t>Average resolution: 3 days, 16 hrs, 37 mins, 11 secs</w:t>
      </w:r>
    </w:p>
    <w:p>
      <w:r>
        <w:t>Average SLA business: 11 hrs, 37 mins, 27 secs</w:t>
      </w:r>
    </w:p>
    <w:p>
      <w:r>
        <w:t>Average SLA actual: 1 day, 20 hrs, 26 mins, 39 secs</w:t>
      </w:r>
    </w:p>
    <w:p>
      <w:r>
        <w:t>Recommendations:</w:t>
      </w:r>
    </w:p>
    <w:p>
      <w:r>
        <w:t>- Investigate root causes for 'audit' trend and create a reusable knowledgebase article.</w:t>
      </w:r>
    </w:p>
    <w:p>
      <w:r>
        <w:t>- Provide targeted training or quick-reference guides to support teams.</w:t>
      </w:r>
    </w:p>
    <w:p>
      <w:r>
        <w:t>- Automate common fixes where possible and add proactive monitoring/alerts.</w:t>
      </w:r>
    </w:p>
    <w:p>
      <w:pPr>
        <w:pStyle w:val="Heading2"/>
      </w:pPr>
      <w:r>
        <w:t>Patient</w:t>
      </w:r>
    </w:p>
    <w:p>
      <w:r>
        <w:t>Count: 110</w:t>
      </w:r>
    </w:p>
    <w:p>
      <w:r>
        <w:t>Average resolution: 4 days, 16 hrs, 31 secs</w:t>
      </w:r>
    </w:p>
    <w:p>
      <w:r>
        <w:t>Average SLA business: 15 hrs, 46 mins, 7 secs</w:t>
      </w:r>
    </w:p>
    <w:p>
      <w:r>
        <w:t>Average SLA actual: 1 day, 21 hrs, 48 mins, 9 secs</w:t>
      </w:r>
    </w:p>
    <w:p>
      <w:r>
        <w:t>Recommendations:</w:t>
      </w:r>
    </w:p>
    <w:p>
      <w:r>
        <w:t>- Investigate root causes for 'patient' trend and create a reusable knowledgebase article.</w:t>
      </w:r>
    </w:p>
    <w:p>
      <w:r>
        <w:t>- Provide targeted training or quick-reference guides to support teams.</w:t>
      </w:r>
    </w:p>
    <w:p>
      <w:r>
        <w:t>- Automate common fixes where possible and add proactive monitoring/alerts.</w:t>
      </w:r>
    </w:p>
    <w:p>
      <w:pPr>
        <w:pStyle w:val="Heading2"/>
      </w:pPr>
      <w:r>
        <w:t>Dad</w:t>
      </w:r>
    </w:p>
    <w:p>
      <w:r>
        <w:t>Count: 74</w:t>
      </w:r>
    </w:p>
    <w:p>
      <w:r>
        <w:t>Average resolution: 2 days, 10 hrs, 4 mins, 35 secs</w:t>
      </w:r>
    </w:p>
    <w:p>
      <w:r>
        <w:t>Average SLA business: 5 hrs, 20 secs</w:t>
      </w:r>
    </w:p>
    <w:p>
      <w:r>
        <w:t>Average SLA actual: 14 hrs, 58 mins, 31 secs</w:t>
      </w:r>
    </w:p>
    <w:p>
      <w:r>
        <w:t>Recommendations:</w:t>
      </w:r>
    </w:p>
    <w:p>
      <w:r>
        <w:t>- Investigate root causes for 'dad' trend and create a reusable knowledgebase article.</w:t>
      </w:r>
    </w:p>
    <w:p>
      <w:r>
        <w:t>- Provide targeted training or quick-reference guides to support teams.</w:t>
      </w:r>
    </w:p>
    <w:p>
      <w:r>
        <w:t>- Automate common fixes where possible and add proactive monitoring/alerts.</w:t>
      </w:r>
    </w:p>
    <w:p>
      <w:pPr>
        <w:pStyle w:val="Heading2"/>
      </w:pPr>
      <w:r>
        <w:t>Messages</w:t>
      </w:r>
    </w:p>
    <w:p>
      <w:r>
        <w:t>Count: 52</w:t>
      </w:r>
    </w:p>
    <w:p>
      <w:r>
        <w:t>Average resolution: 3 days, 4 hrs, 46 mins, 52 secs</w:t>
      </w:r>
    </w:p>
    <w:p>
      <w:r>
        <w:t>Average SLA business: 7 hrs, 59 mins, 11 secs</w:t>
      </w:r>
    </w:p>
    <w:p>
      <w:r>
        <w:t>Average SLA actual: 23 hrs, 41 mins, 2 secs</w:t>
      </w:r>
    </w:p>
    <w:p>
      <w:r>
        <w:t>Recommendations:</w:t>
      </w:r>
    </w:p>
    <w:p>
      <w:r>
        <w:t>- Investigate root causes for 'messages' trend and create a reusable knowledgebase article.</w:t>
      </w:r>
    </w:p>
    <w:p>
      <w:r>
        <w:t>- Provide targeted training or quick-reference guides to support teams.</w:t>
      </w:r>
    </w:p>
    <w:p>
      <w:r>
        <w:t>- Automate common fixes where possible and add proactive monitoring/alerts.</w:t>
      </w:r>
    </w:p>
    <w:p>
      <w:pPr>
        <w:pStyle w:val="Heading1"/>
      </w:pPr>
      <w:r>
        <w:t>P4 Quick Wins</w:t>
      </w:r>
    </w:p>
    <w:p>
      <w:r>
        <w:t>P4 count: 434</w:t>
      </w:r>
    </w:p>
    <w:p>
      <w:r>
        <w:t>Top P4 issue summaries:</w:t>
      </w:r>
    </w:p>
    <w:p>
      <w:r>
        <w:t>- Audit request (4 cases)</w:t>
      </w:r>
    </w:p>
    <w:p>
      <w:r>
        <w:t>- GP Import (4 cases)</w:t>
      </w:r>
    </w:p>
    <w:p>
      <w:r>
        <w:t>- Remove DOD from Symphony (4 cases)</w:t>
      </w:r>
    </w:p>
    <w:p>
      <w:r>
        <w:t>- Patient Record Audit (4 cases)</w:t>
      </w:r>
    </w:p>
    <w:p>
      <w:r>
        <w:t>- Audit Request (4 cases)</w:t>
      </w:r>
    </w:p>
    <w:p>
      <w:r>
        <w:t>Quick-win recommendations:</w:t>
      </w:r>
    </w:p>
    <w:p>
      <w:r>
        <w:t>- Triage P4s into actionable fixes and document straightforward remediation steps.</w:t>
      </w:r>
    </w:p>
    <w:p>
      <w:r>
        <w:t>- Implement monitoring/alerts to catch regressions earlier.</w:t>
      </w:r>
    </w:p>
    <w:sectPr w:rsidRPr="0006063C" w:rsidR="00FC693F" w:rsidSect="00034616">
      <w:headerReference w:type="default" r:id="rId15"/>
      <w:footerReference w:type="default" r:id="rId16"/>
      <w:pgSz w:w="12240" w:h="15840" w:orient="portrait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238515CE" wp14:textId="77777777">
    <w:pPr>
      <w:pStyle w:val="Footer"/>
      <w:jc w:val="center"/>
    </w:pPr>
    <w:r>
      <w:rPr>
        <w:color w:val="646464"/>
        <w:sz w:val="16"/>
      </w:rPr>
      <w:t>Prepared from Symphony Cases This year.csv | Management summary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6C0DC05B" wp14:textId="77777777">
    <w:pPr>
      <w:pStyle w:val="Header"/>
      <w:jc w:val="right"/>
    </w:pPr>
    <w:r>
      <w:rPr>
        <w:color w:val="646464"/>
        <w:sz w:val="16"/>
      </w:rPr>
      <w:t>Symphony Case Trend Report</w:t>
    </w:r>
  </w:p>
</w:hdr>
</file>

<file path=word/intelligence2.xml><?xml version="1.0" encoding="utf-8"?>
<int2:intelligence xmlns:int2="http://schemas.microsoft.com/office/intelligence/2020/intelligence">
  <int2:observations>
    <int2:textHash int2:hashCode="IDoIgsGu46oCjI" int2:id="nA3wDgHd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6434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63FF44DF-731C-45B3-B8B7-1C2F090355B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Aptos" w:hAnsi="Aptos" w:eastAsia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="Aptos Display" w:hAnsi="Aptos Display" w:asciiTheme="majorHAnsi" w:hAnsiTheme="majorHAnsi" w:eastAsiaTheme="majorEastAsia" w:cstheme="majorBidi"/>
      <w:b/>
      <w:bCs/>
      <w:color w:val="153D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Aptos Display" w:hAnsi="Aptos Display" w:asciiTheme="majorHAnsi" w:hAnsiTheme="majorHAnsi" w:eastAsiaTheme="majorEastAsia" w:cstheme="majorBidi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="Aptos Display" w:hAnsi="Aptos Display" w:asciiTheme="majorHAnsi" w:hAnsiTheme="majorHAnsi" w:eastAsiaTheme="majorEastAsia" w:cstheme="majorBidi"/>
      <w:b/>
      <w:bCs/>
      <w:color w:val="153D6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header" Target="header1.xml"/><Relationship Id="rId16" Type="http://schemas.openxmlformats.org/officeDocument/2006/relationships/footer" Target="footer1.xml"/><Relationship Id="Rda4718de2e454c9d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Lee Booth</dc:creator>
  <keywords/>
  <dc:description>generated by python-docx</dc:description>
  <lastModifiedBy>Lee Booth</lastModifiedBy>
  <revision>2</revision>
  <dcterms:created xsi:type="dcterms:W3CDTF">2026-07-22T11:32:42.0853028Z</dcterms:created>
  <dcterms:modified xsi:type="dcterms:W3CDTF">2026-07-22T11:36:13.2242817Z</dcterms:modified>
  <category/>
</coreProperties>
</file>