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Symphony_Casea_Last_12-Months.csv (case data) and Symphony_SLA_Last_12-Months.csv (SLA durations), merged on case number. Derived dataset: Merged_Cases_With_SLA_Formatted.csv. Report generated: 2026-07-29 22:37:34.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467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49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2 days, 17 hrs, 31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467 Symphony cases. The data window is 02/01/2026 - 03/08/2026. Demand concentration: highest-volume theme is 'Other' (see Trend Distribution). Primary service metric: median time to resolution is 2 days, 17 hrs, 31 mins, with P90 of 17 days, 9 hrs, 21 mins. Current backlog: 24 unresolved cases; median open age 8 days, 9 hrs, 50 mins, P90 123 days, 9 hrs, 18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467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02/01/2026 - 03/08/2026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24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8 days, 9 hrs, 50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123 days, 9 hrs, 18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443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2 days, 17 hrs, 31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17 days, 9 hrs, 21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420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20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- 111 Module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Manchester Triage v3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411</w:t>
            </w:r>
          </w:p>
        </w:tc>
        <w:tc>
          <w:tcPr>
            <w:tcW w:type="dxa" w:w="2132"/>
          </w:tcPr>
          <w:p>
            <w:r>
              <w:t>155</w:t>
            </w:r>
          </w:p>
        </w:tc>
        <w:tc>
          <w:tcPr>
            <w:tcW w:type="dxa" w:w="2133"/>
          </w:tcPr>
          <w:p>
            <w:r>
              <w:t>High volume — consider KB and automation.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16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14</w:t>
            </w:r>
          </w:p>
        </w:tc>
        <w:tc>
          <w:tcPr>
            <w:tcW w:type="dxa" w:w="2132"/>
          </w:tcPr>
          <w:p>
            <w:r>
              <w:t>7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7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4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39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South Tees Hospitals NHS Foundation Trust</w:t>
            </w:r>
          </w:p>
        </w:tc>
        <w:tc>
          <w:tcPr>
            <w:tcW w:type="dxa" w:w="4684"/>
          </w:tcPr>
          <w:p>
            <w:r>
              <w:t>39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38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32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Swansea Bay University Health Board</w:t>
            </w:r>
          </w:p>
        </w:tc>
        <w:tc>
          <w:tcPr>
            <w:tcW w:type="dxa" w:w="4684"/>
          </w:tcPr>
          <w:p>
            <w:r>
              <w:t>27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Isle Of Wight NHS Trust</w:t>
            </w:r>
          </w:p>
        </w:tc>
        <w:tc>
          <w:tcPr>
            <w:tcW w:type="dxa" w:w="4684"/>
          </w:tcPr>
          <w:p>
            <w:r>
              <w:t>20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20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20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