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Symphony_P3_Cases_20260102-20260803.csv, Symphony_P3_SLA_20260102-20260803.csv, merged on case number. Derived dataset: Merged_Cases_With_SLA_Formatted.csv. Report generated: 2026-08-03 15:13:55.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210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24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1 days, 20 hrs, 57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210 Symphony cases. The data window is 06/01/2026 - 03/08/2026. Demand concentration: highest-volume theme is 'Other' (see Trend Distribution). Primary service metric: median time to resolution is 1 days, 20 hrs, 57 mins, with P90 of 14 days, 26 mins. Current backlog: 14 unresolved cases; median open age 23 days, 12 hrs, 18 mins, P90 150 days, 4 hrs, 18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210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06/01/2026 - 03/08/2026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14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23 days, 12 hrs, 18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150 days, 4 hrs, 18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196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1 days, 20 hrs, 57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14 days, 26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184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13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Additional Departments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178</w:t>
            </w:r>
          </w:p>
        </w:tc>
        <w:tc>
          <w:tcPr>
            <w:tcW w:type="dxa" w:w="2132"/>
          </w:tcPr>
          <w:p>
            <w:r>
              <w:t>65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11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Medium volume — review for triage improvements.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4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28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25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10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Brighton And Sussex University Hospitals NHS Trust</w:t>
            </w:r>
          </w:p>
        </w:tc>
        <w:tc>
          <w:tcPr>
            <w:tcW w:type="dxa" w:w="4684"/>
          </w:tcPr>
          <w:p>
            <w:r>
              <w:t>9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Wye Valley NHS Trust</w:t>
            </w:r>
          </w:p>
        </w:tc>
        <w:tc>
          <w:tcPr>
            <w:tcW w:type="dxa" w:w="4684"/>
          </w:tcPr>
          <w:p>
            <w:r>
              <w:t>8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