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07263D7D" w:rsidR="00DD4983" w:rsidRDefault="001D585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OCM</w:t>
      </w:r>
      <w:r w:rsidR="00000000">
        <w:rPr>
          <w:rFonts w:ascii="Aptos Display" w:hAnsi="Aptos Display"/>
          <w:b/>
          <w:color w:val="153D64"/>
          <w:sz w:val="52"/>
        </w:rPr>
        <w:t xml:space="preserve">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r>
        <w:t>Source: data/raw/OCM_Cases_Last_12-Months.csv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t>1032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t>33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t>4 days, 1 hrs, 44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t>Integration &amp; Interfaces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t>Executive Summary (OCM Support Trend Analysis):</w:t>
              <w:br/>
              <w:br/>
              <w:t>Over the 12-month evaluation period, 1,032 OCM cases were analysed. Support demand is heavily concentrated in two core operational categories: Integration &amp; Interfaces (505 cases / 48.9%) and Access &amp; Security (315 cases / 30.5%), together accounting for 79.4% of all ticket traffic.</w:t>
              <w:br/>
              <w:br/>
              <w:t>Key Insights for Leadership:</w:t>
              <w:br/>
              <w:t>1. Pathology &amp; Lab Messaging Bottlenecks: Lab interface message stalls (ICE, Sunquest, WinPath) form the single largest operational load (285 integration failures and 218 third-party system dependencies).</w:t>
              <w:br/>
              <w:t>2. Clinician Authentication Friction: Unlike other products, OCM experiences intense authentication overhead (268 cases / 25.9% of total volume), driven by clinician smartcard, password, and SSO credential lockouts.</w:t>
              <w:br/>
              <w:t>3. Operational Action: Leadership should prioritize (P1) automated interface queue retry mechanisms and (P2) a streamlined clinician self-service authentication portal to eliminate tier-1 ticket volume.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t>Total cases analysed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  <w:r>
              <w:t>1032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  <w:r>
              <w:t>Total cases in OCM export</w:t>
            </w: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  <w:r>
              <w:t>07/07/2025 - 30/07/2026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  <w:r>
              <w:t>Creation period (sys_created_on)</w:t>
            </w: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  <w:r>
              <w:t>33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  <w:r>
              <w:t>Cases without resolution timestamp</w:t>
            </w: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  <w:r>
              <w:t>59 days, 13 hrs, 29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  <w:r>
              <w:t>Median age for open cases</w:t>
            </w: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t>P90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  <w:r>
              <w:t>196 days, 10 hrs, 26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  <w:r>
              <w:t>P90 age for open cases</w:t>
            </w: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t>Cases resolved with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  <w:r>
              <w:t>999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  <w:r>
              <w:t>Cases with valid resolution date</w:t>
            </w: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t>Median time to resolution (TTR)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  <w:r>
              <w:t>4 days, 1 hrs, 44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  <w:r>
              <w:t>Median duration from created to resolved</w:t>
            </w: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t>P90 time to resolution (TTR)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  <w:r>
              <w:t>42 days, 23 hrs, 39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  <w:r>
              <w:t>P90 duration from created to resolved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2608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26080" cy="14630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Keystone Enterprise</w:t>
            </w:r>
          </w:p>
        </w:tc>
        <w:tc>
          <w:tcPr>
            <w:tcW w:type="dxa" w:w="1005"/>
          </w:tcPr>
          <w:p>
            <w:r>
              <w:t>374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CDS Translation Service</w:t>
            </w:r>
          </w:p>
        </w:tc>
        <w:tc>
          <w:tcPr>
            <w:tcW w:type="dxa" w:w="1005"/>
          </w:tcPr>
          <w:p>
            <w:r>
              <w:t>254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Review</w:t>
            </w:r>
          </w:p>
        </w:tc>
        <w:tc>
          <w:tcPr>
            <w:tcW w:type="dxa" w:w="1005"/>
          </w:tcPr>
          <w:p>
            <w:r>
              <w:t>139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tQuest</w:t>
            </w:r>
          </w:p>
        </w:tc>
        <w:tc>
          <w:tcPr>
            <w:tcW w:type="dxa" w:w="1005"/>
          </w:tcPr>
          <w:p>
            <w:r>
              <w:t>133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48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Order Comms</w:t>
            </w:r>
          </w:p>
        </w:tc>
        <w:tc>
          <w:tcPr>
            <w:tcW w:type="dxa" w:w="1005"/>
          </w:tcPr>
          <w:p>
            <w:r>
              <w:t>28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Bundle -Translation Service incl CDS</w:t>
            </w:r>
          </w:p>
        </w:tc>
        <w:tc>
          <w:tcPr>
            <w:tcW w:type="dxa" w:w="1005"/>
          </w:tcPr>
          <w:p>
            <w:r>
              <w:t>26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Bundle - Translations Service including CDS and eCDS</w:t>
            </w:r>
          </w:p>
        </w:tc>
        <w:tc>
          <w:tcPr>
            <w:tcW w:type="dxa" w:w="1005"/>
          </w:tcPr>
          <w:p>
            <w:r>
              <w:t>8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Core Pharmacy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EMIS Web - Care Record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2554"/>
          </w:tcPr>
          <w:p>
            <w:r>
              <w:t>Closed</w:t>
            </w:r>
          </w:p>
        </w:tc>
        <w:tc>
          <w:tcPr>
            <w:tcW w:type="dxa" w:w="2553"/>
          </w:tcPr>
          <w:p>
            <w:r>
              <w:t>973</w:t>
            </w:r>
          </w:p>
        </w:tc>
        <w:tc>
          <w:tcPr>
            <w:tcW w:type="dxa" w:w="2553"/>
          </w:tcPr>
          <w:p>
            <w:r>
              <w:t>94.3%</w:t>
            </w:r>
          </w:p>
        </w:tc>
      </w:tr>
      <w:tr>
        <w:tc>
          <w:tcPr>
            <w:tcW w:type="dxa" w:w="2554"/>
          </w:tcPr>
          <w:p>
            <w:r>
              <w:t>In Progress</w:t>
            </w:r>
          </w:p>
        </w:tc>
        <w:tc>
          <w:tcPr>
            <w:tcW w:type="dxa" w:w="2553"/>
          </w:tcPr>
          <w:p>
            <w:r>
              <w:t>30</w:t>
            </w:r>
          </w:p>
        </w:tc>
        <w:tc>
          <w:tcPr>
            <w:tcW w:type="dxa" w:w="2553"/>
          </w:tcPr>
          <w:p>
            <w:r>
              <w:t>2.9%</w:t>
            </w:r>
          </w:p>
        </w:tc>
      </w:tr>
      <w:tr>
        <w:tc>
          <w:tcPr>
            <w:tcW w:type="dxa" w:w="2554"/>
          </w:tcPr>
          <w:p>
            <w:r>
              <w:t>Resolved</w:t>
            </w:r>
          </w:p>
        </w:tc>
        <w:tc>
          <w:tcPr>
            <w:tcW w:type="dxa" w:w="2553"/>
          </w:tcPr>
          <w:p>
            <w:r>
              <w:t>26</w:t>
            </w:r>
          </w:p>
        </w:tc>
        <w:tc>
          <w:tcPr>
            <w:tcW w:type="dxa" w:w="2553"/>
          </w:tcPr>
          <w:p>
            <w:r>
              <w:t>2.5%</w:t>
            </w:r>
          </w:p>
        </w:tc>
      </w:tr>
      <w:tr>
        <w:tc>
          <w:tcPr>
            <w:tcW w:type="dxa" w:w="2554"/>
          </w:tcPr>
          <w:p>
            <w:r>
              <w:t>On hold</w:t>
            </w:r>
          </w:p>
        </w:tc>
        <w:tc>
          <w:tcPr>
            <w:tcW w:type="dxa" w:w="2553"/>
          </w:tcPr>
          <w:p>
            <w:r>
              <w:t>3</w:t>
            </w:r>
          </w:p>
        </w:tc>
        <w:tc>
          <w:tcPr>
            <w:tcW w:type="dxa" w:w="2553"/>
          </w:tcPr>
          <w:p>
            <w:r>
              <w:t>0.3%</w:t>
            </w: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>
        <w:tc>
          <w:tcPr>
            <w:tcW w:type="dxa" w:w="2554"/>
          </w:tcPr>
          <w:p>
            <w:r>
              <w:t>Integration &amp; Interfaces</w:t>
            </w:r>
          </w:p>
        </w:tc>
        <w:tc>
          <w:tcPr>
            <w:tcW w:type="dxa" w:w="2553"/>
          </w:tcPr>
          <w:p>
            <w:r>
              <w:t>505</w:t>
            </w:r>
          </w:p>
        </w:tc>
        <w:tc>
          <w:tcPr>
            <w:tcW w:type="dxa" w:w="2553"/>
          </w:tcPr>
          <w:p>
            <w:r>
              <w:t>66 cases (Jun-Jul)</w:t>
            </w:r>
          </w:p>
        </w:tc>
        <w:tc>
          <w:tcPr>
            <w:tcW w:type="dxa" w:w="2554"/>
          </w:tcPr>
          <w:p>
            <w:r>
              <w:t>Highest operational impact. Requires automated queue retries and lab vendor SLA management.</w:t>
            </w:r>
          </w:p>
        </w:tc>
      </w:tr>
      <w:tr>
        <w:tc>
          <w:tcPr>
            <w:tcW w:type="dxa" w:w="2554"/>
          </w:tcPr>
          <w:p>
            <w:r>
              <w:t>Access &amp; Security</w:t>
            </w:r>
          </w:p>
        </w:tc>
        <w:tc>
          <w:tcPr>
            <w:tcW w:type="dxa" w:w="2553"/>
          </w:tcPr>
          <w:p>
            <w:r>
              <w:t>315</w:t>
            </w:r>
          </w:p>
        </w:tc>
        <w:tc>
          <w:tcPr>
            <w:tcW w:type="dxa" w:w="2553"/>
          </w:tcPr>
          <w:p>
            <w:r>
              <w:t>16 cases (Jun-Jul)</w:t>
            </w:r>
          </w:p>
        </w:tc>
        <w:tc>
          <w:tcPr>
            <w:tcW w:type="dxa" w:w="2554"/>
          </w:tcPr>
          <w:p>
            <w:r>
              <w:t>Major clinician friction. Recommending self-service credential reset and smartcard triage.</w:t>
            </w:r>
          </w:p>
        </w:tc>
      </w:tr>
      <w:tr>
        <w:tc>
          <w:tcPr>
            <w:tcW w:type="dxa" w:w="2554"/>
          </w:tcPr>
          <w:p>
            <w:r>
              <w:t>Notifications &amp; Communications</w:t>
            </w:r>
          </w:p>
        </w:tc>
        <w:tc>
          <w:tcPr>
            <w:tcW w:type="dxa" w:w="2553"/>
          </w:tcPr>
          <w:p>
            <w:r>
              <w:t>51</w:t>
            </w:r>
          </w:p>
        </w:tc>
        <w:tc>
          <w:tcPr>
            <w:tcW w:type="dxa" w:w="2553"/>
          </w:tcPr>
          <w:p>
            <w:r>
              <w:t>6 cases (Jun-Jul)</w:t>
            </w:r>
          </w:p>
        </w:tc>
        <w:tc>
          <w:tcPr>
            <w:tcW w:type="dxa" w:w="2554"/>
          </w:tcPr>
          <w:p>
            <w:r>
              <w:t>Order/result email dispatch failures. Requires SMTP monitoring and queue alerts.</w:t>
            </w:r>
          </w:p>
        </w:tc>
      </w:tr>
      <w:tr>
        <w:tc>
          <w:tcPr>
            <w:tcW w:type="dxa" w:w="2554"/>
          </w:tcPr>
          <w:p>
            <w:r>
              <w:t>Performance &amp; Availability</w:t>
            </w:r>
          </w:p>
        </w:tc>
        <w:tc>
          <w:tcPr>
            <w:tcW w:type="dxa" w:w="2553"/>
          </w:tcPr>
          <w:p>
            <w:r>
              <w:t>50</w:t>
            </w:r>
          </w:p>
        </w:tc>
        <w:tc>
          <w:tcPr>
            <w:tcW w:type="dxa" w:w="2553"/>
          </w:tcPr>
          <w:p>
            <w:r>
              <w:t>6 cases (Jun-Jul)</w:t>
            </w:r>
          </w:p>
        </w:tc>
        <w:tc>
          <w:tcPr>
            <w:tcW w:type="dxa" w:w="2554"/>
          </w:tcPr>
          <w:p>
            <w:r>
              <w:t>UI freezing and slowness. Requires database indexing and network latency investigation.</w:t>
            </w:r>
          </w:p>
        </w:tc>
      </w:tr>
      <w:tr>
        <w:tc>
          <w:tcPr>
            <w:tcW w:type="dxa" w:w="2554"/>
          </w:tcPr>
          <w:p>
            <w:r>
              <w:t>Reporting &amp; Analytics</w:t>
            </w:r>
          </w:p>
        </w:tc>
        <w:tc>
          <w:tcPr>
            <w:tcW w:type="dxa" w:w="2553"/>
          </w:tcPr>
          <w:p>
            <w:r>
              <w:t>42</w:t>
            </w:r>
          </w:p>
        </w:tc>
        <w:tc>
          <w:tcPr>
            <w:tcW w:type="dxa" w:w="2553"/>
          </w:tcPr>
          <w:p>
            <w:r>
              <w:t>1 cases (Jun-Jul)</w:t>
            </w:r>
          </w:p>
        </w:tc>
        <w:tc>
          <w:tcPr>
            <w:tcW w:type="dxa" w:w="2554"/>
          </w:tcPr>
          <w:p>
            <w:r>
              <w:t>SSRS report request backlog. Recommend standardizing reporting catalog and self-service extracts.</w:t>
            </w:r>
          </w:p>
        </w:tc>
      </w:tr>
      <w:tr>
        <w:tc>
          <w:tcPr>
            <w:tcW w:type="dxa" w:w="2554"/>
          </w:tcPr>
          <w:p>
            <w:r>
              <w:t>Service Requests</w:t>
            </w:r>
          </w:p>
        </w:tc>
        <w:tc>
          <w:tcPr>
            <w:tcW w:type="dxa" w:w="2553"/>
          </w:tcPr>
          <w:p>
            <w:r>
              <w:t>34</w:t>
            </w:r>
          </w:p>
        </w:tc>
        <w:tc>
          <w:tcPr>
            <w:tcW w:type="dxa" w:w="2553"/>
          </w:tcPr>
          <w:p>
            <w:r>
              <w:t>3 cases (Jun-Jul)</w:t>
            </w:r>
          </w:p>
        </w:tc>
        <w:tc>
          <w:tcPr>
            <w:tcW w:type="dxa" w:w="2554"/>
          </w:tcPr>
          <w:p>
            <w:r>
              <w:t>New configuration setups. Recommend standard intake templates for order set additions.</w:t>
            </w:r>
          </w:p>
        </w:tc>
      </w:tr>
      <w:tr>
        <w:tc>
          <w:tcPr>
            <w:tcW w:type="dxa" w:w="2554"/>
          </w:tcPr>
          <w:p>
            <w:r>
              <w:t>Defects &amp; Errors</w:t>
            </w:r>
          </w:p>
        </w:tc>
        <w:tc>
          <w:tcPr>
            <w:tcW w:type="dxa" w:w="2553"/>
          </w:tcPr>
          <w:p>
            <w:r>
              <w:t>13</w:t>
            </w:r>
          </w:p>
        </w:tc>
        <w:tc>
          <w:tcPr>
            <w:tcW w:type="dxa" w:w="2553"/>
          </w:tcPr>
          <w:p>
            <w:r>
              <w:t>4 cases (Jun-Jul)</w:t>
            </w:r>
          </w:p>
        </w:tc>
        <w:tc>
          <w:tcPr>
            <w:tcW w:type="dxa" w:w="2554"/>
          </w:tcPr>
          <w:p>
            <w:r>
              <w:t>Application bugs and scanner errors. Requires patch verification and dev escalation.</w:t>
            </w:r>
          </w:p>
        </w:tc>
      </w:tr>
      <w:tr>
        <w:tc>
          <w:tcPr>
            <w:tcW w:type="dxa" w:w="2554"/>
          </w:tcPr>
          <w:p>
            <w:r>
              <w:t>Configuration &amp; Administration</w:t>
            </w:r>
          </w:p>
        </w:tc>
        <w:tc>
          <w:tcPr>
            <w:tcW w:type="dxa" w:w="2553"/>
          </w:tcPr>
          <w:p>
            <w:r>
              <w:t>11</w:t>
            </w:r>
          </w:p>
        </w:tc>
        <w:tc>
          <w:tcPr>
            <w:tcW w:type="dxa" w:w="2553"/>
          </w:tcPr>
          <w:p>
            <w:r>
              <w:t>1 cases (Jun-Jul)</w:t>
            </w:r>
          </w:p>
        </w:tc>
        <w:tc>
          <w:tcPr>
            <w:tcW w:type="dxa" w:w="2554"/>
          </w:tcPr>
          <w:p>
            <w:r>
              <w:t>Complex environment and test catalogue changes. Recommend admin workflow guidelines.</w:t>
            </w:r>
          </w:p>
        </w:tc>
      </w:tr>
      <w:tr>
        <w:tc>
          <w:tcPr>
            <w:tcW w:type="dxa" w:w="2554"/>
          </w:tcPr>
          <w:p>
            <w:r>
              <w:t>Data Management</w:t>
            </w:r>
          </w:p>
        </w:tc>
        <w:tc>
          <w:tcPr>
            <w:tcW w:type="dxa" w:w="2553"/>
          </w:tcPr>
          <w:p>
            <w:r>
              <w:t>5</w:t>
            </w:r>
          </w:p>
        </w:tc>
        <w:tc>
          <w:tcPr>
            <w:tcW w:type="dxa" w:w="2553"/>
          </w:tcPr>
          <w:p>
            <w:r>
              <w:t>1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  <w:tr>
        <w:tc>
          <w:tcPr>
            <w:tcW w:type="dxa" w:w="2554"/>
          </w:tcPr>
          <w:p>
            <w:r>
              <w:t>Case Administration</w:t>
            </w:r>
          </w:p>
        </w:tc>
        <w:tc>
          <w:tcPr>
            <w:tcW w:type="dxa" w:w="2553"/>
          </w:tcPr>
          <w:p>
            <w:r>
              <w:t>4</w:t>
            </w:r>
          </w:p>
        </w:tc>
        <w:tc>
          <w:tcPr>
            <w:tcW w:type="dxa" w:w="2553"/>
          </w:tcPr>
          <w:p>
            <w:r>
              <w:t>1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  <w:tr>
        <w:tc>
          <w:tcPr>
            <w:tcW w:type="dxa" w:w="2554"/>
          </w:tcPr>
          <w:p>
            <w:r>
              <w:t>User Guidance &amp; Training</w:t>
            </w:r>
          </w:p>
        </w:tc>
        <w:tc>
          <w:tcPr>
            <w:tcW w:type="dxa" w:w="2553"/>
          </w:tcPr>
          <w:p>
            <w:r>
              <w:t>1</w:t>
            </w:r>
          </w:p>
        </w:tc>
        <w:tc>
          <w:tcPr>
            <w:tcW w:type="dxa" w:w="2553"/>
          </w:tcPr>
          <w:p>
            <w:r>
              <w:t>0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  <w:tr>
        <w:tc>
          <w:tcPr>
            <w:tcW w:type="dxa" w:w="2554"/>
          </w:tcPr>
          <w:p>
            <w:r>
              <w:t>Workflow &amp; Process</w:t>
            </w:r>
          </w:p>
        </w:tc>
        <w:tc>
          <w:tcPr>
            <w:tcW w:type="dxa" w:w="2553"/>
          </w:tcPr>
          <w:p>
            <w:r>
              <w:t>1</w:t>
            </w:r>
          </w:p>
        </w:tc>
        <w:tc>
          <w:tcPr>
            <w:tcW w:type="dxa" w:w="2553"/>
          </w:tcPr>
          <w:p>
            <w:r>
              <w:t>0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5103"/>
          </w:tcPr>
          <w:p>
            <w:r>
              <w:t>Salisbury NHS Foundation Trust</w:t>
            </w:r>
          </w:p>
        </w:tc>
        <w:tc>
          <w:tcPr>
            <w:tcW w:type="dxa" w:w="2132"/>
          </w:tcPr>
          <w:p>
            <w:r>
              <w:t>138</w:t>
            </w:r>
          </w:p>
        </w:tc>
        <w:tc>
          <w:tcPr>
            <w:tcW w:type="dxa" w:w="2133"/>
          </w:tcPr>
          <w:p>
            <w:r>
              <w:t>10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5103"/>
          </w:tcPr>
          <w:p>
            <w:r>
              <w:t>The Shrewsbury And Telford Hospital NHS Trust</w:t>
            </w:r>
          </w:p>
        </w:tc>
        <w:tc>
          <w:tcPr>
            <w:tcW w:type="dxa" w:w="2132"/>
          </w:tcPr>
          <w:p>
            <w:r>
              <w:t>53</w:t>
            </w:r>
          </w:p>
        </w:tc>
        <w:tc>
          <w:tcPr>
            <w:tcW w:type="dxa" w:w="2133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5103"/>
          </w:tcPr>
          <w:p>
            <w:r>
              <w:t>Guy's and St Thomas' NHS Foundation Trust</w:t>
            </w:r>
          </w:p>
        </w:tc>
        <w:tc>
          <w:tcPr>
            <w:tcW w:type="dxa" w:w="2132"/>
          </w:tcPr>
          <w:p>
            <w:r>
              <w:t>42</w:t>
            </w:r>
          </w:p>
        </w:tc>
        <w:tc>
          <w:tcPr>
            <w:tcW w:type="dxa" w:w="2133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5103"/>
          </w:tcPr>
          <w:p>
            <w:r>
              <w:t>Tameside and Glossop Integrated Care NHS Foundation Trust</w:t>
            </w:r>
          </w:p>
        </w:tc>
        <w:tc>
          <w:tcPr>
            <w:tcW w:type="dxa" w:w="2132"/>
          </w:tcPr>
          <w:p>
            <w:r>
              <w:t>39</w:t>
            </w:r>
          </w:p>
        </w:tc>
        <w:tc>
          <w:tcPr>
            <w:tcW w:type="dxa" w:w="2133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5103"/>
          </w:tcPr>
          <w:p>
            <w:r>
              <w:t>Northern Care Alliance NHS Foundation Trust</w:t>
            </w:r>
          </w:p>
        </w:tc>
        <w:tc>
          <w:tcPr>
            <w:tcW w:type="dxa" w:w="2132"/>
          </w:tcPr>
          <w:p>
            <w:r>
              <w:t>33</w:t>
            </w:r>
          </w:p>
        </w:tc>
        <w:tc>
          <w:tcPr>
            <w:tcW w:type="dxa" w:w="2133"/>
          </w:tcPr>
          <w:p>
            <w:r>
              <w:t>0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5103"/>
          </w:tcPr>
          <w:p>
            <w:r>
              <w:t>Mid Yorkshire Teaching NHS Trust</w:t>
            </w:r>
          </w:p>
        </w:tc>
        <w:tc>
          <w:tcPr>
            <w:tcW w:type="dxa" w:w="2132"/>
          </w:tcPr>
          <w:p>
            <w:r>
              <w:t>32</w:t>
            </w:r>
          </w:p>
        </w:tc>
        <w:tc>
          <w:tcPr>
            <w:tcW w:type="dxa" w:w="2133"/>
          </w:tcPr>
          <w:p>
            <w:r>
              <w:t>0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5103"/>
          </w:tcPr>
          <w:p>
            <w:r>
              <w:t>University Hospitals Of Leicester NHS Trust</w:t>
            </w:r>
          </w:p>
        </w:tc>
        <w:tc>
          <w:tcPr>
            <w:tcW w:type="dxa" w:w="2132"/>
          </w:tcPr>
          <w:p>
            <w:r>
              <w:t>31</w:t>
            </w:r>
          </w:p>
        </w:tc>
        <w:tc>
          <w:tcPr>
            <w:tcW w:type="dxa" w:w="2133"/>
          </w:tcPr>
          <w:p>
            <w:r>
              <w:t>0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5103"/>
          </w:tcPr>
          <w:p>
            <w:r>
              <w:t>Oxford University Hospitals NHS Trust</w:t>
            </w:r>
          </w:p>
        </w:tc>
        <w:tc>
          <w:tcPr>
            <w:tcW w:type="dxa" w:w="2132"/>
          </w:tcPr>
          <w:p>
            <w:r>
              <w:t>28</w:t>
            </w:r>
          </w:p>
        </w:tc>
        <w:tc>
          <w:tcPr>
            <w:tcW w:type="dxa" w:w="2133"/>
          </w:tcPr>
          <w:p>
            <w:r>
              <w:t>0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5103"/>
          </w:tcPr>
          <w:p>
            <w:r>
              <w:t>Kingston Hospital NHS Foundation Trust</w:t>
            </w:r>
          </w:p>
        </w:tc>
        <w:tc>
          <w:tcPr>
            <w:tcW w:type="dxa" w:w="2132"/>
          </w:tcPr>
          <w:p>
            <w:r>
              <w:t>26</w:t>
            </w:r>
          </w:p>
        </w:tc>
        <w:tc>
          <w:tcPr>
            <w:tcW w:type="dxa" w:w="2133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5103"/>
          </w:tcPr>
          <w:p>
            <w:r>
              <w:t>The Doctors Laboratory Ltd</w:t>
            </w:r>
          </w:p>
        </w:tc>
        <w:tc>
          <w:tcPr>
            <w:tcW w:type="dxa" w:w="2132"/>
          </w:tcPr>
          <w:p>
            <w:r>
              <w:t>25</w:t>
            </w:r>
          </w:p>
        </w:tc>
        <w:tc>
          <w:tcPr>
            <w:tcW w:type="dxa" w:w="2133"/>
          </w:tcPr>
          <w:p>
            <w:r>
              <w:t>0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Priority 1</w:t>
            </w:r>
          </w:p>
        </w:tc>
        <w:tc>
          <w:tcPr>
            <w:tcW w:type="dxa" w:w="4684"/>
          </w:tcPr>
          <w:p>
            <w:r>
              <w:t>Implement Automated Lab Interface &amp; Queue Monitoring</w:t>
            </w:r>
          </w:p>
        </w:tc>
        <w:tc>
          <w:tcPr>
            <w:tcW w:type="dxa" w:w="4684"/>
          </w:tcPr>
          <w:p>
            <w:r>
              <w:t>Integration failures account for 48.9% of demand. Automated retries will significantly reduce manual support tickets.</w:t>
            </w:r>
          </w:p>
        </w:tc>
      </w:tr>
      <w:tr>
        <w:tc>
          <w:tcPr>
            <w:tcW w:type="dxa" w:w="846"/>
          </w:tcPr>
          <w:p>
            <w:r>
              <w:t>Priority 1</w:t>
            </w:r>
          </w:p>
        </w:tc>
        <w:tc>
          <w:tcPr>
            <w:tcW w:type="dxa" w:w="4684"/>
          </w:tcPr>
          <w:p>
            <w:r>
              <w:t>Deploy Self-Service Clinician Authentication Portal</w:t>
            </w:r>
          </w:p>
        </w:tc>
        <w:tc>
          <w:tcPr>
            <w:tcW w:type="dxa" w:w="4684"/>
          </w:tcPr>
          <w:p>
            <w:r>
              <w:t>Authentication lockouts account for 268 cases (25.9%). Self-service reset will eliminate high-volume tier-1 work.</w:t>
            </w:r>
          </w:p>
        </w:tc>
      </w:tr>
      <w:tr>
        <w:tc>
          <w:tcPr>
            <w:tcW w:type="dxa" w:w="846"/>
          </w:tcPr>
          <w:p>
            <w:r>
              <w:t>Priority 2</w:t>
            </w:r>
          </w:p>
        </w:tc>
        <w:tc>
          <w:tcPr>
            <w:tcW w:type="dxa" w:w="4684"/>
          </w:tcPr>
          <w:p>
            <w:r>
              <w:t>Standardise Order Catalogue Change Intake</w:t>
            </w:r>
          </w:p>
        </w:tc>
        <w:tc>
          <w:tcPr>
            <w:tcW w:type="dxa" w:w="4684"/>
          </w:tcPr>
          <w:p>
            <w:r>
              <w:t>Master data and order set changes suffer high SLA latency. Standard templates will improve turnaround time.</w:t>
            </w:r>
          </w:p>
        </w:tc>
      </w:tr>
      <w:tr>
        <w:tc>
          <w:tcPr>
            <w:tcW w:type="dxa" w:w="846"/>
          </w:tcPr>
          <w:p>
            <w:r>
              <w:t>Priority 2</w:t>
            </w:r>
          </w:p>
        </w:tc>
        <w:tc>
          <w:tcPr>
            <w:tcW w:type="dxa" w:w="4684"/>
          </w:tcPr>
          <w:p>
            <w:r>
              <w:t>Establish Automated SMTP &amp; Email Alerting</w:t>
            </w:r>
          </w:p>
        </w:tc>
        <w:tc>
          <w:tcPr>
            <w:tcW w:type="dxa" w:w="4684"/>
          </w:tcPr>
          <w:p>
            <w:r>
              <w:t>Order dispatch email failures represent 49 cases. Automated alerting will catch dispatches prior to client escalation.</w:t>
            </w:r>
          </w:p>
        </w:tc>
      </w:tr>
      <w:tr>
        <w:tc>
          <w:tcPr>
            <w:tcW w:type="dxa" w:w="846"/>
          </w:tcPr>
          <w:p>
            <w:r>
              <w:t>Priority 3</w:t>
            </w:r>
          </w:p>
        </w:tc>
        <w:tc>
          <w:tcPr>
            <w:tcW w:type="dxa" w:w="4684"/>
          </w:tcPr>
          <w:p>
            <w:r>
              <w:t>Publish SSRS Self-Service Reporting Knowledge Base</w:t>
            </w:r>
          </w:p>
        </w:tc>
        <w:tc>
          <w:tcPr>
            <w:tcW w:type="dxa" w:w="4684"/>
          </w:tcPr>
          <w:p>
            <w:r>
              <w:t>Report requests average 3d 23h business SLA duration. Pre-built templates will reduce custom extract work.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987" w14:textId="77777777" w:rsidR="00BF3D4C" w:rsidRDefault="00BF3D4C">
      <w:pPr>
        <w:spacing w:after="0" w:line="240" w:lineRule="auto"/>
      </w:pPr>
      <w:r>
        <w:separator/>
      </w:r>
    </w:p>
  </w:endnote>
  <w:endnote w:type="continuationSeparator" w:id="0">
    <w:p w14:paraId="5BD182F2" w14:textId="77777777" w:rsidR="00BF3D4C" w:rsidRDefault="00BF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5A1" w14:textId="77777777" w:rsidR="00BF3D4C" w:rsidRDefault="00BF3D4C">
      <w:pPr>
        <w:spacing w:after="0" w:line="240" w:lineRule="auto"/>
      </w:pPr>
      <w:r>
        <w:separator/>
      </w:r>
    </w:p>
  </w:footnote>
  <w:footnote w:type="continuationSeparator" w:id="0">
    <w:p w14:paraId="28EA299C" w14:textId="77777777" w:rsidR="00BF3D4C" w:rsidRDefault="00BF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0D7E85"/>
    <w:rsid w:val="0015074B"/>
    <w:rsid w:val="001D5850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BF3D4C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328</Words>
  <Characters>1873</Characters>
  <Application>Microsoft Office Word</Application>
  <DocSecurity>0</DocSecurity>
  <Lines>15</Lines>
  <Paragraphs>4</Paragraphs>
  <ScaleCrop>false</ScaleCrop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7</cp:revision>
  <dcterms:created xsi:type="dcterms:W3CDTF">2026-07-29T15:48:00Z</dcterms:created>
  <dcterms:modified xsi:type="dcterms:W3CDTF">2026-07-30T09:20:00Z</dcterms:modified>
  <cp:category/>
</cp:coreProperties>
</file>