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OCM_Cases_Last_12-Months.csv, OCM_SLA_Last_12-Months.csv, merged on case number. Derived dataset: Merged_Cases_With_SLA_Formatted.csv. Report generated: 2026-08-03 15:14:07.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1032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59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4 days, 1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1032 Symphony cases. The data window is 07/07/2025 - 30/07/2026. Demand concentration: highest-volume theme is 'Other' (see Trend Distribution). Primary service metric: median time to resolution is 4 days, 1 hrs, 44 mins, with P90 of 42 days, 23 hrs, 53 mins. Current backlog: 33 unresolved cases; median open age 63 days, 4 hrs, 43 mins, P90 198 days, 15 hrs, 31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1032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07/07/2025 - 30/07/2026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33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63 days, 4 hrs, 43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198 days, 15 hrs, 31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999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4 days, 1 hrs, 44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42 days, 23 hrs, 53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Keystone Enterprise</w:t>
            </w:r>
          </w:p>
        </w:tc>
        <w:tc>
          <w:tcPr>
            <w:tcW w:type="dxa" w:w="1005"/>
          </w:tcPr>
          <w:p>
            <w:r>
              <w:t>374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CDS Translation Service</w:t>
            </w:r>
          </w:p>
        </w:tc>
        <w:tc>
          <w:tcPr>
            <w:tcW w:type="dxa" w:w="1005"/>
          </w:tcPr>
          <w:p>
            <w:r>
              <w:t>254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Review</w:t>
            </w:r>
          </w:p>
        </w:tc>
        <w:tc>
          <w:tcPr>
            <w:tcW w:type="dxa" w:w="1005"/>
          </w:tcPr>
          <w:p>
            <w:r>
              <w:t>139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tQuest</w:t>
            </w:r>
          </w:p>
        </w:tc>
        <w:tc>
          <w:tcPr>
            <w:tcW w:type="dxa" w:w="1005"/>
          </w:tcPr>
          <w:p>
            <w:r>
              <w:t>133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48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Order Comms</w:t>
            </w:r>
          </w:p>
        </w:tc>
        <w:tc>
          <w:tcPr>
            <w:tcW w:type="dxa" w:w="1005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Bundle -Translation Service incl CDS</w:t>
            </w:r>
          </w:p>
        </w:tc>
        <w:tc>
          <w:tcPr>
            <w:tcW w:type="dxa" w:w="1005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Bundle - Translations Service including CDS and eCDS</w:t>
            </w:r>
          </w:p>
        </w:tc>
        <w:tc>
          <w:tcPr>
            <w:tcW w:type="dxa" w:w="1005"/>
          </w:tcPr>
          <w:p>
            <w:r>
              <w:t>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EMIS Web - Care Record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722</w:t>
            </w:r>
          </w:p>
        </w:tc>
        <w:tc>
          <w:tcPr>
            <w:tcW w:type="dxa" w:w="2132"/>
          </w:tcPr>
          <w:p>
            <w:r>
              <w:t>91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7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22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14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9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Assignment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Salisbury NHS Foundation Trust</w:t>
            </w:r>
          </w:p>
        </w:tc>
        <w:tc>
          <w:tcPr>
            <w:tcW w:type="dxa" w:w="4684"/>
          </w:tcPr>
          <w:p>
            <w:r>
              <w:t>138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The Shrewsbury And Telford Hospital NHS Trust</w:t>
            </w:r>
          </w:p>
        </w:tc>
        <w:tc>
          <w:tcPr>
            <w:tcW w:type="dxa" w:w="4684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Guy's and St Thomas' NHS Foundation Trust</w:t>
            </w:r>
          </w:p>
        </w:tc>
        <w:tc>
          <w:tcPr>
            <w:tcW w:type="dxa" w:w="4684"/>
          </w:tcPr>
          <w:p>
            <w:r>
              <w:t>42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Tameside and Glossop Integrated Care NHS Foundation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33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32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University Hospitals Of Leicester NHS Trust</w:t>
            </w:r>
          </w:p>
        </w:tc>
        <w:tc>
          <w:tcPr>
            <w:tcW w:type="dxa" w:w="4684"/>
          </w:tcPr>
          <w:p>
            <w:r>
              <w:t>31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Oxford University Hospitals NHS Trust</w:t>
            </w:r>
          </w:p>
        </w:tc>
        <w:tc>
          <w:tcPr>
            <w:tcW w:type="dxa" w:w="4684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Kingston Hospital NHS Foundation Trust</w:t>
            </w:r>
          </w:p>
        </w:tc>
        <w:tc>
          <w:tcPr>
            <w:tcW w:type="dxa" w:w="4684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The Doctors Laboratory Ltd</w:t>
            </w:r>
          </w:p>
        </w:tc>
        <w:tc>
          <w:tcPr>
            <w:tcW w:type="dxa" w:w="4684"/>
          </w:tcPr>
          <w:p>
            <w:r>
              <w:t>25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