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8DB3D" w14:textId="77777777" w:rsidR="00DD4983" w:rsidRDefault="00000000">
      <w:pPr>
        <w:spacing w:before="1400"/>
        <w:jc w:val="center"/>
      </w:pPr>
      <w:r>
        <w:rPr>
          <w:rFonts w:ascii="Aptos Display" w:hAnsi="Aptos Display"/>
          <w:b/>
          <w:color w:val="153D64"/>
          <w:sz w:val="52"/>
        </w:rPr>
        <w:t>Symphony Case Trend Report</w:t>
      </w:r>
    </w:p>
    <w:p w14:paraId="6A0B3597" w14:textId="77777777" w:rsidR="00DD4983" w:rsidRDefault="00000000">
      <w:pPr>
        <w:jc w:val="center"/>
      </w:pPr>
      <w:r>
        <w:rPr>
          <w:color w:val="505050"/>
          <w:sz w:val="26"/>
        </w:rPr>
        <w:t>Management-level analysis of ServiceNow case export</w:t>
      </w:r>
    </w:p>
    <w:p w14:paraId="11D9DD57" w14:textId="6859EF4F" w:rsidR="00DD4983" w:rsidRDefault="00000000">
      <w:pPr>
        <w:jc w:val="center"/>
      </w:pPr>
      <w:proofErr w:type="gramStart"/>
      <w:r>
        <w:rPr>
          <w:color w:val="646464"/>
          <w:sz w:val="18"/>
        </w:rPr>
      </w:r>
      <w:r w:rsidR="00A00B97">
        <w:rPr>
          <w:color w:val="646464"/>
          <w:sz w:val="18"/>
        </w:rPr>
      </w:r>
      <w:proofErr w:type="gramEnd"/>
      <w:r w:rsidR="005B1FEF">
        <w:rPr>
          <w:color w:val="646464"/>
          <w:sz w:val="18"/>
        </w:rPr>
      </w:r>
      <w:r w:rsidR="00A00B97">
        <w:rPr>
          <w:color w:val="646464"/>
          <w:sz w:val="18"/>
        </w:rPr>
      </w:r>
      <w:r>
        <w:t>Source: Source files: Symphony_P4_Cases_20260102-20260803.csv, Symphony_P4_SLA_20260102-20260803.csv, merged on case number. Derived dataset: Merged_Cases_With_SLA_Formatted.csv. Report generated: 2026-08-03 13:02:14.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2"/>
        <w:gridCol w:w="3262"/>
        <w:gridCol w:w="2292"/>
        <w:gridCol w:w="2328"/>
      </w:tblGrid>
      <w:tr w:rsidR="00DD4983" w14:paraId="6F720C23" w14:textId="77777777">
        <w:trPr>
          <w:tblHeader/>
          <w:jc w:val="center"/>
        </w:trPr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0CE2C0D6" w14:textId="23F35DF4" w:rsidR="00DD4983" w:rsidRPr="005B1FEF" w:rsidRDefault="00C77774">
            <w:pPr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</w:r>
            <w:r w:rsidR="005B1FEF" w:rsidRPr="005B1FEF">
              <w:rPr>
                <w:b/>
                <w:bCs/>
                <w:sz w:val="34"/>
                <w:szCs w:val="34"/>
              </w:rPr>
            </w:r>
            <w:r>
              <w:rPr>
                <w:b/>
                <w:bCs/>
                <w:sz w:val="34"/>
                <w:szCs w:val="34"/>
              </w:rPr>
            </w:r>
            <w:r>
              <w:t>257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4E1E336A" w14:textId="22D910F3" w:rsidR="00DD4983" w:rsidRPr="005B1FEF" w:rsidRDefault="00C77774">
            <w:pPr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</w:r>
            <w:r w:rsidR="005B1FEF" w:rsidRPr="005B1FEF">
              <w:rPr>
                <w:b/>
                <w:bCs/>
                <w:sz w:val="34"/>
                <w:szCs w:val="34"/>
              </w:rPr>
            </w:r>
            <w:proofErr w:type="spellStart"/>
            <w:r w:rsidR="005B1FEF" w:rsidRPr="005B1FEF">
              <w:rPr>
                <w:b/>
                <w:bCs/>
                <w:sz w:val="34"/>
                <w:szCs w:val="34"/>
              </w:rPr>
            </w:r>
            <w:proofErr w:type="spellEnd"/>
            <w:r>
              <w:rPr>
                <w:b/>
                <w:bCs/>
                <w:sz w:val="34"/>
                <w:szCs w:val="34"/>
              </w:rPr>
            </w:r>
            <w:r>
              <w:t>25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5D7F7A77" w14:textId="2FAB98C7" w:rsidR="00DD4983" w:rsidRDefault="00C77774">
            <w:pPr>
              <w:jc w:val="center"/>
            </w:pPr>
            <w:r>
              <w:rPr>
                <w:b/>
                <w:color w:val="FFFFFF"/>
                <w:sz w:val="34"/>
              </w:rPr>
            </w:r>
            <w:r w:rsidR="005B1FEF">
              <w:rPr>
                <w:b/>
                <w:color w:val="FFFFFF"/>
                <w:sz w:val="34"/>
              </w:rPr>
            </w:r>
            <w:r>
              <w:rPr>
                <w:b/>
                <w:color w:val="FFFFFF"/>
                <w:sz w:val="34"/>
              </w:rPr>
            </w:r>
            <w:r>
              <w:t>3 days, 17 hrs, 44 mins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7B5F4C78" w14:textId="5BA98BFE" w:rsidR="00DD4983" w:rsidRDefault="00C77774">
            <w:pPr>
              <w:jc w:val="center"/>
            </w:pPr>
            <w:r>
              <w:rPr>
                <w:b/>
                <w:color w:val="FFFFFF"/>
                <w:sz w:val="34"/>
              </w:rPr>
            </w:r>
            <w:r>
              <w:t>Integration &amp; Interfaces / Third-Party Systems</w:t>
            </w:r>
          </w:p>
        </w:tc>
      </w:tr>
      <w:tr w:rsidR="00DD4983" w14:paraId="04704C48" w14:textId="77777777">
        <w:trPr>
          <w:jc w:val="center"/>
        </w:trPr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6FF5E0F9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Total cases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5975CC47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Open / unresolved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43BA5CC1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Median time to resolution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78E1953A" w14:textId="2B323A39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 xml:space="preserve">Largest </w:t>
            </w:r>
            <w:r w:rsidR="00C77774">
              <w:rPr>
                <w:color w:val="153D64"/>
                <w:sz w:val="17"/>
              </w:rPr>
              <w:t>trending</w:t>
            </w:r>
            <w:r>
              <w:rPr>
                <w:color w:val="153D64"/>
                <w:sz w:val="17"/>
              </w:rPr>
              <w:t xml:space="preserve"> </w:t>
            </w:r>
          </w:p>
        </w:tc>
      </w:tr>
    </w:tbl>
    <w:p w14:paraId="672A6659" w14:textId="77777777" w:rsidR="00DD4983" w:rsidRDefault="00000000">
      <w:r>
        <w:br w:type="page"/>
      </w:r>
    </w:p>
    <w:p w14:paraId="5AFB387A" w14:textId="77777777" w:rsidR="00DD4983" w:rsidRDefault="00000000">
      <w:pPr>
        <w:pStyle w:val="Heading1"/>
      </w:pPr>
      <w:r>
        <w:lastRenderedPageBreak/>
        <w:t>Executive summary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DD4983" w14:paraId="0581A2AC" w14:textId="77777777">
        <w:trPr>
          <w:tblHeader/>
          <w:jc w:val="center"/>
        </w:trPr>
        <w:tc>
          <w:tcPr>
            <w:tcW w:w="10224" w:type="dxa"/>
            <w:shd w:val="clear" w:color="auto" w:fill="EAF2F8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3268D5DB" w14:textId="6220A020" w:rsidR="00DD4983" w:rsidRDefault="00C77774">
            <w:r>
              <w:rPr>
                <w:b/>
                <w:color w:val="153D64"/>
                <w:sz w:val="21"/>
              </w:rPr>
            </w:r>
            <w:r/>
            <w:r>
              <w:t>This report covers 257 Symphony cases. The data window is 02/01/2026 - 03/08/2026. Demand concentration: highest-volume theme is 'Other' (see Trend Distribution). Primary service metric: median time to resolution is 3 days, 17 hrs, 44 mins, with P90 of 19 days, 6 hrs, 49 mins. Current backlog: 10 unresolved cases; median open age 5 days, 1 hrs, 38 mins, P90 23 days, 14 hrs, 20 mins. Recommended priorities: (1) rapidly create KB articles and automation for high-volume, low-complexity issues; (2) strengthen triage to reduce P90 resolution; (3) remediate recurring environmental/import processes causing operational noise.</w:t>
            </w:r>
          </w:p>
          <w:p w14:paraId="330D7EAD" w14:textId="14F5386B" w:rsidR="00DD4983" w:rsidRDefault="00DD4983">
            <w:pPr>
              <w:spacing w:before="80"/>
            </w:pPr>
          </w:p>
        </w:tc>
      </w:tr>
    </w:tbl>
    <w:p w14:paraId="584B15DF" w14:textId="42A3C814" w:rsidR="00C77774" w:rsidRDefault="00000000" w:rsidP="00C77774">
      <w:r>
        <w:rPr>
          <w:b/>
        </w:rPr>
        <w:t>Key interpretation:</w:t>
      </w:r>
      <w:r w:rsidR="00C77774">
        <w:rPr>
          <w:b/>
        </w:rPr>
        <w:t xml:space="preserve"> </w:t>
      </w:r>
      <w:r w:rsidR="00C77774">
        <w:t>This report should be read as a management trend view rather than a root-cause analysis. Topic counts are keyword-based and overlapping. The underlying case notes contain operational SQL, interface and audit references, so the report intentionally avoids exposing patient-specific identifiers or detailed case scripts.</w:t>
      </w:r>
    </w:p>
    <w:p w14:paraId="2975C1B6" w14:textId="77777777" w:rsidR="00DD4983" w:rsidRDefault="00000000">
      <w:pPr>
        <w:pStyle w:val="Heading2"/>
      </w:pPr>
      <w:r>
        <w:t>Key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DD4983" w14:paraId="1893CB47" w14:textId="77777777" w:rsidTr="00C77774">
        <w:trPr>
          <w:tblHeader/>
          <w:jc w:val="center"/>
        </w:trPr>
        <w:tc>
          <w:tcPr>
            <w:tcW w:w="340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ECD3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34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D45C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w="34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546E3C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04"/>
          </w:tcPr>
          <w:p>
            <w:r>
              <w:t>Total cases analysed</w:t>
            </w:r>
          </w:p>
        </w:tc>
        <w:tc>
          <w:tcPr>
            <w:tcW w:type="dxa" w:w="3405"/>
          </w:tcPr>
          <w:p>
            <w:r>
              <w:t>257</w:t>
            </w:r>
          </w:p>
        </w:tc>
        <w:tc>
          <w:tcPr>
            <w:tcW w:type="dxa" w:w="3405"/>
          </w:tcPr>
          <w:p>
            <w:r>
              <w:t>As counted in merged dataset</w:t>
            </w:r>
          </w:p>
        </w:tc>
      </w:tr>
      <w:tr>
        <w:tc>
          <w:tcPr>
            <w:tcW w:type="dxa" w:w="3404"/>
          </w:tcPr>
          <w:p>
            <w:r>
              <w:t>Created date range</w:t>
            </w:r>
          </w:p>
        </w:tc>
        <w:tc>
          <w:tcPr>
            <w:tcW w:type="dxa" w:w="3405"/>
          </w:tcPr>
          <w:p>
            <w:r>
              <w:t>02/01/2026 - 03/08/2026</w:t>
            </w:r>
          </w:p>
        </w:tc>
        <w:tc>
          <w:tcPr>
            <w:tcW w:type="dxa" w:w="3405"/>
          </w:tcPr>
          <w:p>
            <w:r>
              <w:t>Date range of case creation (sys_created_on).</w:t>
            </w:r>
          </w:p>
        </w:tc>
      </w:tr>
      <w:tr>
        <w:tc>
          <w:tcPr>
            <w:tcW w:type="dxa" w:w="3404"/>
          </w:tcPr>
          <w:p>
            <w:r>
              <w:t>Current unresolved cases</w:t>
            </w:r>
          </w:p>
        </w:tc>
        <w:tc>
          <w:tcPr>
            <w:tcW w:type="dxa" w:w="3405"/>
          </w:tcPr>
          <w:p>
            <w:r>
              <w:t>10</w:t>
            </w:r>
          </w:p>
        </w:tc>
        <w:tc>
          <w:tcPr>
            <w:tcW w:type="dxa" w:w="3405"/>
          </w:tcPr>
          <w:p>
            <w:r>
              <w:t>Cases without a resolved date (resolved_at empty). Includes any non-Closed states.</w:t>
            </w:r>
          </w:p>
        </w:tc>
      </w:tr>
      <w:tr>
        <w:tc>
          <w:tcPr>
            <w:tcW w:type="dxa" w:w="3404"/>
          </w:tcPr>
          <w:p>
            <w:r>
              <w:t>Median open age</w:t>
            </w:r>
          </w:p>
        </w:tc>
        <w:tc>
          <w:tcPr>
            <w:tcW w:type="dxa" w:w="3405"/>
          </w:tcPr>
          <w:p>
            <w:r>
              <w:t>5 days, 1 hrs, 38 mins</w:t>
            </w:r>
          </w:p>
        </w:tc>
        <w:tc>
          <w:tcPr>
            <w:tcW w:type="dxa" w:w="3405"/>
          </w:tcPr>
          <w:p>
            <w:r>
              <w:t>Median age for currently unresolved cases: duration since creation.</w:t>
            </w:r>
          </w:p>
        </w:tc>
      </w:tr>
      <w:tr>
        <w:tc>
          <w:tcPr>
            <w:tcW w:type="dxa" w:w="3404"/>
          </w:tcPr>
          <w:p>
            <w:r>
              <w:t>90th percentile open age</w:t>
            </w:r>
          </w:p>
        </w:tc>
        <w:tc>
          <w:tcPr>
            <w:tcW w:type="dxa" w:w="3405"/>
          </w:tcPr>
          <w:p>
            <w:r>
              <w:t>23 days, 14 hrs, 20 mins</w:t>
            </w:r>
          </w:p>
        </w:tc>
        <w:tc>
          <w:tcPr>
            <w:tcW w:type="dxa" w:w="3405"/>
          </w:tcPr>
          <w:p>
            <w:r>
              <w:t>P90 age for currently unresolved cases.</w:t>
            </w:r>
          </w:p>
        </w:tc>
      </w:tr>
      <w:tr>
        <w:tc>
          <w:tcPr>
            <w:tcW w:type="dxa" w:w="3404"/>
          </w:tcPr>
          <w:p>
            <w:r>
              <w:t>Resolved/closed with resolution date</w:t>
            </w:r>
          </w:p>
        </w:tc>
        <w:tc>
          <w:tcPr>
            <w:tcW w:type="dxa" w:w="3405"/>
          </w:tcPr>
          <w:p>
            <w:r>
              <w:t>247</w:t>
            </w:r>
          </w:p>
        </w:tc>
        <w:tc>
          <w:tcPr>
            <w:tcW w:type="dxa" w:w="3405"/>
          </w:tcPr>
          <w:p>
            <w:r>
              <w:t>Count of cases with a resolved date present.</w:t>
            </w:r>
          </w:p>
        </w:tc>
      </w:tr>
      <w:tr>
        <w:tc>
          <w:tcPr>
            <w:tcW w:type="dxa" w:w="3404"/>
          </w:tcPr>
          <w:p>
            <w:r>
              <w:t>Median resolution duration</w:t>
            </w:r>
          </w:p>
        </w:tc>
        <w:tc>
          <w:tcPr>
            <w:tcW w:type="dxa" w:w="3405"/>
          </w:tcPr>
          <w:p>
            <w:r>
              <w:t>3 days, 17 hrs, 44 mins</w:t>
            </w:r>
          </w:p>
        </w:tc>
        <w:tc>
          <w:tcPr>
            <w:tcW w:type="dxa" w:w="3405"/>
          </w:tcPr>
          <w:p>
            <w:r>
              <w:t>Median time-to-resolution for resolved cases (Created -&gt; Resolved).</w:t>
            </w:r>
          </w:p>
        </w:tc>
      </w:tr>
      <w:tr>
        <w:tc>
          <w:tcPr>
            <w:tcW w:type="dxa" w:w="3404"/>
          </w:tcPr>
          <w:p>
            <w:r>
              <w:t>90th percentile resolution duration</w:t>
            </w:r>
          </w:p>
        </w:tc>
        <w:tc>
          <w:tcPr>
            <w:tcW w:type="dxa" w:w="3405"/>
          </w:tcPr>
          <w:p>
            <w:r>
              <w:t>19 days, 6 hrs, 49 mins</w:t>
            </w:r>
          </w:p>
        </w:tc>
        <w:tc>
          <w:tcPr>
            <w:tcW w:type="dxa" w:w="3405"/>
          </w:tcPr>
          <w:p>
            <w:r>
              <w:t>P90 time-to-resolution for resolved cases.</w:t>
            </w:r>
          </w:p>
        </w:tc>
      </w:tr>
    </w:tbl>
    <w:p w14:paraId="35E87359" w14:textId="77777777" w:rsidR="00DD4983" w:rsidRDefault="00000000">
      <w:pPr>
        <w:pStyle w:val="Heading1"/>
      </w:pPr>
      <w:r>
        <w:t>Case volume and portfolio shape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D4983" w14:paraId="0A37501D" w14:textId="77777777">
        <w:trPr>
          <w:tblHeader/>
          <w:jc w:val="center"/>
        </w:trPr>
        <w:tc>
          <w:tcPr>
            <w:tcW w:w="5112" w:type="dxa"/>
          </w:tcPr>
          <w:p w14:paraId="5DAB6C7B" w14:textId="1D4FD7F0" w:rsidR="00DD4983" w:rsidRDefault="00C77774">
            <w:pPr>
              <w:jc w:val="center"/>
            </w:pPr>
            <w:r>
              <w:rPr>
                <w:noProof/>
              </w:rPr>
            </w:r>
            <w:r/>
            <w:r>
              <w:drawing>
                <wp:inline xmlns:a="http://schemas.openxmlformats.org/drawingml/2006/main" xmlns:pic="http://schemas.openxmlformats.org/drawingml/2006/picture">
                  <wp:extent cx="5486400" cy="21945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nthly_case_tren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2" w:type="dxa"/>
          </w:tcPr>
          <w:p w14:paraId="02EB378F" w14:textId="2D3C4F4E" w:rsidR="00DD4983" w:rsidRDefault="00C77774">
            <w:pPr>
              <w:jc w:val="center"/>
            </w:pPr>
            <w:r/>
            <w:r/>
            <w:r>
              <w:drawing>
                <wp:inline xmlns:a="http://schemas.openxmlformats.org/drawingml/2006/main" xmlns:pic="http://schemas.openxmlformats.org/drawingml/2006/picture">
                  <wp:extent cx="5486400" cy="27432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ct_distributio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74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30FEB2" w14:textId="77777777" w:rsidR="00DD4983" w:rsidRDefault="00000000">
      <w:pPr>
        <w:jc w:val="center"/>
      </w:pPr>
      <w:r>
        <w:rPr>
          <w:i/>
          <w:color w:val="5A5A5A"/>
          <w:sz w:val="17"/>
        </w:rPr>
        <w:t>Figure 1. Monthly case creation trend and product concentration.</w:t>
      </w:r>
    </w:p>
    <w:p w14:paraId="3BFE81EF" w14:textId="77777777" w:rsidR="00DD4983" w:rsidRDefault="00000000">
      <w:pPr>
        <w:pStyle w:val="Heading2"/>
      </w:pPr>
      <w:r>
        <w:t>Product distribution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8363"/>
        <w:gridCol w:w="1005"/>
      </w:tblGrid>
      <w:tr w:rsidR="00DD4983" w14:paraId="160C92D3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7C3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836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B80BF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Product</w:t>
            </w:r>
          </w:p>
        </w:tc>
        <w:tc>
          <w:tcPr>
            <w:tcW w:w="10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6D7B7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</w:tr>
      <w:tr>
        <w:tc>
          <w:tcPr>
            <w:tcW w:type="dxa" w:w="846"/>
          </w:tcPr>
          <w:p>
            <w:r>
              <w:t>1</w:t>
            </w:r>
          </w:p>
        </w:tc>
        <w:tc>
          <w:tcPr>
            <w:tcW w:type="dxa" w:w="8363"/>
          </w:tcPr>
          <w:p>
            <w:r>
              <w:t>Symphony</w:t>
            </w:r>
          </w:p>
        </w:tc>
        <w:tc>
          <w:tcPr>
            <w:tcW w:type="dxa" w:w="1005"/>
          </w:tcPr>
          <w:p>
            <w:r>
              <w:t>236</w:t>
            </w:r>
          </w:p>
        </w:tc>
      </w:tr>
      <w:tr>
        <w:tc>
          <w:tcPr>
            <w:tcW w:type="dxa" w:w="846"/>
          </w:tcPr>
          <w:p>
            <w:r>
              <w:t>2</w:t>
            </w:r>
          </w:p>
        </w:tc>
        <w:tc>
          <w:tcPr>
            <w:tcW w:type="dxa" w:w="8363"/>
          </w:tcPr>
          <w:p>
            <w:r>
              <w:t>Symphony - DAD</w:t>
            </w:r>
          </w:p>
        </w:tc>
        <w:tc>
          <w:tcPr>
            <w:tcW w:type="dxa" w:w="1005"/>
          </w:tcPr>
          <w:p>
            <w:r>
              <w:t>7</w:t>
            </w:r>
          </w:p>
        </w:tc>
      </w:tr>
      <w:tr>
        <w:tc>
          <w:tcPr>
            <w:tcW w:type="dxa" w:w="846"/>
          </w:tcPr>
          <w:p>
            <w:r>
              <w:t>3</w:t>
            </w:r>
          </w:p>
        </w:tc>
        <w:tc>
          <w:tcPr>
            <w:tcW w:type="dxa" w:w="8363"/>
          </w:tcPr>
          <w:p>
            <w:r>
              <w:t>Symphony - Manchester Triage v3</w:t>
            </w:r>
          </w:p>
        </w:tc>
        <w:tc>
          <w:tcPr>
            <w:tcW w:type="dxa" w:w="1005"/>
          </w:tcPr>
          <w:p>
            <w:r>
              <w:t>2</w:t>
            </w:r>
          </w:p>
        </w:tc>
      </w:tr>
      <w:tr>
        <w:tc>
          <w:tcPr>
            <w:tcW w:type="dxa" w:w="846"/>
          </w:tcPr>
          <w:p>
            <w:r>
              <w:t>4</w:t>
            </w:r>
          </w:p>
        </w:tc>
        <w:tc>
          <w:tcPr>
            <w:tcW w:type="dxa" w:w="8363"/>
          </w:tcPr>
          <w:p>
            <w:r>
              <w:t>Symphony - Capscan Matchcode (GBG)</w:t>
            </w:r>
          </w:p>
        </w:tc>
        <w:tc>
          <w:tcPr>
            <w:tcW w:type="dxa" w:w="1005"/>
          </w:tcPr>
          <w:p>
            <w:r>
              <w:t>2</w:t>
            </w:r>
          </w:p>
        </w:tc>
      </w:tr>
      <w:tr>
        <w:tc>
          <w:tcPr>
            <w:tcW w:type="dxa" w:w="846"/>
          </w:tcPr>
          <w:p>
            <w:r>
              <w:t>5</w:t>
            </w:r>
          </w:p>
        </w:tc>
        <w:tc>
          <w:tcPr>
            <w:tcW w:type="dxa" w:w="8363"/>
          </w:tcPr>
          <w:p>
            <w:r>
              <w:t>Symphony - MIDAs</w:t>
            </w:r>
          </w:p>
        </w:tc>
        <w:tc>
          <w:tcPr>
            <w:tcW w:type="dxa" w:w="1005"/>
          </w:tcPr>
          <w:p>
            <w:r>
              <w:t>2</w:t>
            </w:r>
          </w:p>
        </w:tc>
      </w:tr>
      <w:tr>
        <w:tc>
          <w:tcPr>
            <w:tcW w:type="dxa" w:w="846"/>
          </w:tcPr>
          <w:p>
            <w:r>
              <w:t>6</w:t>
            </w:r>
          </w:p>
        </w:tc>
        <w:tc>
          <w:tcPr>
            <w:tcW w:type="dxa" w:w="8363"/>
          </w:tcPr>
          <w:p>
            <w:r>
              <w:t>Symphony - Printed Output</w:t>
            </w:r>
          </w:p>
        </w:tc>
        <w:tc>
          <w:tcPr>
            <w:tcW w:type="dxa" w:w="1005"/>
          </w:tcPr>
          <w:p>
            <w:r>
              <w:t>2</w:t>
            </w:r>
          </w:p>
        </w:tc>
      </w:tr>
      <w:tr>
        <w:tc>
          <w:tcPr>
            <w:tcW w:type="dxa" w:w="846"/>
          </w:tcPr>
          <w:p>
            <w:r>
              <w:t>7</w:t>
            </w:r>
          </w:p>
        </w:tc>
        <w:tc>
          <w:tcPr>
            <w:tcW w:type="dxa" w:w="8363"/>
          </w:tcPr>
          <w:p>
            <w:r>
              <w:t>Symphony - PAS Interface Inbound</w:t>
            </w:r>
          </w:p>
        </w:tc>
        <w:tc>
          <w:tcPr>
            <w:tcW w:type="dxa" w:w="1005"/>
          </w:tcPr>
          <w:p>
            <w:r>
              <w:t>1</w:t>
            </w:r>
          </w:p>
        </w:tc>
      </w:tr>
      <w:tr>
        <w:tc>
          <w:tcPr>
            <w:tcW w:type="dxa" w:w="846"/>
          </w:tcPr>
          <w:p>
            <w:r>
              <w:t>8</w:t>
            </w:r>
          </w:p>
        </w:tc>
        <w:tc>
          <w:tcPr>
            <w:tcW w:type="dxa" w:w="8363"/>
          </w:tcPr>
          <w:p>
            <w:r>
              <w:t>Symphony - EIE</w:t>
            </w:r>
          </w:p>
        </w:tc>
        <w:tc>
          <w:tcPr>
            <w:tcW w:type="dxa" w:w="1005"/>
          </w:tcPr>
          <w:p>
            <w:r>
              <w:t>1</w:t>
            </w:r>
          </w:p>
        </w:tc>
      </w:tr>
      <w:tr>
        <w:tc>
          <w:tcPr>
            <w:tcW w:type="dxa" w:w="846"/>
          </w:tcPr>
          <w:p>
            <w:r>
              <w:t>9</w:t>
            </w:r>
          </w:p>
        </w:tc>
        <w:tc>
          <w:tcPr>
            <w:tcW w:type="dxa" w:w="8363"/>
          </w:tcPr>
          <w:p>
            <w:r>
              <w:t>Symphony - 111 Module</w:t>
            </w:r>
          </w:p>
        </w:tc>
        <w:tc>
          <w:tcPr>
            <w:tcW w:type="dxa" w:w="1005"/>
          </w:tcPr>
          <w:p>
            <w:r>
              <w:t>1</w:t>
            </w:r>
          </w:p>
        </w:tc>
      </w:tr>
      <w:tr>
        <w:tc>
          <w:tcPr>
            <w:tcW w:type="dxa" w:w="846"/>
          </w:tcPr>
          <w:p>
            <w:r>
              <w:t>10</w:t>
            </w:r>
          </w:p>
        </w:tc>
        <w:tc>
          <w:tcPr>
            <w:tcW w:type="dxa" w:w="8363"/>
          </w:tcPr>
          <w:p>
            <w:r>
              <w:t>Symphony - CAMIS IAC Interfacing</w:t>
            </w:r>
          </w:p>
        </w:tc>
        <w:tc>
          <w:tcPr>
            <w:tcW w:type="dxa" w:w="1005"/>
          </w:tcPr>
          <w:p>
            <w:r>
              <w:t>1</w:t>
            </w:r>
          </w:p>
        </w:tc>
      </w:tr>
    </w:tbl>
    <w:p w14:paraId="3BD12BF2" w14:textId="4B2D9736" w:rsidR="00DD4983" w:rsidRDefault="00000000" w:rsidP="00B66AE7">
      <w:pPr>
        <w:pStyle w:val="Heading1"/>
      </w:pPr>
      <w:r>
        <w:t xml:space="preserve">Priority and </w:t>
      </w:r>
      <w:proofErr w:type="gramStart"/>
      <w:r>
        <w:t>state profile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3"/>
      </w:tblGrid>
      <w:tr w:rsidR="00B66AE7" w14:paraId="4334CB9B" w14:textId="77777777" w:rsidTr="00B66AE7">
        <w:trPr>
          <w:tblHeader/>
          <w:jc w:val="center"/>
        </w:trPr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AFDB51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DF5DAF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9FF10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</w:tr>
      <w:tr w:rsidR="00B66AE7" w14:paraId="75B4402B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E14BBE" w14:textId="638B8CA3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657CDB" w14:textId="4294DA6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EB26C" w14:textId="2CCAD7A0" w:rsidR="00B66AE7" w:rsidRDefault="00B66AE7">
            <w:pPr>
              <w:spacing w:after="40" w:line="252" w:lineRule="auto"/>
            </w:pPr>
          </w:p>
        </w:tc>
      </w:tr>
      <w:tr w:rsidR="00B66AE7" w14:paraId="6B42A644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7A0E10" w14:textId="3ED18B0F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34824B" w14:textId="6CC0E301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886912" w14:textId="7B9F46A4" w:rsidR="00B66AE7" w:rsidRDefault="00B66AE7">
            <w:pPr>
              <w:spacing w:after="40" w:line="252" w:lineRule="auto"/>
            </w:pPr>
          </w:p>
        </w:tc>
      </w:tr>
      <w:tr w:rsidR="00B66AE7" w14:paraId="4A347D4B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4D8F82" w14:textId="6D4B7CEF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9009E4" w14:textId="4F403559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8EB8EE" w14:textId="07D0954B" w:rsidR="00B66AE7" w:rsidRDefault="00B66AE7">
            <w:pPr>
              <w:spacing w:after="40" w:line="252" w:lineRule="auto"/>
            </w:pPr>
          </w:p>
        </w:tc>
      </w:tr>
      <w:tr w:rsidR="00B66AE7" w14:paraId="12862ACC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BB0EA1" w14:textId="0FDEE672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240AAE" w14:textId="4624E12A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AB7477" w14:textId="0404C25B" w:rsidR="00B66AE7" w:rsidRDefault="00B66AE7">
            <w:pPr>
              <w:spacing w:after="40" w:line="252" w:lineRule="auto"/>
            </w:pPr>
          </w:p>
        </w:tc>
      </w:tr>
      <w:tr w:rsidR="00B66AE7" w14:paraId="646AB887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A3D3EC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0B940D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C21B90" w14:textId="753B6340" w:rsidR="00B66AE7" w:rsidRDefault="00B66AE7">
            <w:pPr>
              <w:spacing w:after="40" w:line="252" w:lineRule="auto"/>
            </w:pPr>
          </w:p>
        </w:tc>
      </w:tr>
      <w:tr w:rsidR="00B66AE7" w14:paraId="5A3C3AB2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27B00A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61E4C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9FAAB8" w14:textId="0C1059ED" w:rsidR="00B66AE7" w:rsidRDefault="00B66AE7">
            <w:pPr>
              <w:spacing w:after="40" w:line="252" w:lineRule="auto"/>
            </w:pPr>
          </w:p>
        </w:tc>
      </w:tr>
    </w:tbl>
    <w:p w14:paraId="065D4105" w14:textId="77777777" w:rsidR="00DD4983" w:rsidRDefault="00000000">
      <w:pPr>
        <w:pStyle w:val="Heading1"/>
      </w:pPr>
      <w:r>
        <w:t>Trending topic analysis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B66AE7" w14:paraId="44EAFD9C" w14:textId="77777777" w:rsidTr="00264EFC">
        <w:trPr>
          <w:tblHeader/>
          <w:jc w:val="center"/>
        </w:trPr>
        <w:tc>
          <w:tcPr>
            <w:tcW w:w="10224" w:type="dxa"/>
          </w:tcPr>
          <w:p w14:paraId="3DEEC669" w14:textId="2E14DE4B" w:rsidR="00B66AE7" w:rsidRDefault="00B66AE7">
            <w:pPr>
              <w:jc w:val="center"/>
            </w:pPr>
            <w:r>
              <w:rPr>
                <w:noProof/>
              </w:rPr>
            </w:r>
            <w:r/>
            <w:r>
              <w:drawing>
                <wp:inline xmlns:a="http://schemas.openxmlformats.org/drawingml/2006/main" xmlns:pic="http://schemas.openxmlformats.org/drawingml/2006/picture">
                  <wp:extent cx="5486400" cy="3657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ority_profil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224"/>
          </w:tcPr>
          <w:p>
            <w:r>
              <w:t>Closed</w:t>
            </w:r>
          </w:p>
        </w:tc>
      </w:tr>
      <w:tr>
        <w:tc>
          <w:tcPr>
            <w:tcW w:type="dxa" w:w="10224"/>
          </w:tcPr>
          <w:p>
            <w:r>
              <w:t>Resolved</w:t>
            </w:r>
          </w:p>
        </w:tc>
      </w:tr>
      <w:tr>
        <w:tc>
          <w:tcPr>
            <w:tcW w:type="dxa" w:w="10224"/>
          </w:tcPr>
          <w:p>
            <w:r>
              <w:t>On hold</w:t>
            </w:r>
          </w:p>
        </w:tc>
      </w:tr>
      <w:tr>
        <w:tc>
          <w:tcPr>
            <w:tcW w:type="dxa" w:w="10224"/>
          </w:tcPr>
          <w:p>
            <w:r>
              <w:t>In Progress</w:t>
            </w:r>
          </w:p>
        </w:tc>
      </w:tr>
    </w:tbl>
    <w:p w14:paraId="51932823" w14:textId="3CE1F96B" w:rsidR="00DD4983" w:rsidRDefault="00000000">
      <w:pPr>
        <w:jc w:val="center"/>
      </w:pPr>
      <w:r>
        <w:rPr>
          <w:i/>
          <w:color w:val="5A5A5A"/>
          <w:sz w:val="17"/>
        </w:rPr>
        <w:t xml:space="preserve">Figure </w:t>
      </w:r>
      <w:r w:rsidR="00B66AE7">
        <w:rPr>
          <w:i/>
          <w:color w:val="5A5A5A"/>
          <w:sz w:val="17"/>
        </w:rPr>
        <w:t>2</w:t>
      </w:r>
      <w:r>
        <w:rPr>
          <w:i/>
          <w:color w:val="5A5A5A"/>
          <w:sz w:val="17"/>
        </w:rPr>
        <w:t>. Topic clusters and movement of selected themes by month.</w:t>
      </w:r>
    </w:p>
    <w:p w14:paraId="3FE1AB20" w14:textId="77777777" w:rsidR="00DD4983" w:rsidRDefault="00000000">
      <w:pPr>
        <w:pStyle w:val="Heading2"/>
      </w:pPr>
      <w:r>
        <w:t>Theme interpretation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3"/>
        <w:gridCol w:w="2554"/>
      </w:tblGrid>
      <w:tr w:rsidR="00DD4983" w14:paraId="7D86A773" w14:textId="77777777" w:rsidTr="00C77774">
        <w:trPr>
          <w:tblHeader/>
          <w:jc w:val="center"/>
        </w:trPr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37213D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Theme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B8FCE0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Matching cases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69AEF2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Recent signal from June onwards</w:t>
            </w:r>
          </w:p>
        </w:tc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58C70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Management implication</w:t>
            </w:r>
          </w:p>
        </w:tc>
      </w:tr>
      <w:tr w:rsidR="00C77774" w14:paraId="126A322B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29006" w14:textId="7BE5A276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Audit / IG / access investigation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DFADE7" w14:textId="0F1ECD4F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05B6E" w14:textId="1EFA9B26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D3A57C" w14:textId="0B8C4332" w:rsidR="00C77774" w:rsidRDefault="00C77774" w:rsidP="00C77774">
            <w:pPr>
              <w:spacing w:after="40" w:line="252" w:lineRule="auto"/>
            </w:pPr>
          </w:p>
        </w:tc>
      </w:tr>
      <w:tr w:rsidR="00C77774" w14:paraId="4FCCF072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9EF03" w14:textId="339674FD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DAD / HL7 / interface messaging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EA0F3" w14:textId="65C772B9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50DD93" w14:textId="6387A4BB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DCC37" w14:textId="299F68E3" w:rsidR="00C77774" w:rsidRDefault="00C77774" w:rsidP="00C77774">
            <w:pPr>
              <w:spacing w:after="40" w:line="252" w:lineRule="auto"/>
            </w:pPr>
          </w:p>
        </w:tc>
      </w:tr>
      <w:tr w:rsidR="00C77774" w14:paraId="35DFC7ED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6CD16" w14:textId="2E12EBF2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Performance / outage / errors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87A06" w14:textId="06B2B62F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2760AF" w14:textId="2B8ACBA1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4E1823" w14:textId="36C7D6DE" w:rsidR="00C77774" w:rsidRDefault="00C77774" w:rsidP="00C77774">
            <w:pPr>
              <w:spacing w:after="40" w:line="252" w:lineRule="auto"/>
            </w:pPr>
          </w:p>
        </w:tc>
      </w:tr>
      <w:tr w:rsidR="00C77774" w14:paraId="2148B999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0D85D1" w14:textId="26F27B2E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Clinical workflow / DEP / clinic / BRM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E354E" w14:textId="1EEB12C8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BA40D0" w14:textId="3E2B51BA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969A37" w14:textId="5D19B46B" w:rsidR="00C77774" w:rsidRDefault="00C77774" w:rsidP="00C77774">
            <w:pPr>
              <w:spacing w:after="40" w:line="252" w:lineRule="auto"/>
            </w:pPr>
          </w:p>
        </w:tc>
      </w:tr>
      <w:tr w:rsidR="00C77774" w14:paraId="494A9C7F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CE87F7" w14:textId="3F6C6C80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Data / SQL / configuration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A19EC" w14:textId="0BC67EBF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739EF0" w14:textId="5B37EE86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113549" w14:textId="1117DAF7" w:rsidR="00C77774" w:rsidRDefault="00C77774" w:rsidP="00C77774">
            <w:pPr>
              <w:spacing w:after="40" w:line="252" w:lineRule="auto"/>
            </w:pPr>
          </w:p>
        </w:tc>
      </w:tr>
      <w:tr w:rsidR="00C77774" w14:paraId="72B40B23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AA77B1" w14:textId="3D8B4DB5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Location / department / lookup changes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0BB71" w14:textId="6AC4556D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A51A77" w14:textId="2789C12B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95F518" w14:textId="694F7008" w:rsidR="00C77774" w:rsidRDefault="00C77774" w:rsidP="00C77774">
            <w:pPr>
              <w:spacing w:after="40" w:line="252" w:lineRule="auto"/>
            </w:pPr>
          </w:p>
        </w:tc>
      </w:tr>
      <w:tr w:rsidR="00C77774" w14:paraId="12A9A6F6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DBE36" w14:textId="2430DF1D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Login / access / permissions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CB3458" w14:textId="16DF6176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B958C" w14:textId="3929E267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427E45" w14:textId="7F569F4A" w:rsidR="00C77774" w:rsidRDefault="00C77774" w:rsidP="00C77774">
            <w:pPr>
              <w:spacing w:after="40" w:line="252" w:lineRule="auto"/>
            </w:pPr>
          </w:p>
        </w:tc>
      </w:tr>
      <w:tr w:rsidR="00C77774" w14:paraId="7E1158DE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3B2624" w14:textId="01EC2485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Printing / documents / output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F82D0C" w14:textId="47CFB4B9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A4FC67" w14:textId="66543705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AA4741" w14:textId="39254852" w:rsidR="00C77774" w:rsidRDefault="00C77774" w:rsidP="00C77774">
            <w:pPr>
              <w:spacing w:after="40" w:line="252" w:lineRule="auto"/>
            </w:pPr>
          </w:p>
        </w:tc>
      </w:tr>
      <w:tr w:rsidR="00C77774" w14:paraId="4115B5C1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FF5ACF" w14:textId="5B41B2A5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Reporting / SSRS / dashboards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1FAE07" w14:textId="038455CA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6DE71A" w14:textId="536C79AA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7BC423" w14:textId="07A155FD" w:rsidR="00C77774" w:rsidRDefault="00C77774" w:rsidP="00C77774">
            <w:pPr>
              <w:spacing w:after="40" w:line="252" w:lineRule="auto"/>
            </w:pPr>
          </w:p>
        </w:tc>
      </w:tr>
      <w:tr w:rsidR="00C77774" w14:paraId="4731A77B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F9DC71" w14:textId="026F43DB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Appointments / scheduling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26413" w14:textId="7EBD338C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B8484" w14:textId="070C5247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8E37E5" w14:textId="39DA4EC3" w:rsidR="00C77774" w:rsidRDefault="00C77774" w:rsidP="00C77774">
            <w:pPr>
              <w:spacing w:after="40" w:line="252" w:lineRule="auto"/>
            </w:pPr>
          </w:p>
        </w:tc>
      </w:tr>
    </w:tbl>
    <w:p w14:paraId="2F9FECC2" w14:textId="77777777" w:rsidR="00DD4983" w:rsidRDefault="00000000">
      <w:pPr>
        <w:pStyle w:val="Heading1"/>
      </w:pPr>
      <w:r>
        <w:lastRenderedPageBreak/>
        <w:t>Customer/account concentration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5103"/>
        <w:gridCol w:w="2132"/>
        <w:gridCol w:w="2133"/>
      </w:tblGrid>
      <w:tr w:rsidR="00DD4983" w14:paraId="4A5EF33E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5A7F4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510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A6E8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Account</w:t>
            </w:r>
          </w:p>
        </w:tc>
        <w:tc>
          <w:tcPr>
            <w:tcW w:w="2132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29359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w="213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FEF7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Open</w:t>
            </w:r>
          </w:p>
        </w:tc>
      </w:tr>
      <w:tr>
        <w:tc>
          <w:tcPr>
            <w:tcW w:type="dxa" w:w="846"/>
          </w:tcPr>
          <w:p>
            <w:r>
              <w:t>Other</w:t>
            </w:r>
          </w:p>
        </w:tc>
        <w:tc>
          <w:tcPr>
            <w:tcW w:type="dxa" w:w="5103"/>
          </w:tcPr>
          <w:p>
            <w:r>
              <w:t>233</w:t>
            </w:r>
          </w:p>
        </w:tc>
        <w:tc>
          <w:tcPr>
            <w:tcW w:type="dxa" w:w="2132"/>
          </w:tcPr>
          <w:p>
            <w:r>
              <w:t>90</w:t>
            </w:r>
          </w:p>
        </w:tc>
        <w:tc>
          <w:tcPr>
            <w:tcW w:type="dxa" w:w="2133"/>
          </w:tcPr>
          <w:p>
            <w:r>
              <w:t>High volume — consider KB and automation. Recent uptick observed.</w:t>
            </w:r>
          </w:p>
        </w:tc>
      </w:tr>
      <w:tr>
        <w:tc>
          <w:tcPr>
            <w:tcW w:type="dxa" w:w="846"/>
          </w:tcPr>
          <w:p>
            <w:r>
              <w:t>Notifications &amp; Communications / Email</w:t>
            </w:r>
          </w:p>
        </w:tc>
        <w:tc>
          <w:tcPr>
            <w:tcW w:type="dxa" w:w="5103"/>
          </w:tcPr>
          <w:p>
            <w:r>
              <w:t>6</w:t>
            </w:r>
          </w:p>
        </w:tc>
        <w:tc>
          <w:tcPr>
            <w:tcW w:type="dxa" w:w="2132"/>
          </w:tcPr>
          <w:p>
            <w:r>
              <w:t>4</w:t>
            </w:r>
          </w:p>
        </w:tc>
        <w:tc>
          <w:tcPr>
            <w:tcW w:type="dxa" w:w="2133"/>
          </w:tcPr>
          <w:p>
            <w:r>
              <w:t>Low volume — monitor; consider knowledge article if recurring. Recent uptick observed.</w:t>
            </w:r>
          </w:p>
        </w:tc>
      </w:tr>
      <w:tr>
        <w:tc>
          <w:tcPr>
            <w:tcW w:type="dxa" w:w="846"/>
          </w:tcPr>
          <w:p>
            <w:r>
              <w:t>Reporting &amp; Analytics / Reporting</w:t>
            </w:r>
          </w:p>
        </w:tc>
        <w:tc>
          <w:tcPr>
            <w:tcW w:type="dxa" w:w="5103"/>
          </w:tcPr>
          <w:p>
            <w:r>
              <w:t>5</w:t>
            </w:r>
          </w:p>
        </w:tc>
        <w:tc>
          <w:tcPr>
            <w:tcW w:type="dxa" w:w="2132"/>
          </w:tcPr>
          <w:p>
            <w:r>
              <w:t>3</w:t>
            </w:r>
          </w:p>
        </w:tc>
        <w:tc>
          <w:tcPr>
            <w:tcW w:type="dxa" w:w="2133"/>
          </w:tcPr>
          <w:p>
            <w:r>
              <w:t>Low volume — monitor; consider knowledge article if recurring. Recent uptick observed.</w:t>
            </w:r>
          </w:p>
        </w:tc>
      </w:tr>
      <w:tr>
        <w:tc>
          <w:tcPr>
            <w:tcW w:type="dxa" w:w="846"/>
          </w:tcPr>
          <w:p>
            <w:r>
              <w:t>Performance &amp; Availability / Performance</w:t>
            </w:r>
          </w:p>
        </w:tc>
        <w:tc>
          <w:tcPr>
            <w:tcW w:type="dxa" w:w="5103"/>
          </w:tcPr>
          <w:p>
            <w:r>
              <w:t>2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User Guidance &amp; Training / Training</w:t>
            </w:r>
          </w:p>
        </w:tc>
        <w:tc>
          <w:tcPr>
            <w:tcW w:type="dxa" w:w="5103"/>
          </w:tcPr>
          <w:p>
            <w:r>
              <w:t>2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Notifications &amp; Communications / Alerts</w:t>
            </w:r>
          </w:p>
        </w:tc>
        <w:tc>
          <w:tcPr>
            <w:tcW w:type="dxa" w:w="5103"/>
          </w:tcPr>
          <w:p>
            <w:r>
              <w:t>2</w:t>
            </w:r>
          </w:p>
        </w:tc>
        <w:tc>
          <w:tcPr>
            <w:tcW w:type="dxa" w:w="2132"/>
          </w:tcPr>
          <w:p>
            <w:r>
              <w:t>1</w:t>
            </w:r>
          </w:p>
        </w:tc>
        <w:tc>
          <w:tcPr>
            <w:tcW w:type="dxa" w:w="2133"/>
          </w:tcPr>
          <w:p>
            <w:r>
              <w:t>Low volume — monitor; consider knowledge article if recurring. Recent uptick observed.</w:t>
            </w:r>
          </w:p>
        </w:tc>
      </w:tr>
      <w:tr>
        <w:tc>
          <w:tcPr>
            <w:tcW w:type="dxa" w:w="846"/>
          </w:tcPr>
          <w:p>
            <w:r>
              <w:t>Service Requests / Information Request</w:t>
            </w:r>
          </w:p>
        </w:tc>
        <w:tc>
          <w:tcPr>
            <w:tcW w:type="dxa" w:w="5103"/>
          </w:tcPr>
          <w:p>
            <w:r>
              <w:t>1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Defects &amp; Errors / Error Messages</w:t>
            </w:r>
          </w:p>
        </w:tc>
        <w:tc>
          <w:tcPr>
            <w:tcW w:type="dxa" w:w="5103"/>
          </w:tcPr>
          <w:p>
            <w:r>
              <w:t>1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Notifications &amp; Communications / Subscription</w:t>
            </w:r>
          </w:p>
        </w:tc>
        <w:tc>
          <w:tcPr>
            <w:tcW w:type="dxa" w:w="5103"/>
          </w:tcPr>
          <w:p>
            <w:r>
              <w:t>1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Data Management / Data Recovery</w:t>
            </w:r>
          </w:p>
        </w:tc>
        <w:tc>
          <w:tcPr>
            <w:tcW w:type="dxa" w:w="5103"/>
          </w:tcPr>
          <w:p>
            <w:r>
              <w:t>1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Reporting &amp; Analytics / Analytics</w:t>
            </w:r>
          </w:p>
        </w:tc>
        <w:tc>
          <w:tcPr>
            <w:tcW w:type="dxa" w:w="5103"/>
          </w:tcPr>
          <w:p>
            <w:r>
              <w:t>1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Reporting &amp; Analytics / Dashboard</w:t>
            </w:r>
          </w:p>
        </w:tc>
        <w:tc>
          <w:tcPr>
            <w:tcW w:type="dxa" w:w="5103"/>
          </w:tcPr>
          <w:p>
            <w:r>
              <w:t>1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Access &amp; Security / User Access</w:t>
            </w:r>
          </w:p>
        </w:tc>
        <w:tc>
          <w:tcPr>
            <w:tcW w:type="dxa" w:w="5103"/>
          </w:tcPr>
          <w:p>
            <w:r>
              <w:t>1</w:t>
            </w:r>
          </w:p>
        </w:tc>
        <w:tc>
          <w:tcPr>
            <w:tcW w:type="dxa" w:w="2132"/>
          </w:tcPr>
          <w:p>
            <w:r>
              <w:t>1</w:t>
            </w:r>
          </w:p>
        </w:tc>
        <w:tc>
          <w:tcPr>
            <w:tcW w:type="dxa" w:w="2133"/>
          </w:tcPr>
          <w:p>
            <w:r>
              <w:t>Low volume — monitor; consider knowledge article if recurring. Recent uptick observed.</w:t>
            </w:r>
          </w:p>
        </w:tc>
      </w:tr>
    </w:tbl>
    <w:p w14:paraId="4582006C" w14:textId="77777777" w:rsidR="00DD4983" w:rsidRDefault="00000000">
      <w:r>
        <w:rPr>
          <w:b/>
        </w:rPr>
        <w:t xml:space="preserve">Management observation: </w:t>
      </w:r>
      <w:r>
        <w:t>Account concentration should be used for service review context only. The export does not include deployment scale, module footprint, contractual scope, number of users, site complexity, or customer reporting behaviour.</w:t>
      </w:r>
    </w:p>
    <w:p w14:paraId="1A9BFFA2" w14:textId="77777777" w:rsidR="00DD4983" w:rsidRDefault="00000000">
      <w:pPr>
        <w:pStyle w:val="Heading1"/>
      </w:pPr>
      <w:r>
        <w:t>Recommended management actions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4684"/>
        <w:gridCol w:w="4684"/>
      </w:tblGrid>
      <w:tr w:rsidR="00DD4983" w14:paraId="774EFABD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C7B24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468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BF9F4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Recommendation</w:t>
            </w:r>
          </w:p>
        </w:tc>
        <w:tc>
          <w:tcPr>
            <w:tcW w:w="468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ABD8E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846"/>
          </w:tcPr>
          <w:p>
            <w:r>
              <w:t>1</w:t>
            </w:r>
          </w:p>
        </w:tc>
        <w:tc>
          <w:tcPr>
            <w:tcW w:type="dxa" w:w="4684"/>
          </w:tcPr>
          <w:p>
            <w:r>
              <w:t>Mid Yorkshire Teaching NHS Trust</w:t>
            </w:r>
          </w:p>
        </w:tc>
        <w:tc>
          <w:tcPr>
            <w:tcW w:type="dxa" w:w="4684"/>
          </w:tcPr>
          <w:p>
            <w:r>
              <w:t>29</w:t>
            </w:r>
          </w:p>
        </w:tc>
      </w:tr>
      <w:tr>
        <w:tc>
          <w:tcPr>
            <w:tcW w:type="dxa" w:w="846"/>
          </w:tcPr>
          <w:p>
            <w:r>
              <w:t>2</w:t>
            </w:r>
          </w:p>
        </w:tc>
        <w:tc>
          <w:tcPr>
            <w:tcW w:type="dxa" w:w="4684"/>
          </w:tcPr>
          <w:p>
            <w:r>
              <w:t>North West Anglia NHS Foundation Trust</w:t>
            </w:r>
          </w:p>
        </w:tc>
        <w:tc>
          <w:tcPr>
            <w:tcW w:type="dxa" w:w="4684"/>
          </w:tcPr>
          <w:p>
            <w:r>
              <w:t>21</w:t>
            </w:r>
          </w:p>
        </w:tc>
      </w:tr>
      <w:tr>
        <w:tc>
          <w:tcPr>
            <w:tcW w:type="dxa" w:w="846"/>
          </w:tcPr>
          <w:p>
            <w:r>
              <w:t>3</w:t>
            </w:r>
          </w:p>
        </w:tc>
        <w:tc>
          <w:tcPr>
            <w:tcW w:type="dxa" w:w="4684"/>
          </w:tcPr>
          <w:p>
            <w:r>
              <w:t>North Cumbria Integrated Care NHS Foundation Trust</w:t>
            </w:r>
          </w:p>
        </w:tc>
        <w:tc>
          <w:tcPr>
            <w:tcW w:type="dxa" w:w="4684"/>
          </w:tcPr>
          <w:p>
            <w:r>
              <w:t>19</w:t>
            </w:r>
          </w:p>
        </w:tc>
      </w:tr>
      <w:tr>
        <w:tc>
          <w:tcPr>
            <w:tcW w:type="dxa" w:w="846"/>
          </w:tcPr>
          <w:p>
            <w:r>
              <w:t>4</w:t>
            </w:r>
          </w:p>
        </w:tc>
        <w:tc>
          <w:tcPr>
            <w:tcW w:type="dxa" w:w="4684"/>
          </w:tcPr>
          <w:p>
            <w:r>
              <w:t>Health Service Executive</w:t>
            </w:r>
          </w:p>
        </w:tc>
        <w:tc>
          <w:tcPr>
            <w:tcW w:type="dxa" w:w="4684"/>
          </w:tcPr>
          <w:p>
            <w:r>
              <w:t>18</w:t>
            </w:r>
          </w:p>
        </w:tc>
      </w:tr>
      <w:tr>
        <w:tc>
          <w:tcPr>
            <w:tcW w:type="dxa" w:w="846"/>
          </w:tcPr>
          <w:p>
            <w:r>
              <w:t>5</w:t>
            </w:r>
          </w:p>
        </w:tc>
        <w:tc>
          <w:tcPr>
            <w:tcW w:type="dxa" w:w="4684"/>
          </w:tcPr>
          <w:p>
            <w:r>
              <w:t>Isle Of Wight NHS Trust</w:t>
            </w:r>
          </w:p>
        </w:tc>
        <w:tc>
          <w:tcPr>
            <w:tcW w:type="dxa" w:w="4684"/>
          </w:tcPr>
          <w:p>
            <w:r>
              <w:t>17</w:t>
            </w:r>
          </w:p>
        </w:tc>
      </w:tr>
      <w:tr>
        <w:tc>
          <w:tcPr>
            <w:tcW w:type="dxa" w:w="846"/>
          </w:tcPr>
          <w:p>
            <w:r>
              <w:t>6</w:t>
            </w:r>
          </w:p>
        </w:tc>
        <w:tc>
          <w:tcPr>
            <w:tcW w:type="dxa" w:w="4684"/>
          </w:tcPr>
          <w:p>
            <w:r>
              <w:t>Doncaster and Bassetlaw Teaching Hospitals NHS Foundation Trust</w:t>
            </w:r>
          </w:p>
        </w:tc>
        <w:tc>
          <w:tcPr>
            <w:tcW w:type="dxa" w:w="4684"/>
          </w:tcPr>
          <w:p>
            <w:r>
              <w:t>14</w:t>
            </w:r>
          </w:p>
        </w:tc>
      </w:tr>
      <w:tr>
        <w:tc>
          <w:tcPr>
            <w:tcW w:type="dxa" w:w="846"/>
          </w:tcPr>
          <w:p>
            <w:r>
              <w:t>7</w:t>
            </w:r>
          </w:p>
        </w:tc>
        <w:tc>
          <w:tcPr>
            <w:tcW w:type="dxa" w:w="4684"/>
          </w:tcPr>
          <w:p>
            <w:r>
              <w:t>Betsi Cadwaladr University Healthboard</w:t>
            </w:r>
          </w:p>
        </w:tc>
        <w:tc>
          <w:tcPr>
            <w:tcW w:type="dxa" w:w="4684"/>
          </w:tcPr>
          <w:p>
            <w:r>
              <w:t>14</w:t>
            </w:r>
          </w:p>
        </w:tc>
      </w:tr>
      <w:tr>
        <w:tc>
          <w:tcPr>
            <w:tcW w:type="dxa" w:w="846"/>
          </w:tcPr>
          <w:p>
            <w:r>
              <w:t>8</w:t>
            </w:r>
          </w:p>
        </w:tc>
        <w:tc>
          <w:tcPr>
            <w:tcW w:type="dxa" w:w="4684"/>
          </w:tcPr>
          <w:p>
            <w:r>
              <w:t>Aneurin Bevan University Healthboard</w:t>
            </w:r>
          </w:p>
        </w:tc>
        <w:tc>
          <w:tcPr>
            <w:tcW w:type="dxa" w:w="4684"/>
          </w:tcPr>
          <w:p>
            <w:r>
              <w:t>13</w:t>
            </w:r>
          </w:p>
        </w:tc>
      </w:tr>
      <w:tr>
        <w:tc>
          <w:tcPr>
            <w:tcW w:type="dxa" w:w="846"/>
          </w:tcPr>
          <w:p>
            <w:r>
              <w:t>9</w:t>
            </w:r>
          </w:p>
        </w:tc>
        <w:tc>
          <w:tcPr>
            <w:tcW w:type="dxa" w:w="4684"/>
          </w:tcPr>
          <w:p>
            <w:r>
              <w:t>Leeds Teaching Hospitals NHS Trust</w:t>
            </w:r>
          </w:p>
        </w:tc>
        <w:tc>
          <w:tcPr>
            <w:tcW w:type="dxa" w:w="4684"/>
          </w:tcPr>
          <w:p>
            <w:r>
              <w:t>12</w:t>
            </w:r>
          </w:p>
        </w:tc>
      </w:tr>
      <w:tr>
        <w:tc>
          <w:tcPr>
            <w:tcW w:type="dxa" w:w="846"/>
          </w:tcPr>
          <w:p>
            <w:r>
              <w:t>10</w:t>
            </w:r>
          </w:p>
        </w:tc>
        <w:tc>
          <w:tcPr>
            <w:tcW w:type="dxa" w:w="4684"/>
          </w:tcPr>
          <w:p>
            <w:r>
              <w:t>Luton And Dunstable Hospital NHS Foundation Trust</w:t>
            </w:r>
          </w:p>
        </w:tc>
        <w:tc>
          <w:tcPr>
            <w:tcW w:type="dxa" w:w="4684"/>
          </w:tcPr>
          <w:p>
            <w:r>
              <w:t>12</w:t>
            </w:r>
          </w:p>
        </w:tc>
      </w:tr>
    </w:tbl>
    <w:p w14:paraId="3FF1F0E2" w14:textId="1307D852" w:rsidR="00DD4983" w:rsidRDefault="00000000">
      <w:pPr>
        <w:pStyle w:val="Heading1"/>
      </w:pPr>
      <w:r>
        <w:t>Appendix:</w:t>
      </w:r>
    </w:p>
    <w:p>
      <w:r>
        <w:t>Appendix — Methods and Caveats</w:t>
        <w:br/>
        <w:br/>
        <w:t>Method: The report uses Symphony case exports merged with SLA durations on case number. Date parsing assumes day-first format. Time-to-resolution (TTR) is calculated as Resolved Date minus Created Date; open age uses the report generation time as reference. Trend classification used keyword matching against templates/Trends.txt with three additional authorised categories added during processing.</w:t>
        <w:br/>
        <w:br/>
        <w:t>Caveats: The merge preserved all cases from the primary case export and aligned SLA seconds where available; some cases lack SLA rows and some descriptions contain embedded line breaks which may affect automated token matching. 52 cases remain unclassified after automated passes. Durations are shown as "[DD] days, [HH] hrs, [MI] mins" with zero components suppressed.</w:t>
        <w:br/>
        <w:br/>
        <w:t>Privacy: No patient-identifiable data is included in outputs. Aggregate metrics only.</w:t>
        <w:br/>
        <w:br/>
        <w:t>If you require changes to classification rules, date range, or unresolved definition, request a rerun with updated parameters.</w:t>
      </w:r>
    </w:p>
    <w:sectPr w:rsidR="00DD4983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D0BEC" w14:textId="77777777" w:rsidR="00902A48" w:rsidRDefault="00902A48">
      <w:pPr>
        <w:spacing w:after="0" w:line="240" w:lineRule="auto"/>
      </w:pPr>
      <w:r>
        <w:separator/>
      </w:r>
    </w:p>
  </w:endnote>
  <w:endnote w:type="continuationSeparator" w:id="0">
    <w:p w14:paraId="0804F26C" w14:textId="77777777" w:rsidR="00902A48" w:rsidRDefault="00902A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515CE" w14:textId="78410D0C" w:rsidR="00DD4983" w:rsidRDefault="00000000">
    <w:pPr>
      <w:pStyle w:val="Footer"/>
      <w:jc w:val="center"/>
    </w:pPr>
    <w:r>
      <w:rPr>
        <w:color w:val="646464"/>
        <w:sz w:val="16"/>
      </w:rPr>
      <w:t>Management summary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5ADCC" w14:textId="77777777" w:rsidR="00902A48" w:rsidRDefault="00902A48">
      <w:pPr>
        <w:spacing w:after="0" w:line="240" w:lineRule="auto"/>
      </w:pPr>
      <w:r>
        <w:separator/>
      </w:r>
    </w:p>
  </w:footnote>
  <w:footnote w:type="continuationSeparator" w:id="0">
    <w:p w14:paraId="775E1A6C" w14:textId="77777777" w:rsidR="00902A48" w:rsidRDefault="00902A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DC05B" w14:textId="77777777" w:rsidR="00DD4983" w:rsidRDefault="00000000">
    <w:pPr>
      <w:pStyle w:val="Header"/>
      <w:jc w:val="right"/>
    </w:pPr>
    <w:r>
      <w:rPr>
        <w:color w:val="646464"/>
        <w:sz w:val="16"/>
      </w:rPr>
      <w:t>Symphony Case Trend Report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DoIgsGu46oCjI" int2:id="nA3wDgHd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8654392">
    <w:abstractNumId w:val="8"/>
  </w:num>
  <w:num w:numId="2" w16cid:durableId="2079280656">
    <w:abstractNumId w:val="6"/>
  </w:num>
  <w:num w:numId="3" w16cid:durableId="1273708883">
    <w:abstractNumId w:val="5"/>
  </w:num>
  <w:num w:numId="4" w16cid:durableId="1287004408">
    <w:abstractNumId w:val="4"/>
  </w:num>
  <w:num w:numId="5" w16cid:durableId="2108770161">
    <w:abstractNumId w:val="7"/>
  </w:num>
  <w:num w:numId="6" w16cid:durableId="1936480709">
    <w:abstractNumId w:val="3"/>
  </w:num>
  <w:num w:numId="7" w16cid:durableId="2115398045">
    <w:abstractNumId w:val="2"/>
  </w:num>
  <w:num w:numId="8" w16cid:durableId="629288634">
    <w:abstractNumId w:val="1"/>
  </w:num>
  <w:num w:numId="9" w16cid:durableId="1972902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3100"/>
    <w:rsid w:val="0015074B"/>
    <w:rsid w:val="0029639D"/>
    <w:rsid w:val="00326F90"/>
    <w:rsid w:val="00555225"/>
    <w:rsid w:val="005B1FEF"/>
    <w:rsid w:val="00626666"/>
    <w:rsid w:val="006D745A"/>
    <w:rsid w:val="008B232E"/>
    <w:rsid w:val="00902A48"/>
    <w:rsid w:val="00A00B97"/>
    <w:rsid w:val="00AA1D8D"/>
    <w:rsid w:val="00B47730"/>
    <w:rsid w:val="00B66AE7"/>
    <w:rsid w:val="00C77774"/>
    <w:rsid w:val="00CB0664"/>
    <w:rsid w:val="00D82DA8"/>
    <w:rsid w:val="00DD4983"/>
    <w:rsid w:val="00E95624"/>
    <w:rsid w:val="00FC693F"/>
    <w:rsid w:val="00FE09BA"/>
    <w:rsid w:val="66434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3FF44DF-731C-45B3-B8B7-1C2F09035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53D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153D6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307</Words>
  <Characters>1899</Characters>
  <Application>Microsoft Office Word</Application>
  <DocSecurity>0</DocSecurity>
  <Lines>271</Lines>
  <Paragraphs>84</Paragraphs>
  <ScaleCrop>false</ScaleCrop>
  <Manager/>
  <Company/>
  <LinksUpToDate>false</LinksUpToDate>
  <CharactersWithSpaces>2122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Booth</dc:creator>
  <cp:keywords/>
  <dc:description>generated by python-docx</dc:description>
  <cp:lastModifiedBy>Lee Booth</cp:lastModifiedBy>
  <cp:revision>6</cp:revision>
  <dcterms:created xsi:type="dcterms:W3CDTF">2026-07-29T15:48:00Z</dcterms:created>
  <dcterms:modified xsi:type="dcterms:W3CDTF">2026-07-29T23:50:00Z</dcterms:modified>
  <cp:category/>
</cp:coreProperties>
</file>