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07263D7D" w:rsidR="00DD4983" w:rsidRDefault="001D585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OCM</w:t>
      </w:r>
      <w:r w:rsidR="00000000">
        <w:rPr>
          <w:rFonts w:ascii="Aptos Display" w:hAnsi="Aptos Display"/>
          <w:b/>
          <w:color w:val="153D64"/>
          <w:sz w:val="52"/>
        </w:rPr>
        <w:t xml:space="preserve">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Source files: Meds_Cases_Last_12-Months.csv, Meds_Lock_Cases_Last_12-Months.csv, Meds_Merge_Cases_Last_12-Months.csv, Meds_Robot_Cases_Last_12-Months.csv, Meds_SLA_Last_12-Months.csv, merged on case number. Derived dataset: Merged_Cases_With_SLA_Formatted.csv. Report generated: 2026-08-03 15:05:13.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2912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166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1 days, 3 hrs, 57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This report covers 2912 Symphony cases. The data window is 01/07/2025 - 30/07/2026. Demand concentration: highest-volume theme is 'Other' (see Trend Distribution). Primary service metric: median time to resolution is 1 days, 3 hrs, 57 mins, with P90 of 28 days, 1 hrs, 1 mins. Current backlog: 260 unresolved cases; median open age 32 days, 6 hrs, 11 mins, P90 216 days, 18 hrs, 56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4"/>
          </w:tcPr>
          <w:p>
            <w:r>
              <w:t>Total cases analysed</w:t>
            </w:r>
          </w:p>
        </w:tc>
        <w:tc>
          <w:tcPr>
            <w:tcW w:type="dxa" w:w="3405"/>
          </w:tcPr>
          <w:p>
            <w:r>
              <w:t>2912</w:t>
            </w:r>
          </w:p>
        </w:tc>
        <w:tc>
          <w:tcPr>
            <w:tcW w:type="dxa" w:w="3405"/>
          </w:tcPr>
          <w:p>
            <w:r>
              <w:t>As counted in merged dataset</w:t>
            </w:r>
          </w:p>
        </w:tc>
      </w:tr>
      <w:tr>
        <w:tc>
          <w:tcPr>
            <w:tcW w:type="dxa" w:w="3404"/>
          </w:tcPr>
          <w:p>
            <w:r>
              <w:t>Created date range</w:t>
            </w:r>
          </w:p>
        </w:tc>
        <w:tc>
          <w:tcPr>
            <w:tcW w:type="dxa" w:w="3405"/>
          </w:tcPr>
          <w:p>
            <w:r>
              <w:t>01/07/2025 - 30/07/2026</w:t>
            </w:r>
          </w:p>
        </w:tc>
        <w:tc>
          <w:tcPr>
            <w:tcW w:type="dxa" w:w="3405"/>
          </w:tcPr>
          <w:p>
            <w:r>
              <w:t>Date range of case creation (sys_created_on).</w:t>
            </w:r>
          </w:p>
        </w:tc>
      </w:tr>
      <w:tr>
        <w:tc>
          <w:tcPr>
            <w:tcW w:type="dxa" w:w="3404"/>
          </w:tcPr>
          <w:p>
            <w:r>
              <w:t>Current unresolved cases</w:t>
            </w:r>
          </w:p>
        </w:tc>
        <w:tc>
          <w:tcPr>
            <w:tcW w:type="dxa" w:w="3405"/>
          </w:tcPr>
          <w:p>
            <w:r>
              <w:t>260</w:t>
            </w:r>
          </w:p>
        </w:tc>
        <w:tc>
          <w:tcPr>
            <w:tcW w:type="dxa" w:w="3405"/>
          </w:tcPr>
          <w:p>
            <w:r>
              <w:t>Cases without a resolved date (resolved_at empty). Includes any non-Closed states.</w:t>
            </w:r>
          </w:p>
        </w:tc>
      </w:tr>
      <w:tr>
        <w:tc>
          <w:tcPr>
            <w:tcW w:type="dxa" w:w="3404"/>
          </w:tcPr>
          <w:p>
            <w:r>
              <w:t>Median open age</w:t>
            </w:r>
          </w:p>
        </w:tc>
        <w:tc>
          <w:tcPr>
            <w:tcW w:type="dxa" w:w="3405"/>
          </w:tcPr>
          <w:p>
            <w:r>
              <w:t>32 days, 6 hrs, 11 mins</w:t>
            </w:r>
          </w:p>
        </w:tc>
        <w:tc>
          <w:tcPr>
            <w:tcW w:type="dxa" w:w="3405"/>
          </w:tcPr>
          <w:p>
            <w:r>
              <w:t>Median age for currently unresolved cases: duration since creation.</w:t>
            </w:r>
          </w:p>
        </w:tc>
      </w:tr>
      <w:tr>
        <w:tc>
          <w:tcPr>
            <w:tcW w:type="dxa" w:w="3404"/>
          </w:tcPr>
          <w:p>
            <w:r>
              <w:t>90th percentile open age</w:t>
            </w:r>
          </w:p>
        </w:tc>
        <w:tc>
          <w:tcPr>
            <w:tcW w:type="dxa" w:w="3405"/>
          </w:tcPr>
          <w:p>
            <w:r>
              <w:t>216 days, 18 hrs, 56 mins</w:t>
            </w:r>
          </w:p>
        </w:tc>
        <w:tc>
          <w:tcPr>
            <w:tcW w:type="dxa" w:w="3405"/>
          </w:tcPr>
          <w:p>
            <w:r>
              <w:t>P90 age for currently unresolved cases.</w:t>
            </w:r>
          </w:p>
        </w:tc>
      </w:tr>
      <w:tr>
        <w:tc>
          <w:tcPr>
            <w:tcW w:type="dxa" w:w="3404"/>
          </w:tcPr>
          <w:p>
            <w:r>
              <w:t>Resolved/closed with resolution date</w:t>
            </w:r>
          </w:p>
        </w:tc>
        <w:tc>
          <w:tcPr>
            <w:tcW w:type="dxa" w:w="3405"/>
          </w:tcPr>
          <w:p>
            <w:r>
              <w:t>2652</w:t>
            </w:r>
          </w:p>
        </w:tc>
        <w:tc>
          <w:tcPr>
            <w:tcW w:type="dxa" w:w="3405"/>
          </w:tcPr>
          <w:p>
            <w:r>
              <w:t>Count of cases with a resolved date present.</w:t>
            </w:r>
          </w:p>
        </w:tc>
      </w:tr>
      <w:tr>
        <w:tc>
          <w:tcPr>
            <w:tcW w:type="dxa" w:w="3404"/>
          </w:tcPr>
          <w:p>
            <w:r>
              <w:t>Median resolution duration</w:t>
            </w:r>
          </w:p>
        </w:tc>
        <w:tc>
          <w:tcPr>
            <w:tcW w:type="dxa" w:w="3405"/>
          </w:tcPr>
          <w:p>
            <w:r>
              <w:t>1 days, 3 hrs, 57 mins</w:t>
            </w:r>
          </w:p>
        </w:tc>
        <w:tc>
          <w:tcPr>
            <w:tcW w:type="dxa" w:w="3405"/>
          </w:tcPr>
          <w:p>
            <w:r>
              <w:t>Median time-to-resolution for resolved cases (Created -&gt; Resolved).</w:t>
            </w:r>
          </w:p>
        </w:tc>
      </w:tr>
      <w:tr>
        <w:tc>
          <w:tcPr>
            <w:tcW w:type="dxa" w:w="3404"/>
          </w:tcPr>
          <w:p>
            <w:r>
              <w:t>90th percentile resolution duration</w:t>
            </w:r>
          </w:p>
        </w:tc>
        <w:tc>
          <w:tcPr>
            <w:tcW w:type="dxa" w:w="3405"/>
          </w:tcPr>
          <w:p>
            <w:r>
              <w:t>28 days, 1 hrs, 1 mins</w:t>
            </w:r>
          </w:p>
        </w:tc>
        <w:tc>
          <w:tcPr>
            <w:tcW w:type="dxa" w:w="3405"/>
          </w:tcPr>
          <w:p>
            <w:r>
              <w:t>P90 time-to-resolution for resolved cases.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Core Pharmacy</w:t>
            </w:r>
          </w:p>
        </w:tc>
        <w:tc>
          <w:tcPr>
            <w:tcW w:type="dxa" w:w="1005"/>
          </w:tcPr>
          <w:p>
            <w:r>
              <w:t>1776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ePMA</w:t>
            </w:r>
          </w:p>
        </w:tc>
        <w:tc>
          <w:tcPr>
            <w:tcW w:type="dxa" w:w="1005"/>
          </w:tcPr>
          <w:p>
            <w:r>
              <w:t>513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Pharmacy Support</w:t>
            </w:r>
          </w:p>
        </w:tc>
        <w:tc>
          <w:tcPr>
            <w:tcW w:type="dxa" w:w="1005"/>
          </w:tcPr>
          <w:p>
            <w:r>
              <w:t>110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Bundle - ePMA Medium Organisation</w:t>
            </w:r>
          </w:p>
        </w:tc>
        <w:tc>
          <w:tcPr>
            <w:tcW w:type="dxa" w:w="1005"/>
          </w:tcPr>
          <w:p>
            <w:r>
              <w:t>88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Electronic Medicines Management (eMM)</w:t>
            </w:r>
          </w:p>
        </w:tc>
        <w:tc>
          <w:tcPr>
            <w:tcW w:type="dxa" w:w="1005"/>
          </w:tcPr>
          <w:p>
            <w:r>
              <w:t>83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Hospital Pharmacy</w:t>
            </w:r>
          </w:p>
        </w:tc>
        <w:tc>
          <w:tcPr>
            <w:tcW w:type="dxa" w:w="1005"/>
          </w:tcPr>
          <w:p>
            <w:r>
              <w:t>53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Decision Support Services (DSS)</w:t>
            </w:r>
          </w:p>
        </w:tc>
        <w:tc>
          <w:tcPr>
            <w:tcW w:type="dxa" w:w="1005"/>
          </w:tcPr>
          <w:p>
            <w:r>
              <w:t>46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DSS on the Web</w:t>
            </w:r>
          </w:p>
        </w:tc>
        <w:tc>
          <w:tcPr>
            <w:tcW w:type="dxa" w:w="1005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23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Manufacturing (CIVAS)</w:t>
            </w:r>
          </w:p>
        </w:tc>
        <w:tc>
          <w:tcPr>
            <w:tcW w:type="dxa" w:w="1005"/>
          </w:tcPr>
          <w:p>
            <w:r>
              <w:t>21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/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2479</w:t>
            </w:r>
          </w:p>
        </w:tc>
        <w:tc>
          <w:tcPr>
            <w:tcW w:type="dxa" w:w="2132"/>
          </w:tcPr>
          <w:p>
            <w:r>
              <w:t>362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169</w:t>
            </w:r>
          </w:p>
        </w:tc>
        <w:tc>
          <w:tcPr>
            <w:tcW w:type="dxa" w:w="2132"/>
          </w:tcPr>
          <w:p>
            <w:r>
              <w:t>19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94</w:t>
            </w:r>
          </w:p>
        </w:tc>
        <w:tc>
          <w:tcPr>
            <w:tcW w:type="dxa" w:w="2132"/>
          </w:tcPr>
          <w:p>
            <w:r>
              <w:t>14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74</w:t>
            </w:r>
          </w:p>
        </w:tc>
        <w:tc>
          <w:tcPr>
            <w:tcW w:type="dxa" w:w="2132"/>
          </w:tcPr>
          <w:p>
            <w:r>
              <w:t>25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25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18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17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Availability</w:t>
            </w:r>
          </w:p>
        </w:tc>
        <w:tc>
          <w:tcPr>
            <w:tcW w:type="dxa" w:w="5103"/>
          </w:tcPr>
          <w:p>
            <w:r>
              <w:t>12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Authentication</w:t>
            </w:r>
          </w:p>
        </w:tc>
        <w:tc>
          <w:tcPr>
            <w:tcW w:type="dxa" w:w="5103"/>
          </w:tcPr>
          <w:p>
            <w:r>
              <w:t>12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Quality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Configuration &amp; Administration / Configuration Change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Service Requests / Change Request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Configuration &amp; Administration / System Administration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Workflow &amp; Process / Workflow Issue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Security Concern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Berkshire Healthcare NHS Foundation Trust</w:t>
            </w:r>
          </w:p>
        </w:tc>
        <w:tc>
          <w:tcPr>
            <w:tcW w:type="dxa" w:w="4684"/>
          </w:tcPr>
          <w:p>
            <w:r>
              <w:t>341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United Lincolnshire Teaching Hospitals NHS Trust</w:t>
            </w:r>
          </w:p>
        </w:tc>
        <w:tc>
          <w:tcPr>
            <w:tcW w:type="dxa" w:w="4684"/>
          </w:tcPr>
          <w:p>
            <w:r>
              <w:t>161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Northern Care Alliance NHS Foundation Trust</w:t>
            </w:r>
          </w:p>
        </w:tc>
        <w:tc>
          <w:tcPr>
            <w:tcW w:type="dxa" w:w="4684"/>
          </w:tcPr>
          <w:p>
            <w:r>
              <w:t>161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Northern Lincolnshire And Goole NHS Foundation Trust</w:t>
            </w:r>
          </w:p>
        </w:tc>
        <w:tc>
          <w:tcPr>
            <w:tcW w:type="dxa" w:w="4684"/>
          </w:tcPr>
          <w:p>
            <w:r>
              <w:t>151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Midlands Partnership University NHS Foundation Trust</w:t>
            </w:r>
          </w:p>
        </w:tc>
        <w:tc>
          <w:tcPr>
            <w:tcW w:type="dxa" w:w="4684"/>
          </w:tcPr>
          <w:p>
            <w:r>
              <w:t>142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The Royal Wolverhampton NHS Trust</w:t>
            </w:r>
          </w:p>
        </w:tc>
        <w:tc>
          <w:tcPr>
            <w:tcW w:type="dxa" w:w="4684"/>
          </w:tcPr>
          <w:p>
            <w:r>
              <w:t>140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East Sussex Healthcare NHS Trust</w:t>
            </w:r>
          </w:p>
        </w:tc>
        <w:tc>
          <w:tcPr>
            <w:tcW w:type="dxa" w:w="4684"/>
          </w:tcPr>
          <w:p>
            <w:r>
              <w:t>121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Gloucestershire Hospitals NHS Foundation Trust</w:t>
            </w:r>
          </w:p>
        </w:tc>
        <w:tc>
          <w:tcPr>
            <w:tcW w:type="dxa" w:w="4684"/>
          </w:tcPr>
          <w:p>
            <w:r>
              <w:t>84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Essex Partnership University NHS Foundation Trust</w:t>
            </w:r>
          </w:p>
        </w:tc>
        <w:tc>
          <w:tcPr>
            <w:tcW w:type="dxa" w:w="4684"/>
          </w:tcPr>
          <w:p>
            <w:r>
              <w:t>81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Northumbria Healthcare NHS Foundation Trust</w:t>
            </w:r>
          </w:p>
        </w:tc>
        <w:tc>
          <w:tcPr>
            <w:tcW w:type="dxa" w:w="4684"/>
          </w:tcPr>
          <w:p>
            <w:r>
              <w:t>80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p>
      <w:r>
        <w:t>Appendix — Methods and Caveats</w:t>
        <w:br/>
        <w:br/>
        <w:t>Method: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  <w:br/>
        <w:br/>
        <w:t>Caveats: The merge preserved all cases from the primary case export and aligned SLA seconds where available; some cases lack SLA rows and some descriptions contain embedded line breaks which may affect automated token matching. 52 cases remain unclassified after automated passes. Durations are shown as "[DD] days, [HH] hrs, [MI] mins" with zero components suppressed.</w:t>
        <w:br/>
        <w:br/>
        <w:t>Privacy: No patient-identifiable data is included in outputs. Aggregate metrics only.</w:t>
        <w:br/>
        <w:br/>
        <w:t>If you require changes to classification rules, date range, or unresolved definition, request a rerun with updated parameters.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987" w14:textId="77777777" w:rsidR="00BF3D4C" w:rsidRDefault="00BF3D4C">
      <w:pPr>
        <w:spacing w:after="0" w:line="240" w:lineRule="auto"/>
      </w:pPr>
      <w:r>
        <w:separator/>
      </w:r>
    </w:p>
  </w:endnote>
  <w:endnote w:type="continuationSeparator" w:id="0">
    <w:p w14:paraId="5BD182F2" w14:textId="77777777" w:rsidR="00BF3D4C" w:rsidRDefault="00BF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5A1" w14:textId="77777777" w:rsidR="00BF3D4C" w:rsidRDefault="00BF3D4C">
      <w:pPr>
        <w:spacing w:after="0" w:line="240" w:lineRule="auto"/>
      </w:pPr>
      <w:r>
        <w:separator/>
      </w:r>
    </w:p>
  </w:footnote>
  <w:footnote w:type="continuationSeparator" w:id="0">
    <w:p w14:paraId="28EA299C" w14:textId="77777777" w:rsidR="00BF3D4C" w:rsidRDefault="00BF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0D7E85"/>
    <w:rsid w:val="0015074B"/>
    <w:rsid w:val="001D5850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BF3D4C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328</Words>
  <Characters>1873</Characters>
  <Application>Microsoft Office Word</Application>
  <DocSecurity>0</DocSecurity>
  <Lines>15</Lines>
  <Paragraphs>4</Paragraphs>
  <ScaleCrop>false</ScaleCrop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7</cp:revision>
  <dcterms:created xsi:type="dcterms:W3CDTF">2026-07-29T15:48:00Z</dcterms:created>
  <dcterms:modified xsi:type="dcterms:W3CDTF">2026-07-30T09:20:00Z</dcterms:modified>
  <cp:category/>
</cp:coreProperties>
</file>