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Trabajo Práctico Final, Parte 1</w:t>
      </w:r>
    </w:p>
    <w:p>
      <w:pPr>
        <w:pStyle w:val="Subtitle"/>
      </w:pPr>
      <w:r>
        <w:t xml:space="preserve">Diagnóstico gerencial de Dulxelitos</w:t>
      </w:r>
    </w:p>
    <w:p>
      <w:pPr>
        <w:pStyle w:val="Author"/>
      </w:pPr>
      <w:r>
        <w:t xml:space="preserve">Universidad Tecnológica Nacional, Facultad Regional San Rafael</w:t>
      </w:r>
    </w:p>
    <w:p>
      <w:pPr>
        <w:pStyle w:val="Author"/>
      </w:pPr>
      <w:r>
        <w:t xml:space="preserve">Ingeniería en Sistemas de Información, Plan 2026</w:t>
      </w:r>
    </w:p>
    <w:p>
      <w:pPr>
        <w:pStyle w:val="Author"/>
      </w:pPr>
      <w:r>
        <w:t xml:space="preserve">Cátedra: Gestión Gerencial, quinto año</w:t>
      </w:r>
    </w:p>
    <w:p>
      <w:pPr>
        <w:pStyle w:val="Author"/>
      </w:pPr>
      <w:r>
        <w:t xml:space="preserve">Docentes: Ing. Jeremías Pino e Ing. Martín Noguerol</w:t>
      </w:r>
    </w:p>
    <w:p>
      <w:pPr>
        <w:pStyle w:val="Author"/>
      </w:pPr>
      <w:r>
        <w:t xml:space="preserve">Organización analizada: Dulxelitos, San Rafael, Mendoza, desde 1973</w:t>
      </w:r>
    </w:p>
    <w:p>
      <w:pPr>
        <w:pStyle w:val="Author"/>
      </w:pPr>
      <w:r>
        <w:t xml:space="preserve">Integrantes: (completar con apellido y nombre de cada integrante)</w:t>
      </w:r>
    </w:p>
    <w:p>
      <w:pPr>
        <w:pStyle w:val="Date"/>
      </w:pPr>
      <w:r>
        <w:t xml:space="preserve">20/09/2026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aplicando PESTEL, las cinco fuerzas de Porter, la cadena de valor y un FODA cruzado,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aplicamos en cada sección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1" w:name="el-contexto"/>
    <w:p>
      <w:pPr>
        <w:pStyle w:val="Heading1"/>
      </w:pPr>
      <w:r>
        <w:t xml:space="preserve">2. El contexto</w:t>
      </w:r>
    </w:p>
    <w:p>
      <w:pPr>
        <w:pStyle w:val="FirstParagraph"/>
      </w:pPr>
      <w:r>
        <w:t xml:space="preserve">Para esta parte usamos cuatro herramientas de las que vimos en clase: PESTEL para mirar el entorno general, las cinco fuerzas de Porter para el sector, la cadena de valor para lo que pasa adentro y el FODA cruzado para sacar conclusiones. Las aplicamos en ese orden a propósito, porque cada una alimenta a la siguiente. Las oportunidades y amenazas del FODA salen del PESTEL y de Porter, y las fortalezas y debilidades salen de la cadena de valor.</w:t>
      </w:r>
    </w:p>
    <w:bookmarkStart w:id="18" w:name="pestel"/>
    <w:p>
      <w:pPr>
        <w:pStyle w:val="Heading2"/>
      </w:pPr>
      <w:r>
        <w:t xml:space="preserve">2.1 PESTEL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Qué vemos</w:t>
            </w:r>
          </w:p>
        </w:tc>
        <w:tc>
          <w:tcPr/>
          <w:p>
            <w:pPr>
              <w:pStyle w:val="Compact"/>
            </w:pPr>
            <w:r>
              <w:t xml:space="preserve">Qué implica</w:t>
            </w:r>
          </w:p>
        </w:tc>
      </w:tr>
      <w:tr>
        <w:tc>
          <w:tcPr/>
          <w:p>
            <w:pPr>
              <w:pStyle w:val="Compact"/>
            </w:pPr>
            <w:r>
              <w:t xml:space="preserve">Político y legal</w:t>
            </w:r>
          </w:p>
        </w:tc>
        <w:tc>
          <w:tcPr/>
          <w:p>
            <w:pPr>
              <w:pStyle w:val="Compact"/>
            </w:pPr>
            <w:r>
              <w:t xml:space="preserve">Tienen la habilitación bromatológica y los registros RNE y RNPA al día. Les preguntamos si alguna regulación o control les complicó algo últimamente y nos dijeron que no, nada</w:t>
            </w:r>
          </w:p>
        </w:tc>
        <w:tc>
          <w:tcPr/>
          <w:p>
            <w:pPr>
              <w:pStyle w:val="Compact"/>
            </w:pPr>
            <w:r>
              <w:t xml:space="preserve">La regulación hoy les juega a favor más que en contra. Les permite mover mercadería entre provincias y entrar a un supermercado, y de paso deja afuera a cualquiera que quiera competir de manera informal</w:t>
            </w:r>
          </w:p>
        </w:tc>
      </w:tr>
      <w:tr>
        <w:tc>
          <w:tcPr/>
          <w:p>
            <w:pPr>
              <w:pStyle w:val="Compact"/>
            </w:pPr>
            <w:r>
              <w:t xml:space="preserve">Económico</w:t>
            </w:r>
          </w:p>
        </w:tc>
        <w:tc>
          <w:tcPr/>
          <w:p>
            <w:pPr>
              <w:pStyle w:val="Compact"/>
            </w:pPr>
            <w:r>
              <w:t xml:space="preserve">La inflación pega sobre materia prima y packaging. Los insumos que más se movieron el último año fueron las papas fritas y el conito. Cobran a cuenta corriente a unos 30 días y con cheques diferidos</w:t>
            </w:r>
          </w:p>
        </w:tc>
        <w:tc>
          <w:tcPr/>
          <w:p>
            <w:pPr>
              <w:pStyle w:val="Compact"/>
            </w:pPr>
            <w:r>
              <w:t xml:space="preserve">Presión directa sobre el margen, en una empresa cuya única ventaja es el precio. Encima el costo financiero de los 30 días se suma a un costo de producto que no conocen bien</w:t>
            </w:r>
          </w:p>
        </w:tc>
      </w:tr>
      <w:tr>
        <w:tc>
          <w:tcPr/>
          <w:p>
            <w:pPr>
              <w:pStyle w:val="Compact"/>
            </w:pPr>
            <w:r>
              <w:t xml:space="preserve">Social</w:t>
            </w:r>
          </w:p>
        </w:tc>
        <w:tc>
          <w:tcPr/>
          <w:p>
            <w:pPr>
              <w:pStyle w:val="Compact"/>
            </w:pPr>
            <w:r>
              <w:t xml:space="preserve">El snack es consumo de todos los días. La demanda es pareja durante el año, sin temporada alta ni baja</w:t>
            </w:r>
          </w:p>
        </w:tc>
        <w:tc>
          <w:tcPr/>
          <w:p>
            <w:pPr>
              <w:pStyle w:val="Compact"/>
            </w:pPr>
            <w:r>
              <w:t xml:space="preserve">Les da previsibilidad: no tienen picos de caja ni plata inmovilizada esperando una temporada. La excepción son faltantes de papas fritas en algunos momentos</w:t>
            </w:r>
          </w:p>
        </w:tc>
      </w:tr>
      <w:tr>
        <w:tc>
          <w:tcPr/>
          <w:p>
            <w:pPr>
              <w:pStyle w:val="Compact"/>
            </w:pPr>
            <w:r>
              <w:t xml:space="preserve">Tecnológico</w:t>
            </w:r>
          </w:p>
        </w:tc>
        <w:tc>
          <w:tcPr/>
          <w:p>
            <w:pPr>
              <w:pStyle w:val="Compact"/>
            </w:pPr>
            <w:r>
              <w:t xml:space="preserve">El sistema de gestión está viejo y no se integra con nada. No hay CRM. La tienda online está construida pero apagada. Los pedidos entran por WhatsApp y teléfono</w:t>
            </w:r>
          </w:p>
        </w:tc>
        <w:tc>
          <w:tcPr/>
          <w:p>
            <w:pPr>
              <w:pStyle w:val="Compact"/>
            </w:pPr>
            <w:r>
              <w:t xml:space="preserve">El atraso no les impide operar, pero sí les impide saber. Sin integración no hay costo por producto ni información del cliente</w:t>
            </w:r>
          </w:p>
        </w:tc>
      </w:tr>
      <w:tr>
        <w:tc>
          <w:tcPr/>
          <w:p>
            <w:pPr>
              <w:pStyle w:val="Compact"/>
            </w:pPr>
            <w:r>
              <w:t xml:space="preserve">Ecológico</w:t>
            </w:r>
          </w:p>
        </w:tc>
        <w:tc>
          <w:tcPr/>
          <w:p>
            <w:pPr>
              <w:pStyle w:val="Compact"/>
            </w:pPr>
            <w:r>
              <w:t xml:space="preserve">El packaging es plástico y film impreso. El snack ocupa mucho volumen y pesa poco, así que el flete por unidad sale caro</w:t>
            </w:r>
          </w:p>
        </w:tc>
        <w:tc>
          <w:tcPr/>
          <w:p>
            <w:pPr>
              <w:pStyle w:val="Compact"/>
            </w:pPr>
            <w:r>
              <w:t xml:space="preserve">La presión ambiental todavía no la sienten, pero el film es justo su mayor riesgo de abastecimiento</w:t>
            </w:r>
          </w:p>
        </w:tc>
      </w:tr>
      <w:tr>
        <w:tc>
          <w:tcPr/>
          <w:p>
            <w:pPr>
              <w:pStyle w:val="Compact"/>
            </w:pPr>
            <w:r>
              <w:t xml:space="preserve">Legal</w:t>
            </w:r>
          </w:p>
        </w:tc>
        <w:tc>
          <w:tcPr/>
          <w:p>
            <w:pPr>
              <w:pStyle w:val="Compact"/>
            </w:pPr>
            <w:r>
              <w:t xml:space="preserve">Rotulado, transporte entre provincias y temas fiscales, sin conflictos</w:t>
            </w:r>
          </w:p>
        </w:tc>
        <w:tc>
          <w:tcPr/>
          <w:p>
            <w:pPr>
              <w:pStyle w:val="Compact"/>
            </w:pPr>
            <w:r>
              <w:t xml:space="preserve">Sin impacto por ahora</w:t>
            </w:r>
          </w:p>
        </w:tc>
      </w:tr>
    </w:tbl>
    <w:p>
      <w:pPr>
        <w:pStyle w:val="BodyText"/>
      </w:pPr>
      <w:r>
        <w:t xml:space="preserve">Sacando cuentas, el entorno no les es hostil. Lo político y lo social juegan a favor. Donde sí hay presión es en lo económico, y pega justo donde son más débiles: una empresa que compite por precio, con inflación en los insumos, cobrando a 30 días y sin saber cuánto le cuesta realmente cada producto.</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Segunda generación trabajando, así que el día a día está cubierto.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La tienda online ya está construida y con el catálogo cargado, solo que apagada.</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foda-cruzado"/>
    <w:p>
      <w:pPr>
        <w:pStyle w:val="Heading2"/>
      </w:pPr>
      <w:r>
        <w:t xml:space="preserve">2.5 FODA cruzado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Oportunidades</w:t>
            </w:r>
          </w:p>
        </w:tc>
        <w:tc>
          <w:tcPr/>
          <w:p>
            <w:pPr>
              <w:pStyle w:val="Compact"/>
            </w:pPr>
            <w:r>
              <w:t xml:space="preserve">Amenazas</w:t>
            </w:r>
          </w:p>
        </w:tc>
      </w:tr>
      <w:tr>
        <w:tc>
          <w:tcPr/>
          <w:p>
            <w:pPr>
              <w:pStyle w:val="Compact"/>
            </w:pPr>
            <w:r>
              <w:rPr>
                <w:b/>
                <w:bCs/>
              </w:rPr>
              <w:t xml:space="preserve">Fortalezas</w:t>
            </w:r>
          </w:p>
        </w:tc>
        <w:tc>
          <w:tcPr/>
          <w:p>
            <w:pPr>
              <w:pStyle w:val="Compact"/>
            </w:pPr>
            <w:r>
              <w:t xml:space="preserve">Crecer por el lado del fraccionamiento y la repostería, que aprovecha la red y la marca sin tocar la planta saturada. Y repetir el modelo Aiello con otras cadenas regionales de tamaño parecido</w:t>
            </w:r>
          </w:p>
        </w:tc>
        <w:tc>
          <w:tcPr/>
          <w:p>
            <w:pPr>
              <w:pStyle w:val="Compact"/>
            </w:pPr>
            <w:r>
              <w:t xml:space="preserve">La red y la logística los protegen de la competencia regional, porque es la barrera que un competidor local no copia rápido. Y las habilitaciones frenan a los informales aunque haya inflación</w:t>
            </w:r>
          </w:p>
        </w:tc>
      </w:tr>
      <w:tr>
        <w:tc>
          <w:tcPr/>
          <w:p>
            <w:pPr>
              <w:pStyle w:val="Compact"/>
            </w:pPr>
            <w:r>
              <w:rPr>
                <w:b/>
                <w:bCs/>
              </w:rPr>
              <w:t xml:space="preserve">Debilidades</w:t>
            </w:r>
          </w:p>
        </w:tc>
        <w:tc>
          <w:tcPr/>
          <w:p>
            <w:pPr>
              <w:pStyle w:val="Compact"/>
            </w:pPr>
            <w:r>
              <w:t xml:space="preserve">Encender la tienda que ya está hecha, pero como canal de autogestión para distribuidores: que puedan consultar stock y cargar pedidos sin depender del teléfono en horario de oficina. Y aprovechar las ganas de capacitarse para meterlas en costos y en el uso del sistema</w:t>
            </w:r>
          </w:p>
        </w:tc>
        <w:tc>
          <w:tcPr/>
          <w:p>
            <w:pPr>
              <w:pStyle w:val="Compact"/>
            </w:pPr>
            <w:r>
              <w:t xml:space="preserve">Armar un costeo por producto antes de tomar cualquier decisión de precio, porque si no la inflación les come el margen sin que se den cuenta. Medir la cartera para detectar las bajas a tiempo. Y resolver la capacidad de planta en vez de seguir absorbiéndola con horas extras</w:t>
            </w:r>
          </w:p>
        </w:tc>
      </w:tr>
    </w:tbl>
    <w:bookmarkEnd w:id="29"/>
    <w:bookmarkStart w:id="30" w:name="qué-significa-todo-esto-para-el-negocio"/>
    <w:p>
      <w:pPr>
        <w:pStyle w:val="Heading2"/>
      </w:pPr>
      <w:r>
        <w:t xml:space="preserve">2.6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30"/>
    <w:bookmarkEnd w:id="31"/>
    <w:bookmarkStart w:id="47" w:name="modelo-de-negocio-actual"/>
    <w:p>
      <w:pPr>
        <w:pStyle w:val="Heading1"/>
      </w:pPr>
      <w:r>
        <w:t xml:space="preserve">3. Modelo de negocio actual</w:t>
      </w:r>
    </w:p>
    <w:bookmarkStart w:id="41" w:name="los-nueve-bloques-del-canvas"/>
    <w:p>
      <w:pPr>
        <w:pStyle w:val="Heading2"/>
      </w:pPr>
      <w:r>
        <w:t xml:space="preserve">3.1 Los nueve bloques del canvas</w:t>
      </w:r>
    </w:p>
    <w:bookmarkStart w:id="32"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2"/>
    <w:bookmarkStart w:id="33"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Catálogo amplio en un solo proveedor, así el mayorista no tiene que fragmentar sus compras.</w:t>
      </w:r>
    </w:p>
    <w:p>
      <w:pPr>
        <w:pStyle w:val="Compact"/>
        <w:numPr>
          <w:ilvl w:val="0"/>
          <w:numId w:val="1007"/>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3"/>
    <w:bookmarkStart w:id="34"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4"/>
    <w:bookmarkStart w:id="35"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5"/>
    <w:bookmarkStart w:id="36"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6"/>
    <w:bookmarkStart w:id="37"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1"/>
        </w:numPr>
      </w:pPr>
      <w:r>
        <w:rPr>
          <w:b/>
          <w:bCs/>
        </w:rPr>
        <w:t xml:space="preserve">La marca</w:t>
      </w:r>
      <w:r>
        <w:t xml:space="preserve">, con 53 años, presencia en góndola de supermercado y reconocimiento en el canal mayorista de siete provincias.</w:t>
      </w:r>
    </w:p>
    <w:p>
      <w:pPr>
        <w:pStyle w:val="Compact"/>
        <w:numPr>
          <w:ilvl w:val="0"/>
          <w:numId w:val="1011"/>
        </w:numPr>
      </w:pPr>
      <w:r>
        <w:rPr>
          <w:b/>
          <w:bCs/>
        </w:rPr>
        <w:t xml:space="preserve">La flota propia</w:t>
      </w:r>
      <w:r>
        <w:t xml:space="preserve"> </w:t>
      </w:r>
      <w:r>
        <w:t xml:space="preserve">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7"/>
    <w:bookmarkStart w:id="38"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Compras de materia prima y de packaging.</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Reparto y presencia en el territorio con el viajante, con la gestión comercial retenida en la empresa.</w:t>
      </w:r>
    </w:p>
    <w:p>
      <w:pPr>
        <w:pStyle w:val="Compact"/>
        <w:numPr>
          <w:ilvl w:val="0"/>
          <w:numId w:val="1012"/>
        </w:numPr>
      </w:pPr>
      <w:r>
        <w:t xml:space="preserve">Manejo centralizado de la relación con los 57 distribuidores.</w:t>
      </w:r>
    </w:p>
    <w:p>
      <w:pPr>
        <w:pStyle w:val="Compact"/>
        <w:numPr>
          <w:ilvl w:val="0"/>
          <w:numId w:val="1012"/>
        </w:numPr>
      </w:pPr>
      <w:r>
        <w:t xml:space="preserve">Administración, facturación y cobranza, repartidas entre planillas y un sistema de gestión que no se hablan entre sí.</w:t>
      </w:r>
    </w:p>
    <w:bookmarkEnd w:id="38"/>
    <w:bookmarkStart w:id="39"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p>
      <w:pPr>
        <w:pStyle w:val="Compact"/>
        <w:numPr>
          <w:ilvl w:val="0"/>
          <w:numId w:val="1013"/>
        </w:numPr>
      </w:pPr>
      <w:r>
        <w:rPr>
          <w:b/>
          <w:bCs/>
        </w:rPr>
        <w:t xml:space="preserve">El proveedor del sistema de gestión</w:t>
      </w:r>
      <w:r>
        <w:t xml:space="preserve"> </w:t>
      </w:r>
      <w:r>
        <w:t xml:space="preserve">y el de la página web (Productus).</w:t>
      </w:r>
    </w:p>
    <w:bookmarkEnd w:id="39"/>
    <w:bookmarkStart w:id="40"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40"/>
    <w:bookmarkEnd w:id="41"/>
    <w:bookmarkStart w:id="42"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5"/>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2"/>
    <w:bookmarkStart w:id="43"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3"/>
    <w:bookmarkStart w:id="44"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4"/>
    <w:bookmarkStart w:id="45"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5"/>
    <w:bookmarkStart w:id="46"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6"/>
    <w:bookmarkEnd w:id="47"/>
    <w:bookmarkStart w:id="56" w:name="propuesta-de-valor-actual"/>
    <w:p>
      <w:pPr>
        <w:pStyle w:val="Heading1"/>
      </w:pPr>
      <w:r>
        <w:t xml:space="preserve">4. Propuesta de valor actual</w:t>
      </w:r>
    </w:p>
    <w:bookmarkStart w:id="48"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8"/>
    <w:bookmarkStart w:id="52" w:name="perfil-del-cliente"/>
    <w:p>
      <w:pPr>
        <w:pStyle w:val="Heading2"/>
      </w:pPr>
      <w:r>
        <w:t xml:space="preserve">4.2 Perfil del cliente</w:t>
      </w:r>
    </w:p>
    <w:bookmarkStart w:id="49"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9"/>
    <w:bookmarkStart w:id="50"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50"/>
    <w:bookmarkStart w:id="51"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1"/>
    <w:bookmarkEnd w:id="52"/>
    <w:bookmarkStart w:id="53"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3"/>
    <w:bookmarkStart w:id="55"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4"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4"/>
    <w:bookmarkEnd w:id="55"/>
    <w:bookmarkEnd w:id="56"/>
    <w:bookmarkStart w:id="63" w:name="madurez-y-capacidades"/>
    <w:p>
      <w:pPr>
        <w:pStyle w:val="Heading1"/>
      </w:pPr>
      <w:r>
        <w:t xml:space="preserve">5. Madurez y capacidades</w:t>
      </w:r>
    </w:p>
    <w:bookmarkStart w:id="58"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7"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7"/>
    <w:bookmarkEnd w:id="58"/>
    <w:bookmarkStart w:id="59"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50"/>
        <w:gridCol w:w="1250"/>
        <w:gridCol w:w="2084"/>
        <w:gridCol w:w="2084"/>
        <w:gridCol w:w="1250"/>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59"/>
    <w:bookmarkStart w:id="60" w:name="resultado"/>
    <w:p>
      <w:pPr>
        <w:pStyle w:val="Heading2"/>
      </w:pPr>
      <w:r>
        <w:t xml:space="preserve">5.3 Resultado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60"/>
    <w:bookmarkStart w:id="61"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1"/>
    <w:bookmarkStart w:id="62"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2"/>
    <w:bookmarkEnd w:id="63"/>
    <w:bookmarkStart w:id="64"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4"/>
    <w:bookmarkStart w:id="65"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5"/>
    <w:bookmarkStart w:id="67"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6"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Práctico Final, Parte 1</dc:title>
  <dc:creator>Universidad Tecnológica Nacional, Facultad Regional San Rafael; Ingeniería en Sistemas de Información, Plan 2026; Cátedra: Gestión Gerencial, quinto año; Docentes: Ing. Jeremías Pino e Ing. Martín Noguerol; Organización analizada: Dulxelitos, San Rafael, Mendoza, desde 1973; Integrantes: (completar con apellido y nombre de cada integrante)</dc:creator>
  <dc:language>es</dc:language>
  <cp:keywords/>
  <dcterms:created xsi:type="dcterms:W3CDTF">2026-09-20T19:59:42Z</dcterms:created>
  <dcterms:modified xsi:type="dcterms:W3CDTF">2026-09-20T19:59:42Z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20/09/2026</vt:lpwstr>
  </property>
  <property fmtid="{D5CDD505-2E9C-101B-9397-08002B2CF9AE}" pid="3" name="subtitle">
    <vt:lpwstr>Diagnóstico gerencial de Dulxelitos</vt:lpwstr>
  </property>
</Properties>
</file>