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CHALLENGE LOCAWEB 2026 · SPRINT 3</w:t>
        <w:br/>
      </w:r>
    </w:p>
    <w:p>
      <w:pPr>
        <w:pStyle w:val="Title"/>
        <w:jc w:val="center"/>
      </w:pPr>
      <w:r>
        <w:t>Predictfy</w:t>
      </w:r>
    </w:p>
    <w:p>
      <w:pPr>
        <w:jc w:val="center"/>
      </w:pPr>
      <w:r>
        <w:rPr>
          <w:b/>
          <w:sz w:val="40"/>
        </w:rPr>
        <w:t>Data Warehousing &amp; Advanced Data Integration</w:t>
      </w:r>
    </w:p>
    <w:p>
      <w:pPr>
        <w:jc w:val="center"/>
      </w:pPr>
      <w:r>
        <w:t>Azure Data Factory · Mapping Data Flow · MySQL · Blob Storage</w:t>
      </w:r>
    </w:p>
    <w:p>
      <w:r>
        <w:br w:type="page"/>
      </w:r>
    </w:p>
    <w:p>
      <w:pPr>
        <w:pStyle w:val="Heading1"/>
      </w:pPr>
      <w:r>
        <w:t>Identificação e objetivo</w:t>
      </w:r>
    </w:p>
    <w:p>
      <w:r>
        <w:t>Grupo: Predictfy · Turma: 2TSCPW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Integrante</w:t>
            </w:r>
          </w:p>
        </w:tc>
        <w:tc>
          <w:tcPr>
            <w:tcW w:type="dxa" w:w="4819"/>
          </w:tcPr>
          <w:p>
            <w:r>
              <w:t>RM</w:t>
            </w:r>
          </w:p>
        </w:tc>
      </w:tr>
      <w:tr>
        <w:tc>
          <w:tcPr>
            <w:tcW w:type="dxa" w:w="4819"/>
          </w:tcPr>
          <w:p>
            <w:r>
              <w:t>Elton Vinicios Almeida de Oliveira</w:t>
            </w:r>
          </w:p>
        </w:tc>
        <w:tc>
          <w:tcPr>
            <w:tcW w:type="dxa" w:w="4819"/>
          </w:tcPr>
          <w:p>
            <w:r>
              <w:t>562187</w:t>
            </w:r>
          </w:p>
        </w:tc>
      </w:tr>
      <w:tr>
        <w:tc>
          <w:tcPr>
            <w:tcW w:type="dxa" w:w="4819"/>
          </w:tcPr>
          <w:p>
            <w:r>
              <w:t>Emerson dos Santos Silva</w:t>
            </w:r>
          </w:p>
        </w:tc>
        <w:tc>
          <w:tcPr>
            <w:tcW w:type="dxa" w:w="4819"/>
          </w:tcPr>
          <w:p>
            <w:r>
              <w:t>562033</w:t>
            </w:r>
          </w:p>
        </w:tc>
      </w:tr>
      <w:tr>
        <w:tc>
          <w:tcPr>
            <w:tcW w:type="dxa" w:w="4819"/>
          </w:tcPr>
          <w:p>
            <w:r>
              <w:t>Kelvin Douglas Ribeiro Rabelo</w:t>
            </w:r>
          </w:p>
        </w:tc>
        <w:tc>
          <w:tcPr>
            <w:tcW w:type="dxa" w:w="4819"/>
          </w:tcPr>
          <w:p>
            <w:r>
              <w:t>561538</w:t>
            </w:r>
          </w:p>
        </w:tc>
      </w:tr>
      <w:tr>
        <w:tc>
          <w:tcPr>
            <w:tcW w:type="dxa" w:w="4819"/>
          </w:tcPr>
          <w:p>
            <w:r>
              <w:t>Pedro Henrique Simão Soares</w:t>
            </w:r>
          </w:p>
        </w:tc>
        <w:tc>
          <w:tcPr>
            <w:tcW w:type="dxa" w:w="4819"/>
          </w:tcPr>
          <w:p>
            <w:r>
              <w:t>562283</w:t>
            </w:r>
          </w:p>
        </w:tc>
      </w:tr>
      <w:tr>
        <w:tc>
          <w:tcPr>
            <w:tcW w:type="dxa" w:w="4819"/>
          </w:tcPr>
          <w:p>
            <w:r>
              <w:t>Vitor Lucas Mattos de Brito Mariano</w:t>
            </w:r>
          </w:p>
        </w:tc>
        <w:tc>
          <w:tcPr>
            <w:tcW w:type="dxa" w:w="4819"/>
          </w:tcPr>
          <w:p>
            <w:r>
              <w:t>562116</w:t>
            </w:r>
          </w:p>
        </w:tc>
      </w:tr>
    </w:tbl>
    <w:p>
      <w:r>
        <w:t>Integrar features históricas de incidentes Predictfy e regras de OLA, enriquecer no ADF e persistir o mesmo contrato analítico em MySQL e TXT.</w:t>
      </w:r>
    </w:p>
    <w:p>
      <w:pPr>
        <w:pStyle w:val="Heading1"/>
      </w:pPr>
      <w:r>
        <w:t>1. Arquitetura da solução de ingestão</w:t>
      </w:r>
    </w:p>
    <w:p>
      <w:r>
        <w:t>O Blob funciona como Stage Area; uma única transformação alimenta os dois destinos e o ADF Monitor conserva rastreabilidade.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— CSV e regras TXT chegam ao landing; o ADF transforma e publica 25.588 linhas em MySQL e TXT curated.</w:t>
      </w:r>
    </w:p>
    <w:p>
      <w:pPr>
        <w:pStyle w:val="Heading1"/>
      </w:pPr>
      <w:r>
        <w:t>2. Infraestrutura PaaS no Microsoft Azure</w:t>
      </w:r>
    </w:p>
    <w:p>
      <w:r>
        <w:t>ADF e Storage foram provisionados em East US 2; MySQL 8.0.21 em Chile Central, com TLS e credenciais somente no ambiente.</w:t>
      </w:r>
    </w:p>
    <w:p>
      <w:r>
        <w:drawing>
          <wp:inline xmlns:a="http://schemas.openxmlformats.org/drawingml/2006/main" xmlns:pic="http://schemas.openxmlformats.org/drawingml/2006/picture">
            <wp:extent cx="5852160" cy="1329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rminal_recursos_pa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— Captura nativa do Terminal com ADF, Storage e MySQL.</w:t>
      </w:r>
    </w:p>
    <w:p>
      <w:r>
        <w:rPr>
          <w:b/>
        </w:rPr>
        <w:t xml:space="preserve">Comando executado: </w:t>
      </w:r>
      <w:r>
        <w:rPr>
          <w:rFonts w:ascii="Consolas" w:hAnsi="Consolas"/>
        </w:rPr>
        <w:t>az resource list -g rg-predictfy-dw-sprint3-260823es -o table</w:t>
      </w:r>
    </w:p>
    <w:p>
      <w:r>
        <w:rPr>
          <w:b/>
        </w:rPr>
        <w:t xml:space="preserve">O que faz e comprova: </w:t>
      </w:r>
      <w:r>
        <w:t>Lista os recursos PaaS reais do Resource Group e comprova o requisito 2.</w:t>
      </w:r>
    </w:p>
    <w:p>
      <w:pPr>
        <w:pStyle w:val="Heading2"/>
      </w:pPr>
      <w:r>
        <w:t>2.1 Origens e destinos no Blob Storage</w:t>
      </w:r>
    </w:p>
    <w:p>
      <w:r>
        <w:drawing>
          <wp:inline xmlns:a="http://schemas.openxmlformats.org/drawingml/2006/main" xmlns:pic="http://schemas.openxmlformats.org/drawingml/2006/picture">
            <wp:extent cx="5852160" cy="16291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rminal_blo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2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— Captura nativa do Terminal: landing contém CSV/TXT e curated contém o TXT final.</w:t>
      </w:r>
    </w:p>
    <w:p>
      <w:r>
        <w:rPr>
          <w:b/>
        </w:rPr>
        <w:t xml:space="preserve">Comando executado: </w:t>
      </w:r>
      <w:r>
        <w:rPr>
          <w:rFonts w:ascii="Consolas" w:hAnsi="Consolas"/>
        </w:rPr>
        <w:t>az storage blob list --account-name pfdw260823es -c landing/curated -o table</w:t>
      </w:r>
    </w:p>
    <w:p>
      <w:r>
        <w:rPr>
          <w:b/>
        </w:rPr>
        <w:t xml:space="preserve">O que faz e comprova: </w:t>
      </w:r>
      <w:r>
        <w:t>Lista os arquivos de entrada e saída e comprova Stage Area e persistência.</w:t>
      </w:r>
    </w:p>
    <w:p>
      <w:pPr>
        <w:pStyle w:val="Heading1"/>
      </w:pPr>
      <w:r>
        <w:t>3. Data Flow e processo ETL</w:t>
      </w:r>
    </w:p>
    <w:p>
      <w:r>
        <w:t>O fluxo projeta, valida, integra P2/P3 e deriva dez atributos. O MySQL recebe upsert por SHA-256; o TXT recebe o mesmo stream.</w:t>
      </w:r>
    </w:p>
    <w:p>
      <w:r>
        <w:drawing>
          <wp:inline xmlns:a="http://schemas.openxmlformats.org/drawingml/2006/main" xmlns:pic="http://schemas.openxmlformats.org/drawingml/2006/picture">
            <wp:extent cx="5852160" cy="3672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f_studio_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7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— Captura direta do canvas no ADF Studio autenticado.</w:t>
      </w:r>
    </w:p>
    <w:p>
      <w:r>
        <w:rPr>
          <w:b/>
        </w:rPr>
        <w:t xml:space="preserve">Comando executado: </w:t>
      </w:r>
      <w:r>
        <w:rPr>
          <w:rFonts w:ascii="Consolas" w:hAnsi="Consolas"/>
        </w:rPr>
        <w:t>az datafactory data-flow show -g rg-predictfy-dw-sprint3-260823es --factory-name adf-predictfy-dw-260823es -n df_incidentes_predictfy</w:t>
      </w:r>
    </w:p>
    <w:p>
      <w:r>
        <w:rPr>
          <w:b/>
        </w:rPr>
        <w:t xml:space="preserve">O que faz e comprova: </w:t>
      </w:r>
      <w:r>
        <w:t>Consulta o Data Flow publicado e comprova o requisito 3.</w:t>
      </w:r>
    </w:p>
    <w:p>
      <w:pPr>
        <w:pStyle w:val="Heading2"/>
      </w:pPr>
      <w:r>
        <w:t>3.1 Publicação confirmada pela API</w:t>
      </w:r>
    </w:p>
    <w:p>
      <w:r>
        <w:drawing>
          <wp:inline xmlns:a="http://schemas.openxmlformats.org/drawingml/2006/main" xmlns:pic="http://schemas.openxmlformats.org/drawingml/2006/picture">
            <wp:extent cx="5852160" cy="23151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rminal_dataflow_public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— Captura nativa do Terminal com origens, transformações e destinos.</w:t>
      </w:r>
    </w:p>
    <w:p>
      <w:pPr>
        <w:pStyle w:val="Heading1"/>
      </w:pPr>
      <w:r>
        <w:t>4. Colunas derivadas</w:t>
      </w:r>
    </w:p>
    <w:p>
      <w:r>
        <w:t>As derivações traduzem atributos técnicos para conceitos operacionais, preservam linhagem e deixam explícito que ocorrência OLA é histórica. As expressões completas também estão entregues em colunas_derivadas.txt.</w:t>
      </w:r>
    </w:p>
    <w:p>
      <w:r>
        <w:drawing>
          <wp:inline xmlns:a="http://schemas.openxmlformats.org/drawingml/2006/main" xmlns:pic="http://schemas.openxmlformats.org/drawingml/2006/picture">
            <wp:extent cx="5852160" cy="2015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rminal_derived_colum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1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— Expressão deriveNegocio consultada no Data Flow publicado.</w:t>
      </w:r>
    </w:p>
    <w:p>
      <w:r>
        <w:rPr>
          <w:b/>
        </w:rPr>
        <w:t xml:space="preserve">Comando executado: </w:t>
      </w:r>
      <w:r>
        <w:rPr>
          <w:rFonts w:ascii="Consolas" w:hAnsi="Consolas"/>
        </w:rPr>
        <w:t>az datafactory data-flow show ... | jq '.properties.scriptLines[] | select(endswith("~&gt; deriveNegocio"))'</w:t>
      </w:r>
    </w:p>
    <w:p>
      <w:r>
        <w:rPr>
          <w:b/>
        </w:rPr>
        <w:t xml:space="preserve">O que faz e comprova: </w:t>
      </w:r>
      <w:r>
        <w:t>Extrai as derivações do artefato publicado e comprova o requisito 4.</w:t>
      </w:r>
    </w:p>
    <w:p>
      <w:pPr>
        <w:pStyle w:val="Heading1"/>
      </w:pPr>
      <w:r>
        <w:t>5. Execução do pipeline</w:t>
      </w:r>
    </w:p>
    <w:p>
      <w:r>
        <w:t>A segunda carga atualizou as mesmas chaves, comprovando idempotência sem duplicação.</w:t>
      </w:r>
    </w:p>
    <w:p>
      <w:r>
        <w:drawing>
          <wp:inline xmlns:a="http://schemas.openxmlformats.org/drawingml/2006/main" xmlns:pic="http://schemas.openxmlformats.org/drawingml/2006/picture">
            <wp:extent cx="5852160" cy="3672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f_monitor_pipeline_ru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7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— Captura direta do ADF Monitor com as duas execuções.</w:t>
      </w:r>
    </w:p>
    <w:p>
      <w:pPr>
        <w:pStyle w:val="Heading2"/>
      </w:pPr>
      <w:r>
        <w:t>5.1 Métricas da reexecução</w:t>
      </w:r>
    </w:p>
    <w:p>
      <w:r>
        <w:drawing>
          <wp:inline xmlns:a="http://schemas.openxmlformats.org/drawingml/2006/main" xmlns:pic="http://schemas.openxmlformats.org/drawingml/2006/picture">
            <wp:extent cx="5852160" cy="26581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rminal_pipeline_succeeded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58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— Captura nativa do Terminal com status e contagens.</w:t>
      </w:r>
    </w:p>
    <w:p>
      <w:r>
        <w:rPr>
          <w:b/>
        </w:rPr>
        <w:t xml:space="preserve">Comando executado: </w:t>
      </w:r>
      <w:r>
        <w:rPr>
          <w:rFonts w:ascii="Consolas" w:hAnsi="Consolas"/>
        </w:rPr>
        <w:t>az datafactory pipeline-run show ...; az datafactory activity-run query-by-pipeline-run ...</w:t>
      </w:r>
    </w:p>
    <w:p>
      <w:r>
        <w:rPr>
          <w:b/>
        </w:rPr>
        <w:t xml:space="preserve">O que faz e comprova: </w:t>
      </w:r>
      <w:r>
        <w:t>Consulta status, duração e linhas escritas nas duas execuções.</w:t>
      </w:r>
    </w:p>
    <w:p>
      <w:pPr>
        <w:pStyle w:val="Heading2"/>
      </w:pPr>
      <w:r>
        <w:t>5.2 Persistência MySQL</w:t>
      </w:r>
    </w:p>
    <w:p>
      <w:r>
        <w:drawing>
          <wp:inline xmlns:a="http://schemas.openxmlformats.org/drawingml/2006/main" xmlns:pic="http://schemas.openxmlformats.org/drawingml/2006/picture">
            <wp:extent cx="5852160" cy="34727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rminal_mysql_valid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— 25.588 registros, 25.588 chaves únicas e zero prioridades sem regra.</w:t>
      </w:r>
    </w:p>
    <w:p>
      <w:r>
        <w:rPr>
          <w:b/>
        </w:rPr>
        <w:t xml:space="preserve">Comando executado: </w:t>
      </w:r>
      <w:r>
        <w:rPr>
          <w:rFonts w:ascii="Consolas" w:hAnsi="Consolas"/>
        </w:rPr>
        <w:t>python3 scripts/collect_evidence.py; jq evidencias/azure/13_mysql_validacao.json</w:t>
      </w:r>
    </w:p>
    <w:p>
      <w:r>
        <w:rPr>
          <w:b/>
        </w:rPr>
        <w:t xml:space="preserve">O que faz e comprova: </w:t>
      </w:r>
      <w:r>
        <w:t>Executa validações SQL sanitizadas e comprova contagem, unicidade e regras OLA.</w:t>
      </w:r>
    </w:p>
    <w:p>
      <w:pPr>
        <w:pStyle w:val="Heading1"/>
      </w:pPr>
      <w:r>
        <w:t>5.3 Persistência TXT</w:t>
      </w:r>
    </w:p>
    <w:p>
      <w:r>
        <w:drawing>
          <wp:inline xmlns:a="http://schemas.openxmlformats.org/drawingml/2006/main" xmlns:pic="http://schemas.openxmlformats.org/drawingml/2006/picture">
            <wp:extent cx="5852160" cy="42444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erminal_txt_cur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4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— Listagem e amostra real do TXT pipe-delimited.</w:t>
      </w:r>
    </w:p>
    <w:p>
      <w:r>
        <w:rPr>
          <w:b/>
        </w:rPr>
        <w:t xml:space="preserve">Comando executado: </w:t>
      </w:r>
      <w:r>
        <w:rPr>
          <w:rFonts w:ascii="Consolas" w:hAnsi="Consolas"/>
        </w:rPr>
        <w:t>az storage blob show ...; head -n 4 /tmp/predictfy_curated_sample.txt</w:t>
      </w:r>
    </w:p>
    <w:p>
      <w:r>
        <w:rPr>
          <w:b/>
        </w:rPr>
        <w:t xml:space="preserve">O que faz e comprova: </w:t>
      </w:r>
      <w:r>
        <w:t>Confirma o blob curated e apresenta uma amostra real do conteúdo.</w:t>
      </w:r>
    </w:p>
    <w:p>
      <w:r>
        <w:br w:type="page"/>
      </w:r>
    </w:p>
    <w:p>
      <w:pPr>
        <w:pStyle w:val="Heading1"/>
      </w:pPr>
      <w:r>
        <w:t>6. Comentários finais</w:t>
      </w:r>
    </w:p>
    <w:p>
      <w:r>
        <w:t>O desafio consolidou o uso do Azure Data Factory para ETL real. Foi necessário corrigir projeções do grafo Spark, validar funções do Mapping Data Flow e otimizar o upsert com batch de 10.000 e oito partições por hash. O resultado separa landing/curated, preserva linhagem e mantém os dois destinos consistentes.</w:t>
      </w:r>
    </w:p>
    <w:p>
      <w:r>
        <w:t>Aceite: 25.588 lidas; zero rejeitadas; 25.588 no MySQL; 25.588 no TXT; chaves únicas; duas execuções Succeeded.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Challenge Locaweb 2026   ·   Página </w:t>
    </w:r>
    <w:r>
      <w:fldSimple w:instr="PAGE"/>
    </w:r>
    <w:r>
      <w:t xml:space="preserve"> de </w:t>
    </w:r>
    <w:r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Predictfy   |   DATA WAREHOUSING · SPRINT 3   |   FIAP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2F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78D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