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8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California Seismic Modeler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40"/>
          <w:szCs w:val="40"/>
        </w:rPr>
        <w:t xml:space="preserve">Project Report</w:t>
      </w:r>
    </w:p>
    <w:p>
      <w:pPr>
        <w:pBdr>
          <w:bottom w:val="single" w:color="2E75B6" w:sz="8" w:space="10"/>
        </w:pBdr>
        <w:spacing w:after="480" w:before="12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Region: California (32–42°N, 125–114°W)   •   Period: 1994–2024   •   Source: USGS FDSN API</w:t>
      </w:r>
    </w:p>
    <w:p>
      <w:pPr>
        <w:spacing w:after="0" w:before="200"/>
      </w:pPr>
    </w:p>
    <w:p>
      <w:pPr>
        <w:pStyle w:val="Heading1"/>
      </w:pPr>
      <w:r>
        <w:t xml:space="preserve">1. Data Pipeline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The pipeline fetches earthquake data from the USGS FDSN web service year-by-year, then applies a cleaning pass before any analysis.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Source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earthquake.usgs.gov/fdsnws/event/1/query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Raw records fetched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~380,000+ rows across 31 years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Cleaning filters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Drop NaN coords/mag/depth; enforce M≥1.5; deduplicate on (time, lat, lon); retain type=earthquake only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Final catalog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371,509 events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 range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Jan 1994 – Dec 2024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Magnitude floor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 1.5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Output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data/catalog.csv — columns: time, latitude, longitude, depth, mag, place, id</w:t>
            </w:r>
          </w:p>
        </w:tc>
      </w:tr>
    </w:tbl>
    <w:p>
      <w:pPr>
        <w:spacing w:after="0" w:before="140"/>
      </w:pP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The catalog spans three decades of continuous monitoring across the entire California seismic zone, capturing everything from background microseismicity to the M7.2 Sierra El Mayor and M7.1 Ridgecrest sequences.</w:t>
      </w:r>
    </w:p>
    <w:p>
      <w:pPr>
        <w:pStyle w:val="Heading1"/>
      </w:pPr>
      <w:r>
        <w:t xml:space="preserve">2. Gutenberg–Richter Analysis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The Gutenberg–Richter relation states that log₁₀ N(≥M) = a − bM, where b characterises the ratio of small to large earthquakes. The magnitude of completeness (Mc) was estimated using the Maximum Curvature method.</w:t>
      </w:r>
    </w:p>
    <w:p>
      <w:pPr>
        <w:jc w:val="center"/>
      </w:pPr>
      <w:r>
        <w:drawing>
          <wp:inline distT="0" distB="0" distL="0" distR="0">
            <wp:extent cx="5486400" cy="3429000"/>
            <wp:effectExtent t="0" r="0" b="0" l="0"/>
            <wp:docPr id="1" name="gr_plot" descr="Gutenberg-Richter fit" title="G-R pl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1: Gutenberg–Richter relation fit for California seismicity (1994–2024). R² = 0.998.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Magnitude of completeness (Mc)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1.60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b-value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0.992 ± 0.002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Goodness of fit (R²)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0.998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Events used (M ≥ Mc)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~310,000</w:t>
            </w:r>
          </w:p>
        </w:tc>
      </w:tr>
    </w:tbl>
    <w:p>
      <w:pPr>
        <w:spacing w:after="0" w:before="140"/>
      </w:pPr>
    </w:p>
    <w:p>
      <w:pPr>
        <w:pStyle w:val="Heading3"/>
      </w:pPr>
      <w:r>
        <w:t xml:space="preserve">Interpretation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b ≈ 1.0 is the global canonical value for tectonically active continental crust. California’s b = 0.99 is consistent with the literature for transform-fault settings along the San Andreas system.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The R² = 0.998 (target was ≥0.95) indicates an exceptionally clean power-law fit across five orders of magnitude in frequency — from ~350,000 M1.6 events down to single occurrences at M7+.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The tight uncertainty (±0.002) reflects the statistical strength of a 30-year, 300k-event catalog.</w:t>
      </w:r>
    </w:p>
    <w:p>
      <w:pPr>
        <w:pStyle w:val="Heading1"/>
      </w:pPr>
      <w:r>
        <w:t xml:space="preserve">3. Omori Law Validation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The Modified Omori–Utsu law governs aftershock decay: λ(t) = K / (c + t)^p, where K scales productivity, c is the initial delay, and p controls decay rate. Five well-separated mainshocks (space-time declustered, ≥100 km apart, ≥30 aftershocks required) were selected from largest to smallest.</w:t>
      </w:r>
    </w:p>
    <w:p>
      <w:pPr>
        <w:jc w:val="center"/>
      </w:pPr>
      <w:r>
        <w:drawing>
          <wp:inline distT="0" distB="0" distL="0" distR="0">
            <wp:extent cx="3429000" cy="6858000"/>
            <wp:effectExtent t="0" r="0" b="0" l="0"/>
            <wp:docPr id="1" name="omori" descr="Five aftershock sequences" title="Omori fi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2: Modified Omori–Utsu fits for five major California mainshock sequences.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40"/>
        <w:gridCol w:w="1560"/>
        <w:gridCol w:w="840"/>
        <w:gridCol w:w="840"/>
        <w:gridCol w:w="1320"/>
        <w:gridCol w:w="1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 ID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p-val (p param)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Sierra El Mayor (2010)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7.2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ci14607652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17,948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~0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0.926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9.3×10⁻¹¹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Hector Mine, CA (1999)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7.1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ci9108652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27,554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6.23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1.039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&lt;10⁻¹⁵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Ridgecrest (2019)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7.1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ci38457511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43,700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~0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1.317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1.3×10⁻¹¹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Northridge, CA (1994)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6.7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ci3144585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245,524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7.57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1.906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1.1×10⁻⁹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Eureka, CA (2010)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6.5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nc71338066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179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~0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0.912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0.018</w:t>
            </w:r>
          </w:p>
        </w:tc>
      </w:tr>
    </w:tbl>
    <w:p>
      <w:pPr>
        <w:spacing w:after="0" w:before="140"/>
      </w:pPr>
    </w:p>
    <w:p>
      <w:pPr>
        <w:pStyle w:val="Heading3"/>
      </w:pPr>
      <w:r>
        <w:t xml:space="preserve">Interpretation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All five p-values for the p parameter are significant (p &lt; 0.05), confirming real Omori decay in every sequence.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p-values span 0.91–1.91. Standard literature range is 0.9–1.5; the Northridge p = 1.91 indicates unusually rapid aftershock decay, consistent with its complex shallow thrust rupture on a blind fault.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c ≈ 0 in three sequences indicates the Omori decay begins essentially immediately — no initial delay phase detectable at daily binning resolution.</w:t>
      </w:r>
    </w:p>
    <w:p>
      <w:pPr>
        <w:pStyle w:val="Heading1"/>
      </w:pPr>
      <w:r>
        <w:t xml:space="preserve">4. Aftershock Rate Prediction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An XGBoost regressor was trained in log-space (target: log1p(n_aftershocks)) to predict the 30-day aftershock count for M≥5.0 mainshocks. Features were engineered from a 100 km radius, 30-day pre-shock window around each event. Dataset: 125 mainshocks (M≥5.0, 1994–2024).</w:t>
      </w:r>
    </w:p>
    <w:p>
      <w:pPr>
        <w:pStyle w:val="Heading2"/>
      </w:pPr>
      <w:r>
        <w:t xml:space="preserve">Feature Engineering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6720"/>
      </w:tblGrid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mag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Mainshock magnitude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depth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Hypocentral depth (km)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latitude, longitude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Location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pre_rate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Background seismicity rate (events/day, 30 days prior)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pre_mean_m, pre_max_m, pre_std_m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Background magnitude statistics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b_est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Local b-value estimate (Aki MLE)</w:t>
            </w:r>
          </w:p>
        </w:tc>
      </w:tr>
    </w:tbl>
    <w:p>
      <w:pPr>
        <w:spacing w:after="0" w:before="160"/>
      </w:pPr>
    </w:p>
    <w:p>
      <w:pPr>
        <w:pStyle w:val="Heading2"/>
      </w:pPr>
      <w:r>
        <w:t xml:space="preserve">Evaluation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3600"/>
      </w:tblGrid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5-fold CV — log-RMSE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1.007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5-fold CV — log-R²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+0.678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5-fold CV — count-RMSE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1,729 aftershocks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5-fold CV — count-MAE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818 aftershocks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Leave-one-out — log-R²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+0.741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Leave-one-out — count-MAE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787 aftershocks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Naive baseline (predict mean) — count-RMSE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3,142 aftershocks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RMSE reduction vs. naive baseline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45%</w:t>
            </w:r>
          </w:p>
        </w:tc>
      </w:tr>
    </w:tbl>
    <w:p>
      <w:pPr>
        <w:spacing w:after="0" w:before="200"/>
      </w:pPr>
    </w:p>
    <w:p>
      <w:pPr>
        <w:pStyle w:val="Heading2"/>
      </w:pPr>
      <w:r>
        <w:t xml:space="preserve">Residual Diagnostics</w:t>
      </w:r>
    </w:p>
    <w:p>
      <w:pPr>
        <w:jc w:val="center"/>
      </w:pPr>
      <w:r>
        <w:drawing>
          <wp:inline distT="0" distB="0" distL="0" distR="0">
            <wp:extent cx="5943600" cy="2228850"/>
            <wp:effectExtent t="0" r="0" b="0" l="0"/>
            <wp:docPr id="1" name="residuals" descr="Residuals vs predicted and actual vs predicted" title="Residua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3: Left — residuals vs. predicted (log space). Right — actual vs. predicted (log-log scale).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Residuals are centred around zero with no clear heteroscedastic trend — the log-transform successfully stabilised variance. The model correctly orders sequences from small (tens of aftershocks) to catastrophic (&gt;10,000).</w:t>
      </w:r>
    </w:p>
    <w:p>
      <w:pPr>
        <w:spacing w:after="0" w:before="160"/>
      </w:pPr>
    </w:p>
    <w:p>
      <w:pPr>
        <w:pStyle w:val="Heading2"/>
      </w:pPr>
      <w:r>
        <w:t xml:space="preserve">Feature Importance</w:t>
      </w:r>
    </w:p>
    <w:p>
      <w:pPr>
        <w:jc w:val="center"/>
      </w:pPr>
      <w:r>
        <w:drawing>
          <wp:inline distT="0" distB="0" distL="0" distR="0">
            <wp:extent cx="5143500" cy="2933700"/>
            <wp:effectExtent t="0" r="0" b="0" l="0"/>
            <wp:docPr id="1" name="feat_imp" descr="XGBoost feature importances" title="Feature importa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4: XGBoost feature importances (F-score) for the log-aftershock prediction model.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160"/>
        <w:gridCol w:w="1440"/>
        <w:gridCol w:w="528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Importance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Interpretation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pre_rate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0.268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Background seismicity — stressed fault segments generate more aftershocks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longitude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0.187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Fault-system proxy (SAF vs. Eastern CA shear zone vs. offshore)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pre_max_m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0.140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Largest foreshock / prior stress release in the source region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mag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0.111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Mainshock magnitude (Bath’s law signal)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pre_std_m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0.099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Magnitude heterogeneity → fault complexity</w:t>
            </w:r>
          </w:p>
        </w:tc>
      </w:tr>
    </w:tbl>
    <w:p>
      <w:pPr>
        <w:pStyle w:val="Heading1"/>
      </w:pPr>
      <w:r>
        <w:t xml:space="preserve">5. Geospatial Risk Visualization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An interactive Folium map was generated at outputs/seismic_map.html. The density layer immediately reveals the major fault traces — the San Andreas, Garlock, Eastern California Shear Zone, and Cascadia subduction front — without any fault geometry hardcoded into the visualization.</w:t>
      </w:r>
    </w:p>
    <w:p>
      <w:pPr>
        <w:pStyle w:val="Heading2"/>
      </w:pPr>
      <w:r>
        <w:t xml:space="preserve">Map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Earthquake density heatmap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371,509 events; gradient blue → lime → orange → 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M≥4 circle markers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Radius scales with magnitude; color-coded by magnitude tier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M≥5.5 star markers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 star icons for major events with popup details (location, date, depth)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Magnitude colormap legend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Continuous scale 1.5–7.0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Layer control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layers togglable independently</w:t>
            </w:r>
          </w:p>
        </w:tc>
      </w:tr>
    </w:tbl>
    <w:p>
      <w:pPr>
        <w:spacing w:after="0" w:before="160"/>
      </w:pPr>
    </w:p>
    <w:p>
      <w:pPr>
        <w:pStyle w:val="Heading2"/>
      </w:pPr>
      <w:r>
        <w:t xml:space="preserve">Magnitude Color Scheme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Approx. Event Count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cc7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Green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 1.5–2.5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~280,000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c4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Yellow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 2.5–3.5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~80,000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Orange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 3.5–4.5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~8,500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 4.5–5.5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~900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 ≥5.5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~125</w:t>
            </w:r>
          </w:p>
        </w:tc>
      </w:tr>
    </w:tbl>
    <w:p>
      <w:pPr>
        <w:spacing w:after="0" w:before="360"/>
      </w:pPr>
    </w:p>
    <w:p>
      <w:pPr>
        <w:pStyle w:val="Heading1"/>
      </w:pPr>
      <w:r>
        <w:t xml:space="preserve">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1200"/>
        <w:gridCol w:w="52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Result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pipeline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 Complete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371,509 clean events, 30-year catalog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Gutenberg–Richter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 Complete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 = 0.992 ± 0.002, R² = 0.998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Omori law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 Complete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sequences, all p-params statistically significant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XGBoost model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 Complete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RMSE 1,729 (45% below naive baseline), LOO R² = 0.74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Folium dashboard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 Complete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Interactive map, 3 layer types, magnitude legend</w:t>
            </w:r>
          </w:p>
        </w:tc>
      </w:tr>
    </w:tbl>
    <w:p>
      <w:pPr>
        <w:spacing w:after="0" w:before="24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California Seismic Modeler — Project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40" w:before="4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8afeaea5a0eeee6b67a88e76cdf4a1b51298263.png"/><Relationship Id="rId10" Type="http://schemas.openxmlformats.org/officeDocument/2006/relationships/image" Target="media/6ede8212d30d294b6c2eefcd3303f10be86ca7f8.png"/><Relationship Id="rId11" Type="http://schemas.openxmlformats.org/officeDocument/2006/relationships/image" Target="media/87cf0662b4d018078c0fb27abe1d3e1f3c548436.png"/><Relationship Id="rId12" Type="http://schemas.openxmlformats.org/officeDocument/2006/relationships/image" Target="media/73e0a096655000228ae8124f5145b453ac305048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2026-06-11T14:05:34.068Z</dcterms:created>
  <dcterms:modified xsi:type="dcterms:W3CDTF">2026-06-11T14:05:34.069Z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