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rPr>
      </w:pPr>
      <w:r>
        <w:rPr>
          <w:b/>
          <w:bCs/>
        </w:rPr>
        <w:t>STATISTICAL ANALYSIS PLAN</w:t>
      </w:r>
    </w:p>
    <w:p>
      <w:pPr>
        <w:pStyle w:val="Normal"/>
        <w:rPr/>
      </w:pPr>
      <w:r>
        <w:rPr>
          <w:b/>
          <w:bCs/>
          <w:sz w:val="28"/>
          <w:szCs w:val="28"/>
        </w:rPr>
        <w:t>Association between TGCT polygenic risk score and risk of relapse in low-risk patients under surveillance.</w:t>
      </w:r>
    </w:p>
    <w:p>
      <w:pPr>
        <w:pStyle w:val="Normal"/>
        <w:rPr/>
      </w:pPr>
      <w:r>
        <w:rPr/>
      </w:r>
    </w:p>
    <w:p>
      <w:pPr>
        <w:pStyle w:val="Normal"/>
        <w:rPr/>
      </w:pPr>
      <w:r>
        <w:rPr/>
        <w:t>Responsible: Emilio Ugalde Morales &lt;emilio.ugalde.morales@ki.se&gt;</w:t>
      </w:r>
    </w:p>
    <w:p>
      <w:pPr>
        <w:pStyle w:val="Normal"/>
        <w:rPr>
          <w:lang w:val="sv-SE"/>
        </w:rPr>
      </w:pPr>
      <w:r>
        <w:rPr>
          <w:lang w:val="sv-SE"/>
        </w:rPr>
        <w:t>PI: Fredrik Wiklund &lt;fredrik.wiklund@ki.se&gt;</w:t>
      </w:r>
    </w:p>
    <w:p>
      <w:pPr>
        <w:pStyle w:val="Normal"/>
        <w:rPr>
          <w:lang w:val="sv-SE"/>
        </w:rPr>
      </w:pPr>
      <w:r>
        <w:rPr>
          <w:lang w:val="sv-SE"/>
        </w:rPr>
      </w:r>
    </w:p>
    <w:p>
      <w:pPr>
        <w:pStyle w:val="Normal"/>
        <w:rPr>
          <w:b/>
          <w:b/>
          <w:bCs/>
        </w:rPr>
      </w:pPr>
      <w:r>
        <w:rPr>
          <w:b/>
          <w:bCs/>
        </w:rPr>
        <w:t>Description</w:t>
      </w:r>
    </w:p>
    <w:p>
      <w:pPr>
        <w:pStyle w:val="Normal"/>
        <w:rPr/>
      </w:pPr>
      <w:r>
        <w:rPr/>
        <w:t>To date 78 established testicular Germ Cell Cancer (TGCT) susceptibility variants have been identified. The aim with this study is to explore if a polygenic risk score (PRS) built on these 78 variants are associated with risk of relapse among patients having surveillance as the primary post-orchidectomy treatment. For that, we seek to pool associations from different populations represented in The Testicular Cancer Consortium.</w:t>
      </w:r>
    </w:p>
    <w:p>
      <w:pPr>
        <w:pStyle w:val="Normal"/>
        <w:rPr/>
      </w:pPr>
      <w:r>
        <w:rPr/>
      </w:r>
    </w:p>
    <w:p>
      <w:pPr>
        <w:pStyle w:val="Normal"/>
        <w:rPr/>
      </w:pPr>
      <w:r>
        <w:rPr>
          <w:b/>
          <w:bCs/>
        </w:rPr>
        <w:t>Study population</w:t>
      </w:r>
    </w:p>
    <w:p>
      <w:pPr>
        <w:pStyle w:val="Normal"/>
        <w:rPr/>
      </w:pPr>
      <w:r>
        <w:rPr/>
        <w:t>Target population will consist of men diagnosed with stage I TGCT tumors with surveillance as primary treatment.</w:t>
      </w:r>
    </w:p>
    <w:p>
      <w:pPr>
        <w:pStyle w:val="Normal"/>
        <w:rPr/>
      </w:pPr>
      <w:r>
        <w:rPr/>
      </w:r>
    </w:p>
    <w:p>
      <w:pPr>
        <w:pStyle w:val="Normal"/>
        <w:rPr>
          <w:b/>
          <w:b/>
          <w:bCs/>
        </w:rPr>
      </w:pPr>
      <w:r>
        <w:rPr>
          <w:b/>
          <w:bCs/>
        </w:rPr>
        <w:t>Exposure</w:t>
      </w:r>
    </w:p>
    <w:p>
      <w:pPr>
        <w:pStyle w:val="Normal"/>
        <w:rPr/>
      </w:pPr>
      <w:r>
        <w:rPr/>
        <w:t xml:space="preserve">A polygenic risk score (PRS) summarizing the individual-level of genetic predisposition to TGCT. This is calculating as the sum of risk alleles weighted by the effect of association with TGCT. TGCT risk estimates (genetic effect sizes) will be retrieved from the latest meta-analysis of TGCT. Individual-level PRS scores will be computed using Plink software.  </w:t>
      </w:r>
    </w:p>
    <w:p>
      <w:pPr>
        <w:pStyle w:val="Normal"/>
        <w:rPr/>
      </w:pPr>
      <w:r>
        <w:rPr/>
      </w:r>
    </w:p>
    <w:p>
      <w:pPr>
        <w:pStyle w:val="Normal"/>
        <w:rPr>
          <w:b/>
          <w:b/>
          <w:bCs/>
        </w:rPr>
      </w:pPr>
      <w:r>
        <w:rPr>
          <w:b/>
          <w:bCs/>
        </w:rPr>
        <w:t>Outcome</w:t>
      </w:r>
    </w:p>
    <w:p>
      <w:pPr>
        <w:pStyle w:val="Normal"/>
        <w:rPr/>
      </w:pPr>
      <w:r>
        <w:rPr/>
        <w:t>Disease relapses (events) during follow-up. The following variables needed:</w:t>
      </w:r>
    </w:p>
    <w:p>
      <w:pPr>
        <w:pStyle w:val="Normal"/>
        <w:numPr>
          <w:ilvl w:val="0"/>
          <w:numId w:val="1"/>
        </w:numPr>
        <w:rPr/>
      </w:pPr>
      <w:r>
        <w:rPr/>
        <w:t>Clinical relapse (yes, no).</w:t>
      </w:r>
    </w:p>
    <w:p>
      <w:pPr>
        <w:pStyle w:val="Normal"/>
        <w:numPr>
          <w:ilvl w:val="0"/>
          <w:numId w:val="1"/>
        </w:numPr>
        <w:rPr/>
      </w:pPr>
      <w:r>
        <w:rPr/>
        <w:t>Time to relapse, or end of follow-up, from diagnosis.</w:t>
      </w:r>
    </w:p>
    <w:p>
      <w:pPr>
        <w:pStyle w:val="Normal"/>
        <w:rPr/>
      </w:pPr>
      <w:r>
        <w:rPr/>
      </w:r>
    </w:p>
    <w:p>
      <w:pPr>
        <w:pStyle w:val="Normal"/>
        <w:rPr>
          <w:b/>
          <w:b/>
          <w:bCs/>
        </w:rPr>
      </w:pPr>
      <w:r>
        <w:rPr>
          <w:b/>
          <w:bCs/>
        </w:rPr>
        <w:t>Co-variates</w:t>
      </w:r>
    </w:p>
    <w:p>
      <w:pPr>
        <w:pStyle w:val="Normal"/>
        <w:rPr/>
      </w:pPr>
      <w:r>
        <w:rPr/>
        <w:t>information on the following phenotypes will be considered in the analysis:</w:t>
      </w:r>
    </w:p>
    <w:p>
      <w:pPr>
        <w:pStyle w:val="Normal"/>
        <w:numPr>
          <w:ilvl w:val="0"/>
          <w:numId w:val="2"/>
        </w:numPr>
        <w:rPr/>
      </w:pPr>
      <w:r>
        <w:rPr/>
        <w:t>Age at diagnosis (years).</w:t>
      </w:r>
    </w:p>
    <w:p>
      <w:pPr>
        <w:pStyle w:val="Normal"/>
        <w:numPr>
          <w:ilvl w:val="0"/>
          <w:numId w:val="2"/>
        </w:numPr>
        <w:rPr/>
      </w:pPr>
      <w:r>
        <w:rPr/>
        <w:t>Histology (seminoma, non-seminoma).</w:t>
      </w:r>
    </w:p>
    <w:p>
      <w:pPr>
        <w:pStyle w:val="Normal"/>
        <w:numPr>
          <w:ilvl w:val="0"/>
          <w:numId w:val="2"/>
        </w:numPr>
        <w:rPr/>
      </w:pPr>
      <w:r>
        <w:rPr/>
        <w:t>Vascular infiltration (yes, no, for non-seminoma) if available.</w:t>
      </w:r>
    </w:p>
    <w:p>
      <w:pPr>
        <w:pStyle w:val="Normal"/>
        <w:numPr>
          <w:ilvl w:val="0"/>
          <w:numId w:val="2"/>
        </w:numPr>
        <w:rPr/>
      </w:pPr>
      <w:r>
        <w:rPr/>
        <w:t>First three genetic principal components (PCs).</w:t>
      </w:r>
    </w:p>
    <w:p>
      <w:pPr>
        <w:pStyle w:val="Normal"/>
        <w:rPr>
          <w:b/>
          <w:b/>
          <w:bCs/>
        </w:rPr>
      </w:pPr>
      <w:r>
        <w:rPr>
          <w:b/>
          <w:bCs/>
        </w:rPr>
      </w:r>
    </w:p>
    <w:p>
      <w:pPr>
        <w:pStyle w:val="Normal"/>
        <w:rPr/>
      </w:pPr>
      <w:r>
        <w:rPr>
          <w:b/>
          <w:bCs/>
        </w:rPr>
        <w:t>Statistical Analysis</w:t>
      </w:r>
    </w:p>
    <w:p>
      <w:pPr>
        <w:pStyle w:val="Normal"/>
        <w:rPr/>
      </w:pPr>
      <w:r>
        <w:rPr/>
        <w:t>Statistical analysis will consist of:</w:t>
      </w:r>
    </w:p>
    <w:p>
      <w:pPr>
        <w:pStyle w:val="Normal"/>
        <w:numPr>
          <w:ilvl w:val="0"/>
          <w:numId w:val="3"/>
        </w:numPr>
        <w:rPr/>
      </w:pPr>
      <w:r>
        <w:rPr/>
        <w:t xml:space="preserve">Testing the association between the PRS and risk of relapse, overall and stratified by histological groups, using Cox regression models. </w:t>
      </w:r>
      <w:r>
        <w:rPr/>
        <w:t xml:space="preserve">PRS will be treated both as a continuous (per-1 standard deviation) variable as well as a categorical variable defined by cases-only percentile subgroups (e.g. median and highest tertile vs. lowest tertile of the PRS). </w:t>
      </w:r>
      <w:moveToRangeEnd w:id="0"/>
    </w:p>
    <w:p>
      <w:pPr>
        <w:pStyle w:val="Normal"/>
        <w:numPr>
          <w:ilvl w:val="0"/>
          <w:numId w:val="4"/>
        </w:numPr>
        <w:rPr/>
      </w:pPr>
      <w:r>
        <w:rPr/>
        <w:t>In sensitivity analysis the same models above will be explored excluding patients with presence of vascular invasion.</w:t>
      </w:r>
    </w:p>
    <w:p>
      <w:pPr>
        <w:pStyle w:val="Normal"/>
        <w:numPr>
          <w:ilvl w:val="0"/>
          <w:numId w:val="3"/>
        </w:numPr>
        <w:rPr/>
      </w:pPr>
      <w:r>
        <w:rPr/>
        <w:t xml:space="preserve">Additional models including age at diagnosis, vascular infiltration, and PCs as co-variates. </w:t>
      </w:r>
    </w:p>
    <w:p>
      <w:pPr>
        <w:pStyle w:val="Normal"/>
        <w:numPr>
          <w:ilvl w:val="0"/>
          <w:numId w:val="3"/>
        </w:numPr>
        <w:rPr/>
      </w:pPr>
      <w:r>
        <w:rPr/>
        <w:t>Estimation of absolute risks of relapse (cumulative incidence) by PRS category (lowest tertile, median and highest tertile).</w:t>
      </w:r>
    </w:p>
    <w:p>
      <w:pPr>
        <w:pStyle w:val="Normal"/>
        <w:numPr>
          <w:ilvl w:val="0"/>
          <w:numId w:val="3"/>
        </w:numPr>
        <w:rPr/>
      </w:pPr>
      <w:r>
        <w:rPr/>
        <w:t>The results from each cohort will be pooled through a meta-analysis.</w:t>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CODEBOOK</w:t>
      </w:r>
    </w:p>
    <w:p>
      <w:pPr>
        <w:pStyle w:val="Normal"/>
        <w:rPr/>
      </w:pPr>
      <w:r>
        <w:rPr/>
      </w:r>
    </w:p>
    <w:tbl>
      <w:tblPr>
        <w:tblW w:w="9816" w:type="dxa"/>
        <w:jc w:val="left"/>
        <w:tblInd w:w="-5" w:type="dxa"/>
        <w:tblLayout w:type="fixed"/>
        <w:tblCellMar>
          <w:top w:w="55" w:type="dxa"/>
          <w:left w:w="55" w:type="dxa"/>
          <w:bottom w:w="55" w:type="dxa"/>
          <w:right w:w="55" w:type="dxa"/>
        </w:tblCellMar>
        <w:tblLook w:val="04a0" w:noHBand="0" w:noVBand="1" w:firstColumn="1" w:lastRow="0" w:lastColumn="0" w:firstRow="1"/>
      </w:tblPr>
      <w:tblGrid>
        <w:gridCol w:w="2022"/>
        <w:gridCol w:w="1482"/>
        <w:gridCol w:w="1747"/>
        <w:gridCol w:w="4564"/>
      </w:tblGrid>
      <w:tr>
        <w:trPr>
          <w:trHeight w:val="256" w:hRule="atLeast"/>
        </w:trPr>
        <w:tc>
          <w:tcPr>
            <w:tcW w:w="2022" w:type="dxa"/>
            <w:tcBorders>
              <w:top w:val="single" w:sz="4" w:space="0" w:color="000000"/>
              <w:bottom w:val="single" w:sz="4" w:space="0" w:color="000000"/>
            </w:tcBorders>
            <w:vAlign w:val="bottom"/>
          </w:tcPr>
          <w:p>
            <w:pPr>
              <w:pStyle w:val="Normal"/>
              <w:widowControl w:val="false"/>
              <w:rPr>
                <w:sz w:val="20"/>
                <w:szCs w:val="20"/>
              </w:rPr>
            </w:pPr>
            <w:r>
              <w:rPr>
                <w:b/>
                <w:sz w:val="20"/>
                <w:szCs w:val="20"/>
              </w:rPr>
              <w:t>Variable</w:t>
            </w:r>
          </w:p>
        </w:tc>
        <w:tc>
          <w:tcPr>
            <w:tcW w:w="1482" w:type="dxa"/>
            <w:tcBorders>
              <w:top w:val="single" w:sz="4" w:space="0" w:color="000000"/>
              <w:bottom w:val="single" w:sz="4" w:space="0" w:color="000000"/>
            </w:tcBorders>
            <w:vAlign w:val="bottom"/>
          </w:tcPr>
          <w:p>
            <w:pPr>
              <w:pStyle w:val="Normal"/>
              <w:widowControl w:val="false"/>
              <w:rPr>
                <w:sz w:val="20"/>
                <w:szCs w:val="20"/>
              </w:rPr>
            </w:pPr>
            <w:r>
              <w:rPr>
                <w:b/>
                <w:sz w:val="20"/>
                <w:szCs w:val="20"/>
              </w:rPr>
              <w:t>Variable name</w:t>
            </w:r>
          </w:p>
        </w:tc>
        <w:tc>
          <w:tcPr>
            <w:tcW w:w="1747" w:type="dxa"/>
            <w:tcBorders>
              <w:top w:val="single" w:sz="4" w:space="0" w:color="000000"/>
              <w:bottom w:val="single" w:sz="4" w:space="0" w:color="000000"/>
            </w:tcBorders>
            <w:vAlign w:val="bottom"/>
          </w:tcPr>
          <w:p>
            <w:pPr>
              <w:pStyle w:val="Normal"/>
              <w:widowControl w:val="false"/>
              <w:rPr>
                <w:sz w:val="20"/>
                <w:szCs w:val="20"/>
              </w:rPr>
            </w:pPr>
            <w:r>
              <w:rPr>
                <w:b/>
                <w:sz w:val="20"/>
                <w:szCs w:val="20"/>
              </w:rPr>
              <w:t>Values</w:t>
            </w:r>
          </w:p>
        </w:tc>
        <w:tc>
          <w:tcPr>
            <w:tcW w:w="4564" w:type="dxa"/>
            <w:tcBorders>
              <w:top w:val="single" w:sz="4" w:space="0" w:color="000000"/>
              <w:bottom w:val="single" w:sz="4" w:space="0" w:color="000000"/>
            </w:tcBorders>
            <w:vAlign w:val="bottom"/>
          </w:tcPr>
          <w:p>
            <w:pPr>
              <w:pStyle w:val="Normal"/>
              <w:widowControl w:val="false"/>
              <w:rPr>
                <w:sz w:val="20"/>
                <w:szCs w:val="20"/>
              </w:rPr>
            </w:pPr>
            <w:r>
              <w:rPr>
                <w:b/>
                <w:sz w:val="20"/>
                <w:szCs w:val="20"/>
              </w:rPr>
              <w:t>Value labels</w:t>
            </w:r>
          </w:p>
        </w:tc>
      </w:tr>
      <w:tr>
        <w:trPr>
          <w:trHeight w:val="256" w:hRule="atLeast"/>
        </w:trPr>
        <w:tc>
          <w:tcPr>
            <w:tcW w:w="2022" w:type="dxa"/>
            <w:tcBorders/>
            <w:tcMar>
              <w:top w:w="0" w:type="dxa"/>
              <w:left w:w="30" w:type="dxa"/>
              <w:bottom w:w="0" w:type="dxa"/>
              <w:right w:w="30" w:type="dxa"/>
            </w:tcMar>
            <w:vAlign w:val="bottom"/>
          </w:tcPr>
          <w:p>
            <w:pPr>
              <w:pStyle w:val="Normal"/>
              <w:widowControl w:val="false"/>
              <w:rPr>
                <w:sz w:val="20"/>
                <w:szCs w:val="20"/>
              </w:rPr>
            </w:pPr>
            <w:r>
              <w:rPr>
                <w:sz w:val="20"/>
                <w:szCs w:val="20"/>
              </w:rPr>
              <w:t>Clinical relapse</w:t>
            </w:r>
          </w:p>
        </w:tc>
        <w:tc>
          <w:tcPr>
            <w:tcW w:w="1482" w:type="dxa"/>
            <w:tcBorders/>
            <w:tcMar>
              <w:top w:w="0" w:type="dxa"/>
              <w:left w:w="30" w:type="dxa"/>
              <w:bottom w:w="0" w:type="dxa"/>
              <w:right w:w="30" w:type="dxa"/>
            </w:tcMar>
            <w:vAlign w:val="bottom"/>
          </w:tcPr>
          <w:p>
            <w:pPr>
              <w:pStyle w:val="Normal"/>
              <w:widowControl w:val="false"/>
              <w:rPr>
                <w:sz w:val="20"/>
                <w:szCs w:val="20"/>
              </w:rPr>
            </w:pPr>
            <w:r>
              <w:rPr>
                <w:sz w:val="20"/>
                <w:szCs w:val="20"/>
              </w:rPr>
              <w:t>recpro</w:t>
            </w:r>
          </w:p>
        </w:tc>
        <w:tc>
          <w:tcPr>
            <w:tcW w:w="1747" w:type="dxa"/>
            <w:tcBorders/>
            <w:tcMar>
              <w:top w:w="0" w:type="dxa"/>
              <w:left w:w="30" w:type="dxa"/>
              <w:bottom w:w="0" w:type="dxa"/>
              <w:right w:w="30" w:type="dxa"/>
            </w:tcMar>
            <w:vAlign w:val="bottom"/>
          </w:tcPr>
          <w:p>
            <w:pPr>
              <w:pStyle w:val="Normal"/>
              <w:widowControl w:val="false"/>
              <w:rPr>
                <w:sz w:val="20"/>
                <w:szCs w:val="20"/>
              </w:rPr>
            </w:pPr>
            <w:r>
              <w:rPr>
                <w:sz w:val="20"/>
                <w:szCs w:val="20"/>
              </w:rPr>
              <w:t>0, 1</w:t>
            </w:r>
          </w:p>
        </w:tc>
        <w:tc>
          <w:tcPr>
            <w:tcW w:w="4564" w:type="dxa"/>
            <w:tcBorders/>
            <w:tcMar>
              <w:top w:w="0" w:type="dxa"/>
              <w:left w:w="30" w:type="dxa"/>
              <w:bottom w:w="0" w:type="dxa"/>
              <w:right w:w="30" w:type="dxa"/>
            </w:tcMar>
            <w:vAlign w:val="bottom"/>
          </w:tcPr>
          <w:p>
            <w:pPr>
              <w:pStyle w:val="Normal"/>
              <w:widowControl w:val="false"/>
              <w:rPr>
                <w:sz w:val="20"/>
                <w:szCs w:val="20"/>
              </w:rPr>
            </w:pPr>
            <w:r>
              <w:rPr>
                <w:sz w:val="20"/>
                <w:szCs w:val="20"/>
              </w:rPr>
              <w:t>No relapse, Relapse</w:t>
            </w:r>
          </w:p>
        </w:tc>
      </w:tr>
      <w:tr>
        <w:trPr>
          <w:trHeight w:val="256" w:hRule="atLeast"/>
        </w:trPr>
        <w:tc>
          <w:tcPr>
            <w:tcW w:w="2022" w:type="dxa"/>
            <w:tcBorders/>
            <w:tcMar>
              <w:top w:w="0" w:type="dxa"/>
              <w:left w:w="30" w:type="dxa"/>
              <w:bottom w:w="0" w:type="dxa"/>
              <w:right w:w="30" w:type="dxa"/>
            </w:tcMar>
            <w:vAlign w:val="bottom"/>
          </w:tcPr>
          <w:p>
            <w:pPr>
              <w:pStyle w:val="Normal"/>
              <w:widowControl w:val="false"/>
              <w:rPr>
                <w:sz w:val="20"/>
                <w:szCs w:val="20"/>
              </w:rPr>
            </w:pPr>
            <w:r>
              <w:rPr>
                <w:sz w:val="20"/>
                <w:szCs w:val="20"/>
              </w:rPr>
              <w:t>Time to relapse</w:t>
            </w:r>
          </w:p>
        </w:tc>
        <w:tc>
          <w:tcPr>
            <w:tcW w:w="1482" w:type="dxa"/>
            <w:tcBorders/>
            <w:tcMar>
              <w:top w:w="0" w:type="dxa"/>
              <w:left w:w="30" w:type="dxa"/>
              <w:bottom w:w="0" w:type="dxa"/>
              <w:right w:w="30" w:type="dxa"/>
            </w:tcMar>
            <w:vAlign w:val="bottom"/>
          </w:tcPr>
          <w:p>
            <w:pPr>
              <w:pStyle w:val="Normal"/>
              <w:widowControl w:val="false"/>
              <w:rPr>
                <w:sz w:val="20"/>
                <w:szCs w:val="20"/>
              </w:rPr>
            </w:pPr>
            <w:r>
              <w:rPr>
                <w:sz w:val="20"/>
                <w:szCs w:val="20"/>
              </w:rPr>
              <w:t>timerec</w:t>
            </w:r>
          </w:p>
        </w:tc>
        <w:tc>
          <w:tcPr>
            <w:tcW w:w="1747" w:type="dxa"/>
            <w:tcBorders/>
            <w:tcMar>
              <w:top w:w="0" w:type="dxa"/>
              <w:left w:w="30" w:type="dxa"/>
              <w:bottom w:w="0" w:type="dxa"/>
              <w:right w:w="30" w:type="dxa"/>
            </w:tcMar>
            <w:vAlign w:val="bottom"/>
          </w:tcPr>
          <w:p>
            <w:pPr>
              <w:pStyle w:val="Normal"/>
              <w:widowControl w:val="false"/>
              <w:rPr>
                <w:sz w:val="20"/>
                <w:szCs w:val="20"/>
              </w:rPr>
            </w:pPr>
            <w:r>
              <w:rPr>
                <w:sz w:val="20"/>
                <w:szCs w:val="20"/>
              </w:rPr>
              <w:t>in years</w:t>
            </w:r>
          </w:p>
        </w:tc>
        <w:tc>
          <w:tcPr>
            <w:tcW w:w="4564" w:type="dxa"/>
            <w:tcBorders/>
            <w:tcMar>
              <w:top w:w="0" w:type="dxa"/>
              <w:left w:w="30" w:type="dxa"/>
              <w:bottom w:w="0" w:type="dxa"/>
              <w:right w:w="30" w:type="dxa"/>
            </w:tcMar>
            <w:vAlign w:val="bottom"/>
          </w:tcPr>
          <w:p>
            <w:pPr>
              <w:pStyle w:val="Normal"/>
              <w:widowControl w:val="false"/>
              <w:rPr>
                <w:sz w:val="20"/>
                <w:szCs w:val="20"/>
              </w:rPr>
            </w:pPr>
            <w:r>
              <w:rPr>
                <w:sz w:val="20"/>
                <w:szCs w:val="20"/>
              </w:rPr>
              <w:t>Time between orchiectomy and relapse, in years</w:t>
            </w:r>
          </w:p>
        </w:tc>
      </w:tr>
      <w:tr>
        <w:trPr>
          <w:trHeight w:val="256" w:hRule="atLeast"/>
        </w:trPr>
        <w:tc>
          <w:tcPr>
            <w:tcW w:w="2022" w:type="dxa"/>
            <w:tcBorders/>
            <w:tcMar>
              <w:top w:w="0" w:type="dxa"/>
              <w:left w:w="30" w:type="dxa"/>
              <w:bottom w:w="0" w:type="dxa"/>
              <w:right w:w="30" w:type="dxa"/>
            </w:tcMar>
            <w:vAlign w:val="bottom"/>
          </w:tcPr>
          <w:p>
            <w:pPr>
              <w:pStyle w:val="Normal"/>
              <w:widowControl w:val="false"/>
              <w:rPr>
                <w:sz w:val="20"/>
                <w:szCs w:val="20"/>
              </w:rPr>
            </w:pPr>
            <w:r>
              <w:rPr>
                <w:sz w:val="20"/>
                <w:szCs w:val="20"/>
              </w:rPr>
              <w:t>Age at diagnosis</w:t>
            </w:r>
          </w:p>
        </w:tc>
        <w:tc>
          <w:tcPr>
            <w:tcW w:w="1482" w:type="dxa"/>
            <w:tcBorders/>
            <w:tcMar>
              <w:top w:w="0" w:type="dxa"/>
              <w:left w:w="30" w:type="dxa"/>
              <w:bottom w:w="0" w:type="dxa"/>
              <w:right w:w="30" w:type="dxa"/>
            </w:tcMar>
            <w:vAlign w:val="bottom"/>
          </w:tcPr>
          <w:p>
            <w:pPr>
              <w:pStyle w:val="Normal"/>
              <w:widowControl w:val="false"/>
              <w:rPr>
                <w:sz w:val="20"/>
                <w:szCs w:val="20"/>
              </w:rPr>
            </w:pPr>
            <w:r>
              <w:rPr>
                <w:sz w:val="20"/>
                <w:szCs w:val="20"/>
              </w:rPr>
              <w:t>age_dx</w:t>
            </w:r>
          </w:p>
        </w:tc>
        <w:tc>
          <w:tcPr>
            <w:tcW w:w="1747" w:type="dxa"/>
            <w:tcBorders/>
            <w:tcMar>
              <w:top w:w="0" w:type="dxa"/>
              <w:left w:w="30" w:type="dxa"/>
              <w:bottom w:w="0" w:type="dxa"/>
              <w:right w:w="30" w:type="dxa"/>
            </w:tcMar>
            <w:vAlign w:val="bottom"/>
          </w:tcPr>
          <w:p>
            <w:pPr>
              <w:pStyle w:val="Normal"/>
              <w:widowControl w:val="false"/>
              <w:rPr>
                <w:sz w:val="20"/>
                <w:szCs w:val="20"/>
              </w:rPr>
            </w:pPr>
            <w:r>
              <w:rPr>
                <w:sz w:val="20"/>
                <w:szCs w:val="20"/>
              </w:rPr>
              <w:t>in years</w:t>
            </w:r>
          </w:p>
        </w:tc>
        <w:tc>
          <w:tcPr>
            <w:tcW w:w="4564" w:type="dxa"/>
            <w:tcBorders/>
            <w:tcMar>
              <w:top w:w="0" w:type="dxa"/>
              <w:left w:w="30" w:type="dxa"/>
              <w:bottom w:w="0" w:type="dxa"/>
              <w:right w:w="30" w:type="dxa"/>
            </w:tcMar>
            <w:vAlign w:val="bottom"/>
          </w:tcPr>
          <w:p>
            <w:pPr>
              <w:pStyle w:val="Normal"/>
              <w:widowControl w:val="false"/>
              <w:rPr>
                <w:sz w:val="20"/>
                <w:szCs w:val="20"/>
              </w:rPr>
            </w:pPr>
            <w:r>
              <w:rPr>
                <w:sz w:val="20"/>
                <w:szCs w:val="20"/>
              </w:rPr>
              <w:t>na</w:t>
            </w:r>
          </w:p>
        </w:tc>
      </w:tr>
      <w:tr>
        <w:trPr>
          <w:trHeight w:val="256" w:hRule="atLeast"/>
        </w:trPr>
        <w:tc>
          <w:tcPr>
            <w:tcW w:w="2022" w:type="dxa"/>
            <w:tcBorders/>
            <w:tcMar>
              <w:top w:w="0" w:type="dxa"/>
              <w:left w:w="30" w:type="dxa"/>
              <w:bottom w:w="0" w:type="dxa"/>
              <w:right w:w="30" w:type="dxa"/>
            </w:tcMar>
            <w:vAlign w:val="bottom"/>
          </w:tcPr>
          <w:p>
            <w:pPr>
              <w:pStyle w:val="Normal"/>
              <w:widowControl w:val="false"/>
              <w:rPr>
                <w:sz w:val="20"/>
                <w:szCs w:val="20"/>
              </w:rPr>
            </w:pPr>
            <w:r>
              <w:rPr>
                <w:sz w:val="20"/>
                <w:szCs w:val="20"/>
              </w:rPr>
              <w:t>Histology</w:t>
            </w:r>
          </w:p>
        </w:tc>
        <w:tc>
          <w:tcPr>
            <w:tcW w:w="1482" w:type="dxa"/>
            <w:tcBorders/>
            <w:tcMar>
              <w:top w:w="0" w:type="dxa"/>
              <w:left w:w="30" w:type="dxa"/>
              <w:bottom w:w="0" w:type="dxa"/>
              <w:right w:w="30" w:type="dxa"/>
            </w:tcMar>
            <w:vAlign w:val="bottom"/>
          </w:tcPr>
          <w:p>
            <w:pPr>
              <w:pStyle w:val="Normal"/>
              <w:widowControl w:val="false"/>
              <w:rPr>
                <w:sz w:val="20"/>
                <w:szCs w:val="20"/>
              </w:rPr>
            </w:pPr>
            <w:r>
              <w:rPr>
                <w:sz w:val="20"/>
                <w:szCs w:val="20"/>
              </w:rPr>
              <w:t>tumortype</w:t>
            </w:r>
          </w:p>
        </w:tc>
        <w:tc>
          <w:tcPr>
            <w:tcW w:w="1747" w:type="dxa"/>
            <w:tcBorders/>
            <w:tcMar>
              <w:top w:w="0" w:type="dxa"/>
              <w:left w:w="30" w:type="dxa"/>
              <w:bottom w:w="0" w:type="dxa"/>
              <w:right w:w="30" w:type="dxa"/>
            </w:tcMar>
            <w:vAlign w:val="bottom"/>
          </w:tcPr>
          <w:p>
            <w:pPr>
              <w:pStyle w:val="Normal"/>
              <w:widowControl w:val="false"/>
              <w:rPr>
                <w:sz w:val="20"/>
                <w:szCs w:val="20"/>
              </w:rPr>
            </w:pPr>
            <w:r>
              <w:rPr>
                <w:sz w:val="20"/>
                <w:szCs w:val="20"/>
              </w:rPr>
              <w:t>S, NS</w:t>
            </w:r>
          </w:p>
        </w:tc>
        <w:tc>
          <w:tcPr>
            <w:tcW w:w="4564" w:type="dxa"/>
            <w:tcBorders/>
            <w:tcMar>
              <w:top w:w="0" w:type="dxa"/>
              <w:left w:w="30" w:type="dxa"/>
              <w:bottom w:w="0" w:type="dxa"/>
              <w:right w:w="30" w:type="dxa"/>
            </w:tcMar>
            <w:vAlign w:val="bottom"/>
          </w:tcPr>
          <w:p>
            <w:pPr>
              <w:pStyle w:val="Normal"/>
              <w:widowControl w:val="false"/>
              <w:rPr>
                <w:sz w:val="20"/>
                <w:szCs w:val="20"/>
              </w:rPr>
            </w:pPr>
            <w:r>
              <w:rPr>
                <w:sz w:val="20"/>
                <w:szCs w:val="20"/>
              </w:rPr>
              <w:t>Seminoma, non-seminoma</w:t>
            </w:r>
          </w:p>
        </w:tc>
      </w:tr>
      <w:tr>
        <w:trPr>
          <w:trHeight w:val="256" w:hRule="atLeast"/>
        </w:trPr>
        <w:tc>
          <w:tcPr>
            <w:tcW w:w="2022" w:type="dxa"/>
            <w:tcBorders>
              <w:bottom w:val="single" w:sz="4" w:space="0" w:color="000000"/>
            </w:tcBorders>
            <w:vAlign w:val="bottom"/>
          </w:tcPr>
          <w:p>
            <w:pPr>
              <w:pStyle w:val="Normal"/>
              <w:widowControl w:val="false"/>
              <w:rPr>
                <w:sz w:val="20"/>
                <w:szCs w:val="20"/>
              </w:rPr>
            </w:pPr>
            <w:r>
              <w:rPr>
                <w:sz w:val="20"/>
                <w:szCs w:val="20"/>
              </w:rPr>
              <w:t>Vascular infiltration</w:t>
            </w:r>
          </w:p>
        </w:tc>
        <w:tc>
          <w:tcPr>
            <w:tcW w:w="1482" w:type="dxa"/>
            <w:tcBorders>
              <w:bottom w:val="single" w:sz="4" w:space="0" w:color="000000"/>
            </w:tcBorders>
            <w:vAlign w:val="bottom"/>
          </w:tcPr>
          <w:p>
            <w:pPr>
              <w:pStyle w:val="Normal"/>
              <w:widowControl w:val="false"/>
              <w:rPr>
                <w:sz w:val="20"/>
                <w:szCs w:val="20"/>
              </w:rPr>
            </w:pPr>
            <w:r>
              <w:rPr>
                <w:sz w:val="20"/>
                <w:szCs w:val="20"/>
              </w:rPr>
              <w:t>vasc</w:t>
            </w:r>
          </w:p>
        </w:tc>
        <w:tc>
          <w:tcPr>
            <w:tcW w:w="1747" w:type="dxa"/>
            <w:tcBorders>
              <w:bottom w:val="single" w:sz="4" w:space="0" w:color="000000"/>
            </w:tcBorders>
            <w:vAlign w:val="bottom"/>
          </w:tcPr>
          <w:p>
            <w:pPr>
              <w:pStyle w:val="Normal"/>
              <w:widowControl w:val="false"/>
              <w:rPr>
                <w:sz w:val="20"/>
                <w:szCs w:val="20"/>
              </w:rPr>
            </w:pPr>
            <w:r>
              <w:rPr>
                <w:sz w:val="20"/>
                <w:szCs w:val="20"/>
              </w:rPr>
              <w:t>0, 1</w:t>
            </w:r>
          </w:p>
        </w:tc>
        <w:tc>
          <w:tcPr>
            <w:tcW w:w="4564" w:type="dxa"/>
            <w:tcBorders>
              <w:bottom w:val="single" w:sz="4" w:space="0" w:color="000000"/>
            </w:tcBorders>
            <w:vAlign w:val="bottom"/>
          </w:tcPr>
          <w:p>
            <w:pPr>
              <w:pStyle w:val="Normal"/>
              <w:widowControl w:val="false"/>
              <w:rPr>
                <w:sz w:val="20"/>
                <w:szCs w:val="20"/>
              </w:rPr>
            </w:pPr>
            <w:r>
              <w:rPr>
                <w:sz w:val="20"/>
                <w:szCs w:val="20"/>
              </w:rPr>
              <w:t>no</w:t>
            </w:r>
            <w:r>
              <w:rPr>
                <w:sz w:val="20"/>
                <w:szCs w:val="20"/>
              </w:rPr>
              <w:t xml:space="preserve">, </w:t>
            </w:r>
            <w:r>
              <w:rPr>
                <w:sz w:val="20"/>
                <w:szCs w:val="20"/>
              </w:rPr>
              <w:t>yes</w:t>
            </w:r>
          </w:p>
        </w:tc>
      </w:tr>
    </w:tbl>
    <w:p>
      <w:pPr>
        <w:pStyle w:val="Normal"/>
        <w:rPr/>
      </w:pPr>
      <w:r>
        <w:rPr/>
      </w:r>
    </w:p>
    <w:p>
      <w:pPr>
        <w:pStyle w:val="Normal"/>
        <w:rPr/>
      </w:pPr>
      <w:r>
        <w:rPr/>
      </w:r>
    </w:p>
    <w:sectPr>
      <w:type w:val="nextPage"/>
      <w:pgSz w:w="11906" w:h="16838"/>
      <w:pgMar w:left="1134" w:right="1134" w:gutter="0" w:header="0" w:top="1134" w:footer="0" w:bottom="1134"/>
      <w:pgNumType w:fmt="decimal"/>
      <w:formProt w:val="false"/>
      <w:textDirection w:val="lrTb"/>
      <w:docGrid w:type="default" w:linePitch="312" w:charSpace="429496094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Annotationreference">
    <w:name w:val="annotation reference"/>
    <w:basedOn w:val="DefaultParagraphFont"/>
    <w:uiPriority w:val="99"/>
    <w:semiHidden/>
    <w:unhideWhenUsed/>
    <w:qFormat/>
    <w:rsid w:val="00d626b3"/>
    <w:rPr>
      <w:sz w:val="16"/>
      <w:szCs w:val="16"/>
    </w:rPr>
  </w:style>
  <w:style w:type="character" w:styleId="CommentTextChar" w:customStyle="1">
    <w:name w:val="Comment Text Char"/>
    <w:basedOn w:val="DefaultParagraphFont"/>
    <w:link w:val="Annotationtext"/>
    <w:uiPriority w:val="99"/>
    <w:semiHidden/>
    <w:qFormat/>
    <w:rsid w:val="00d626b3"/>
    <w:rPr>
      <w:rFonts w:cs="Mangal"/>
      <w:sz w:val="20"/>
      <w:szCs w:val="18"/>
    </w:rPr>
  </w:style>
  <w:style w:type="character" w:styleId="CommentSubjectChar" w:customStyle="1">
    <w:name w:val="Comment Subject Char"/>
    <w:basedOn w:val="CommentTextChar"/>
    <w:link w:val="Annotationsubject"/>
    <w:uiPriority w:val="99"/>
    <w:semiHidden/>
    <w:qFormat/>
    <w:rsid w:val="00d626b3"/>
    <w:rPr>
      <w:rFonts w:cs="Mangal"/>
      <w:b/>
      <w:bCs/>
      <w:sz w:val="20"/>
      <w:szCs w:val="18"/>
    </w:rPr>
  </w:style>
  <w:style w:type="character" w:styleId="LineNumbering">
    <w:name w:val="Line Numbering"/>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Revision">
    <w:name w:val="Revision"/>
    <w:uiPriority w:val="99"/>
    <w:semiHidden/>
    <w:qFormat/>
    <w:rsid w:val="007d0c83"/>
    <w:pPr>
      <w:widowControl/>
      <w:suppressAutoHyphens w:val="false"/>
      <w:bidi w:val="0"/>
      <w:spacing w:before="0" w:after="0"/>
      <w:jc w:val="left"/>
    </w:pPr>
    <w:rPr>
      <w:rFonts w:cs="Mangal" w:ascii="Liberation Serif" w:hAnsi="Liberation Serif" w:eastAsia="Noto Serif CJK SC"/>
      <w:color w:val="auto"/>
      <w:kern w:val="2"/>
      <w:sz w:val="24"/>
      <w:szCs w:val="21"/>
      <w:lang w:val="en-US" w:eastAsia="zh-CN" w:bidi="hi-IN"/>
    </w:rPr>
  </w:style>
  <w:style w:type="paragraph" w:styleId="Annotationtext">
    <w:name w:val="annotation text"/>
    <w:basedOn w:val="Normal"/>
    <w:link w:val="CommentTextChar"/>
    <w:uiPriority w:val="99"/>
    <w:semiHidden/>
    <w:unhideWhenUsed/>
    <w:qFormat/>
    <w:rsid w:val="00d626b3"/>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d626b3"/>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LibreOffice/7.3.7.2$Linux_X86_64 LibreOffice_project/30$Build-2</Application>
  <AppVersion>15.0000</AppVersion>
  <Pages>2</Pages>
  <Words>399</Words>
  <Characters>2361</Characters>
  <CharactersWithSpaces>2701</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2024-11-14T14:37:00Z</dcterms:created>
  <dc:creator>Fredrik Wiklund</dc:creator>
  <dc:description/>
  <dc:language>en-US</dc:language>
  <cp:lastModifiedBy/>
  <dcterms:modified xsi:type="dcterms:W3CDTF">2024-11-14T16:01:09Z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