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p>
    <w:p w:rsidR="00D0267D" w:rsidRDefault="00D0267D" w:rsidP="00D0267D">
      <w:pPr>
        <w:pStyle w:val="ListParagraph"/>
        <w:numPr>
          <w:ilvl w:val="0"/>
          <w:numId w:val="13"/>
        </w:numPr>
      </w:pPr>
      <w:r>
        <w:t>Each step of an example consists of a set of changes</w:t>
      </w:r>
      <w:r w:rsidR="002F6624">
        <w:t xml:space="preserve"> (4)</w:t>
      </w:r>
      <w:r>
        <w:t xml:space="preserve"> and an explanation</w:t>
      </w:r>
      <w:r w:rsidR="002F6624">
        <w:t xml:space="preserve"> (5)</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2F6624">
        <w:t xml:space="preserve">(6) </w:t>
      </w:r>
      <w:r>
        <w:t>of a document</w:t>
      </w:r>
      <w:r w:rsidR="002F6624">
        <w:t xml:space="preserve"> (7)</w:t>
      </w:r>
      <w:r>
        <w:t xml:space="preserve"> or </w:t>
      </w:r>
      <w:r w:rsidR="0015081F">
        <w:t>asking a question</w:t>
      </w:r>
      <w:r w:rsidR="002F6624">
        <w:t xml:space="preserve"> (8)</w:t>
      </w:r>
      <w:r w:rsidR="0015081F">
        <w:t xml:space="preserve"> (open-ended or multiple choice)</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 FK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examples. More details on the implementation of this popul</w:t>
      </w:r>
      <w:r w:rsidR="005462CC">
        <w:t>ation script are provided in Sec</w:t>
      </w:r>
      <w:r>
        <w:t>tion X.</w:t>
      </w:r>
      <w:r w:rsidR="005462CC">
        <w:t xml:space="preserve"> </w:t>
      </w:r>
      <w:r w:rsidR="005462CC">
        <w:lastRenderedPageBreak/>
        <w:t>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lastRenderedPageBreak/>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2"/>
      <w:r w:rsidR="000C1B95">
        <w:t xml:space="preserve"> it</w:t>
      </w:r>
      <w:proofErr w:type="gramEnd"/>
      <w:r w:rsidR="000C1B95">
        <w:t xml:space="preserve"> has been decided </w:t>
      </w:r>
      <w:commentRangeEnd w:id="2"/>
      <w:r w:rsidR="000C1B95">
        <w:rPr>
          <w:rStyle w:val="CommentReference"/>
        </w:rPr>
        <w:commentReference w:id="2"/>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lastRenderedPageBreak/>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3"/>
      <w:r>
        <w:t>objects</w:t>
      </w:r>
      <w:commentRangeEnd w:id="3"/>
      <w:r>
        <w:rPr>
          <w:rStyle w:val="CommentReference"/>
        </w:rPr>
        <w:commentReference w:id="3"/>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lastRenderedPageBreak/>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4"/>
      <w:r w:rsidRPr="00163B05">
        <w:rPr>
          <w:color w:val="EEECE1" w:themeColor="background2"/>
        </w:rPr>
        <w:t>contact the administrators of WEAVE with a request to add the newly created example to the application</w:t>
      </w:r>
      <w:commentRangeEnd w:id="4"/>
      <w:r w:rsidRPr="00163B05">
        <w:rPr>
          <w:rStyle w:val="CommentReference"/>
          <w:color w:val="EEECE1" w:themeColor="background2"/>
        </w:rPr>
        <w:commentReference w:id="4"/>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5"/>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5"/>
      <w:r>
        <w:rPr>
          <w:rStyle w:val="CommentReference"/>
        </w:rPr>
        <w:commentReference w:id="5"/>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lastRenderedPageBreak/>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6"/>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6"/>
      <w:r>
        <w:rPr>
          <w:rStyle w:val="CommentReference"/>
        </w:rPr>
        <w:commentReference w:id="6"/>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7"/>
      <w:r>
        <w:t xml:space="preserve">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w:t>
      </w:r>
      <w:r>
        <w:lastRenderedPageBreak/>
        <w:t>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7"/>
      <w:r>
        <w:rPr>
          <w:rStyle w:val="CommentReference"/>
        </w:rPr>
        <w:commentReference w:id="7"/>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8"/>
      <w:r>
        <w:t>V</w:t>
      </w:r>
      <w:r w:rsidR="009E3BF6">
        <w:t>iew Progress</w:t>
      </w:r>
      <w:r>
        <w:t xml:space="preserve"> icon which navigates the teacher to the statistics page.</w:t>
      </w:r>
      <w:commentRangeEnd w:id="8"/>
      <w:r>
        <w:rPr>
          <w:rStyle w:val="CommentReference"/>
        </w:rPr>
        <w:commentReference w:id="8"/>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9"/>
      <w:r>
        <w:t>teacher</w:t>
      </w:r>
      <w:commentRangeEnd w:id="9"/>
      <w:r>
        <w:rPr>
          <w:rStyle w:val="CommentReference"/>
        </w:rPr>
        <w:commentReference w:id="9"/>
      </w:r>
      <w:r>
        <w:t>.</w:t>
      </w:r>
    </w:p>
    <w:p w:rsidR="000C1B95" w:rsidRDefault="000C1B95" w:rsidP="000C1B95"/>
    <w:p w:rsidR="000C1B95" w:rsidRDefault="000C1B95" w:rsidP="000C1B95">
      <w:r>
        <w:rPr>
          <w:rStyle w:val="CommentReference"/>
        </w:rPr>
        <w:commentReference w:id="10"/>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1"/>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xml:space="preserve">, Lawrence Erlbaum Associates, pp. </w:t>
      </w:r>
      <w:r>
        <w:rPr>
          <w:rFonts w:ascii="Arial" w:hAnsi="Arial" w:cs="Arial"/>
          <w:color w:val="000000"/>
          <w:sz w:val="15"/>
          <w:szCs w:val="15"/>
          <w:shd w:val="clear" w:color="auto" w:fill="F7F7F7"/>
        </w:rPr>
        <w:lastRenderedPageBreak/>
        <w:t>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oth Python and 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ufficient prior experience coming from studying Python in the first year at the University of Glasgow and the Django framework in the Distributed Information 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9"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lastRenderedPageBreak/>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10"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2"/>
      <w:r w:rsidRPr="00C85ED0">
        <w:rPr>
          <w:rFonts w:cs="URWPalladioL-Bold"/>
          <w:bCs/>
        </w:rPr>
        <w:t>developing responsive d</w:t>
      </w:r>
      <w:r>
        <w:rPr>
          <w:rFonts w:cs="URWPalladioL-Bold"/>
          <w:bCs/>
        </w:rPr>
        <w:t xml:space="preserve">esign </w:t>
      </w:r>
      <w:commentRangeEnd w:id="12"/>
      <w:r>
        <w:rPr>
          <w:rStyle w:val="CommentReference"/>
        </w:rPr>
        <w:commentReference w:id="12"/>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3"/>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3"/>
      <w:r>
        <w:rPr>
          <w:rStyle w:val="CommentReference"/>
        </w:rPr>
        <w:commentReference w:id="13"/>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1"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4"/>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w:t>
      </w:r>
      <w:r>
        <w:lastRenderedPageBreak/>
        <w:t xml:space="preserve">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lastRenderedPageBreak/>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5"/>
      <w:r>
        <w:t xml:space="preserve">HTTP requests </w:t>
      </w:r>
      <w:commentRangeEnd w:id="15"/>
      <w:r>
        <w:rPr>
          <w:rStyle w:val="CommentReference"/>
        </w:rPr>
        <w:commentReference w:id="15"/>
      </w:r>
      <w:r>
        <w:t>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lastRenderedPageBreak/>
        <w:t>5.2.2. Translation of the XML Elements</w:t>
      </w:r>
      <w:r w:rsidRPr="00C872E0">
        <w:rPr>
          <w:b/>
          <w:sz w:val="28"/>
          <w:szCs w:val="28"/>
        </w:rPr>
        <w:t xml:space="preserve"> into Database Objects</w:t>
      </w:r>
    </w:p>
    <w:p w:rsidR="000C1B95" w:rsidRPr="008257D4"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6"/>
      <w:r>
        <w:t xml:space="preserve">application </w:t>
      </w:r>
      <w:commentRangeEnd w:id="16"/>
      <w:r>
        <w:rPr>
          <w:rStyle w:val="CommentReference"/>
        </w:rPr>
        <w:commentReference w:id="16"/>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7"/>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7"/>
    <w:p w:rsidR="000C1B95" w:rsidRDefault="000C1B95" w:rsidP="000C1B95">
      <w:r>
        <w:rPr>
          <w:rStyle w:val="CommentReference"/>
        </w:rPr>
        <w:commentReference w:id="17"/>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lastRenderedPageBreak/>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 xml:space="preserve">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w:t>
      </w:r>
      <w:r>
        <w:lastRenderedPageBreak/>
        <w:t>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Default="00774286" w:rsidP="000C1B95">
      <w:r>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&lt;/script&gt;</w:t>
      </w:r>
    </w:p>
    <w:p w:rsidR="00AE73C1" w:rsidRDefault="00AE73C1" w:rsidP="00586C45"/>
    <w:p w:rsidR="004A51B6" w:rsidRDefault="00AE73C1" w:rsidP="00586C45">
      <w:r>
        <w:lastRenderedPageBreak/>
        <w:t xml:space="preserve">The following subsections will describe the problems using this approach. </w:t>
      </w:r>
    </w:p>
    <w:p w:rsidR="00732E19" w:rsidRDefault="00732E19" w:rsidP="00586C45">
      <w: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Default="00732E19" w:rsidP="00586C45">
      <w: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t>What this code does is when the user is finished with the resizing of the explanation panel, is sets the height of the worked examples panels to be equal to the difference between the total height of the interface and the height of the explanation panel.</w:t>
      </w:r>
    </w:p>
    <w:p w:rsidR="00774286" w:rsidRDefault="00774286" w:rsidP="000C1B95"/>
    <w:p w:rsidR="00774286" w:rsidRDefault="00774286" w:rsidP="000C1B95">
      <w:r>
        <w:t>5.5. Showing the Text of the Worked Examples in the Panels</w:t>
      </w:r>
    </w:p>
    <w:p w:rsidR="00774286" w:rsidRDefault="000C1B95" w:rsidP="000C1B95">
      <w:r>
        <w:rPr>
          <w:rStyle w:val="CommentReference"/>
        </w:rPr>
        <w:commentReference w:id="18"/>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bookmarkStart w:id="19" w:name="_GoBack"/>
      <w:bookmarkEnd w:id="19"/>
      <w:r w:rsidR="00B335F2">
        <w:t xml:space="preserve">. However, this is a limitation due to the use of HTML elements and their behaviour. </w:t>
      </w:r>
      <w:r>
        <w:t xml:space="preserve"> </w:t>
      </w:r>
    </w:p>
    <w:p w:rsidR="000C1B95" w:rsidRDefault="000C1B95" w:rsidP="000C1B95">
      <w:r>
        <w:lastRenderedPageBreak/>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2"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3"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4"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5"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6"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7"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8"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9"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0"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1"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2"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3"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4"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5" w:author="Quintin Cutts" w:date="2015-03-27T14:41:00Z" w:initials="QC">
    <w:p w:rsidR="000C1B95" w:rsidRDefault="000C1B95" w:rsidP="000C1B95">
      <w:pPr>
        <w:pStyle w:val="CommentText"/>
      </w:pPr>
      <w:r>
        <w:rPr>
          <w:rStyle w:val="CommentReference"/>
        </w:rPr>
        <w:annotationRef/>
      </w:r>
      <w:r>
        <w:t>As you have earlier, can you connect this to the project by giving an example of each of these different requests in use.</w:t>
      </w:r>
    </w:p>
  </w:comment>
  <w:comment w:id="16" w:author="Quintin Cutts" w:date="2015-03-28T14:56:00Z" w:initials="QC">
    <w:p w:rsidR="000C1B95" w:rsidRDefault="000C1B95" w:rsidP="000C1B95">
      <w:pPr>
        <w:pStyle w:val="CommentText"/>
      </w:pPr>
      <w:r>
        <w:rPr>
          <w:rStyle w:val="CommentReference"/>
        </w:rPr>
        <w:annotationRef/>
      </w:r>
      <w:r w:rsidRPr="008257D4">
        <w:rPr>
          <w:color w:val="EEECE1" w:themeColor="background2"/>
        </w:rPr>
        <w:t>Have you defined what an application is?</w:t>
      </w:r>
    </w:p>
  </w:comment>
  <w:comment w:id="17"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8" w:author="Quintin Cutts" w:date="2015-03-27T14:41:00Z" w:initials="QC">
    <w:p w:rsidR="000C1B95" w:rsidRDefault="000C1B95" w:rsidP="000C1B95">
      <w:pPr>
        <w:pStyle w:val="CommentText"/>
      </w:pPr>
      <w:r>
        <w:rPr>
          <w:rStyle w:val="CommentReference"/>
        </w:rPr>
        <w:annotationRef/>
      </w:r>
      <w: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Default="000C1B95" w:rsidP="000C1B95">
      <w:pPr>
        <w:pStyle w:val="CommentText"/>
      </w:pPr>
    </w:p>
    <w:p w:rsidR="000C1B95" w:rsidRDefault="000C1B95" w:rsidP="000C1B95">
      <w:pPr>
        <w:pStyle w:val="CommentText"/>
      </w:pPr>
      <w: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240D2E"/>
    <w:rsid w:val="00280B1B"/>
    <w:rsid w:val="002A4737"/>
    <w:rsid w:val="002A7CCC"/>
    <w:rsid w:val="002F6624"/>
    <w:rsid w:val="00342857"/>
    <w:rsid w:val="003574CD"/>
    <w:rsid w:val="00374E24"/>
    <w:rsid w:val="00412BD3"/>
    <w:rsid w:val="004A51B6"/>
    <w:rsid w:val="00537563"/>
    <w:rsid w:val="005462CC"/>
    <w:rsid w:val="00586C45"/>
    <w:rsid w:val="006924D4"/>
    <w:rsid w:val="00692A48"/>
    <w:rsid w:val="006D56DE"/>
    <w:rsid w:val="006D6542"/>
    <w:rsid w:val="006E002E"/>
    <w:rsid w:val="00732E19"/>
    <w:rsid w:val="007704B2"/>
    <w:rsid w:val="00774286"/>
    <w:rsid w:val="00790617"/>
    <w:rsid w:val="008257D4"/>
    <w:rsid w:val="00853A18"/>
    <w:rsid w:val="009776B8"/>
    <w:rsid w:val="009E3BF6"/>
    <w:rsid w:val="009F4F2B"/>
    <w:rsid w:val="00A03C81"/>
    <w:rsid w:val="00A855C1"/>
    <w:rsid w:val="00AC5A26"/>
    <w:rsid w:val="00AE73C1"/>
    <w:rsid w:val="00B10525"/>
    <w:rsid w:val="00B335F2"/>
    <w:rsid w:val="00B62870"/>
    <w:rsid w:val="00B63811"/>
    <w:rsid w:val="00B8231E"/>
    <w:rsid w:val="00BD787B"/>
    <w:rsid w:val="00C153C4"/>
    <w:rsid w:val="00C561EB"/>
    <w:rsid w:val="00C8392F"/>
    <w:rsid w:val="00CF6DBC"/>
    <w:rsid w:val="00D0075E"/>
    <w:rsid w:val="00D0267D"/>
    <w:rsid w:val="00DC3295"/>
    <w:rsid w:val="00EB70E2"/>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entypo.com/" TargetMode="External"/><Relationship Id="rId5" Type="http://schemas.openxmlformats.org/officeDocument/2006/relationships/webSettings" Target="webSettings.xml"/><Relationship Id="rId10"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yperlink" Target="http://less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19</Pages>
  <Words>7450</Words>
  <Characters>42468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38</cp:revision>
  <dcterms:created xsi:type="dcterms:W3CDTF">2015-03-27T14:41:00Z</dcterms:created>
  <dcterms:modified xsi:type="dcterms:W3CDTF">2015-03-28T15:59:00Z</dcterms:modified>
</cp:coreProperties>
</file>