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sz w:val="32"/>
          <w:szCs w:val="32"/>
        </w:rPr>
      </w:pPr>
      <w:r>
        <w:rPr>
          <w:b/>
          <w:sz w:val="32"/>
          <w:szCs w:val="32"/>
        </w:rPr>
        <w:lastRenderedPageBreak/>
        <w:t>4.2. The Data Model of Worked Examples</w:t>
      </w:r>
    </w:p>
    <w:p w:rsidR="00D0267D" w:rsidRDefault="00D0267D" w:rsidP="000C1B95">
      <w:r>
        <w:t>The way the worked examples are structured in the XML files generated by the author interface of IWE is shown in detail on Figure X. Below is a quick reminder.</w:t>
      </w:r>
    </w:p>
    <w:p w:rsidR="00D0267D" w:rsidRDefault="00D0267D" w:rsidP="00D0267D">
      <w:pPr>
        <w:pStyle w:val="ListParagraph"/>
        <w:numPr>
          <w:ilvl w:val="0"/>
          <w:numId w:val="13"/>
        </w:numPr>
      </w:pPr>
      <w:r>
        <w:t>Each worked example consists of one or more panels</w:t>
      </w:r>
      <w:r w:rsidR="002F6624">
        <w:t xml:space="preserve"> (1)</w:t>
      </w:r>
      <w:r>
        <w:t>, which show the text of a document for the worked example</w:t>
      </w:r>
      <w:r w:rsidR="002F6624">
        <w:t xml:space="preserve"> (2)</w:t>
      </w:r>
      <w:r>
        <w:t>.</w:t>
      </w:r>
    </w:p>
    <w:p w:rsidR="00D0267D" w:rsidRDefault="00D0267D" w:rsidP="00D0267D">
      <w:pPr>
        <w:pStyle w:val="ListParagraph"/>
        <w:numPr>
          <w:ilvl w:val="0"/>
          <w:numId w:val="13"/>
        </w:numPr>
      </w:pPr>
      <w:r>
        <w:t>The text of each document of a worked example is split into different fragments</w:t>
      </w:r>
      <w:r w:rsidR="002F6624">
        <w:t xml:space="preserve"> (3)</w:t>
      </w:r>
      <w:r>
        <w:t xml:space="preserve"> (portions of the text for the example). </w:t>
      </w:r>
    </w:p>
    <w:p w:rsidR="00D0267D" w:rsidRDefault="00D0267D" w:rsidP="00D0267D">
      <w:pPr>
        <w:pStyle w:val="ListParagraph"/>
        <w:numPr>
          <w:ilvl w:val="0"/>
          <w:numId w:val="13"/>
        </w:numPr>
      </w:pPr>
      <w:r>
        <w:t>Processes define the steps for each example</w:t>
      </w:r>
      <w:r w:rsidR="002F6624">
        <w:t xml:space="preserve"> (X)</w:t>
      </w:r>
      <w:r>
        <w:t>.</w:t>
      </w:r>
      <w:r w:rsidR="004710D4">
        <w:t xml:space="preserve"> There are many steps for each worked </w:t>
      </w:r>
      <w:proofErr w:type="gramStart"/>
      <w:r w:rsidR="004710D4">
        <w:t>example(</w:t>
      </w:r>
      <w:proofErr w:type="gramEnd"/>
      <w:r w:rsidR="004710D4">
        <w:t>4).</w:t>
      </w:r>
    </w:p>
    <w:p w:rsidR="00D0267D" w:rsidRDefault="00D0267D" w:rsidP="00D0267D">
      <w:pPr>
        <w:pStyle w:val="ListParagraph"/>
        <w:numPr>
          <w:ilvl w:val="0"/>
          <w:numId w:val="13"/>
        </w:numPr>
      </w:pPr>
      <w:r>
        <w:t>Each step of an example consists of a set of changes</w:t>
      </w:r>
      <w:r w:rsidR="004710D4">
        <w:t xml:space="preserve"> (5</w:t>
      </w:r>
      <w:r w:rsidR="002F6624">
        <w:t>)</w:t>
      </w:r>
      <w:r>
        <w:t xml:space="preserve"> and an explanation</w:t>
      </w:r>
      <w:r w:rsidR="004710D4">
        <w:t xml:space="preserve"> (6</w:t>
      </w:r>
      <w:r w:rsidR="002F6624">
        <w:t>)</w:t>
      </w:r>
      <w:r>
        <w:t>.</w:t>
      </w:r>
    </w:p>
    <w:p w:rsidR="00EB70E2" w:rsidRDefault="00D0267D" w:rsidP="00EB70E2">
      <w:pPr>
        <w:pStyle w:val="ListParagraph"/>
        <w:numPr>
          <w:ilvl w:val="0"/>
          <w:numId w:val="13"/>
        </w:numPr>
      </w:pPr>
      <w:r>
        <w:t>A change can involve either showing/hiding/highlighting/</w:t>
      </w:r>
      <w:proofErr w:type="spellStart"/>
      <w:r>
        <w:t>unhighlighting</w:t>
      </w:r>
      <w:proofErr w:type="spellEnd"/>
      <w:r>
        <w:t xml:space="preserve"> a fragment </w:t>
      </w:r>
      <w:r w:rsidR="004710D4">
        <w:t>(7</w:t>
      </w:r>
      <w:r w:rsidR="002F6624">
        <w:t xml:space="preserve">) </w:t>
      </w:r>
      <w:r>
        <w:t>of a document</w:t>
      </w:r>
      <w:r w:rsidR="002F6624">
        <w:t xml:space="preserve"> (</w:t>
      </w:r>
      <w:r w:rsidR="004710D4">
        <w:t>8</w:t>
      </w:r>
      <w:r w:rsidR="002F6624">
        <w:t>)</w:t>
      </w:r>
      <w:r>
        <w:t xml:space="preserve"> or </w:t>
      </w:r>
      <w:r w:rsidR="0015081F">
        <w:t>asking a question</w:t>
      </w:r>
      <w:r w:rsidR="004710D4">
        <w:t xml:space="preserve"> (9</w:t>
      </w:r>
      <w:r w:rsidR="002F6624">
        <w:t>)</w:t>
      </w:r>
      <w:r w:rsidR="0015081F">
        <w:t xml:space="preserve"> (open-ended or multiple choice</w:t>
      </w:r>
      <w:r w:rsidR="004710D4">
        <w:t xml:space="preserve"> (10)</w:t>
      </w:r>
      <w:r w:rsidR="0015081F">
        <w:t>)</w:t>
      </w:r>
    </w:p>
    <w:p w:rsidR="00D0267D" w:rsidRDefault="00EB70E2" w:rsidP="00EB70E2">
      <w:r>
        <w:t xml:space="preserve">The structure of the XML files determines to a great extent how the worked examples are stored in the database. </w:t>
      </w:r>
      <w:r w:rsidRPr="00EB70E2">
        <w:rPr>
          <w:b/>
        </w:rPr>
        <w:t>Figure 4.1</w:t>
      </w:r>
      <w:r>
        <w:t xml:space="preserve"> shows the UML Entity-Relationship diagra</w:t>
      </w:r>
      <w:r w:rsidR="001872A8">
        <w:t>m for the worked examples in WEAVE</w:t>
      </w:r>
      <w:r>
        <w:t xml:space="preserve">. The numbers associated with </w:t>
      </w:r>
      <w:r w:rsidR="001872A8">
        <w:t xml:space="preserve">a </w:t>
      </w:r>
      <w:r>
        <w:t>particular relationship between the entities correspond to the numbers in the bullet points above to illustrate the similarities between the two methods of representation of the worked examples for the different system</w:t>
      </w:r>
      <w:r w:rsidR="001872A8">
        <w:t>s</w:t>
      </w:r>
      <w:r>
        <w:t xml:space="preserve">. Please note the bullet point that has X instead of a number. This </w:t>
      </w:r>
      <w:r w:rsidR="006E002E">
        <w:t>element in the XML files was foun</w:t>
      </w:r>
      <w:r>
        <w:t>d unnecessary when storing the worked examples in the database an</w:t>
      </w:r>
      <w:r w:rsidR="001872A8">
        <w:t xml:space="preserve">d it would have led to </w:t>
      </w:r>
      <w:r>
        <w:t>redundancy. Instead, each worked example</w:t>
      </w:r>
      <w:r w:rsidR="006E002E">
        <w:t xml:space="preserve"> (referred to as an application in both Figure X and Figure 4.1) is associated with a set of steps. The order of these steps is determined by the order</w:t>
      </w:r>
      <w:r w:rsidR="0014645D">
        <w:t xml:space="preserve"> attribute</w:t>
      </w:r>
      <w:r w:rsidR="006E002E">
        <w:t xml:space="preserve"> of the Step entity. When a worked example is loaded, all the steps for this example are retrieved and are shown in the order defined by their order attribute.</w:t>
      </w:r>
    </w:p>
    <w:p w:rsidR="004710D4" w:rsidRDefault="004710D4" w:rsidP="00EB70E2">
      <w:r>
        <w:rPr>
          <w:noProof/>
          <w:lang w:eastAsia="en-GB"/>
        </w:rPr>
        <w:lastRenderedPageBreak/>
        <w:drawing>
          <wp:inline distT="0" distB="0" distL="0" distR="0">
            <wp:extent cx="5731510" cy="5314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dExamplesER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rsidR="002F6624" w:rsidRPr="00D0267D" w:rsidRDefault="002F6624" w:rsidP="00EB70E2">
      <w:r>
        <w:t>Please note that this is a simp</w:t>
      </w:r>
      <w:r w:rsidR="0014645D">
        <w:t>lified version of the objects storing</w:t>
      </w:r>
      <w:r>
        <w:t xml:space="preserve"> the worked examples for illustration purposes. As with the XML files, there are objects for the different type and style of documents and fragments. </w:t>
      </w:r>
      <w:proofErr w:type="gramStart"/>
      <w:r>
        <w:t>Inserting them in the UML Entity-Relat</w:t>
      </w:r>
      <w:r w:rsidR="0014645D">
        <w:t>ional diagram on Figure 4.1.</w:t>
      </w:r>
      <w:proofErr w:type="gramEnd"/>
      <w:r w:rsidR="0014645D">
        <w:t xml:space="preserve"> </w:t>
      </w:r>
      <w:proofErr w:type="gramStart"/>
      <w:r w:rsidR="0014645D">
        <w:t>would</w:t>
      </w:r>
      <w:proofErr w:type="gramEnd"/>
      <w:r w:rsidR="0014645D">
        <w:t xml:space="preserve"> have made</w:t>
      </w:r>
      <w:r>
        <w:t xml:space="preserve"> it unclear and difficult to read. The type and style of documents and fragments are defined using foreign key relationships with the respective objects. </w:t>
      </w:r>
      <w:proofErr w:type="gramStart"/>
      <w:r>
        <w:t>On Figure 4.1.</w:t>
      </w:r>
      <w:proofErr w:type="gramEnd"/>
      <w:r>
        <w:t xml:space="preserve"> </w:t>
      </w:r>
      <w:proofErr w:type="gramStart"/>
      <w:r>
        <w:t>these</w:t>
      </w:r>
      <w:proofErr w:type="gramEnd"/>
      <w:r>
        <w:t xml:space="preserve"> foreign key relationships are expressed by adding</w:t>
      </w:r>
      <w:r w:rsidRPr="004710D4">
        <w:rPr>
          <w:i/>
        </w:rPr>
        <w:t xml:space="preserve"> </w:t>
      </w:r>
      <w:r w:rsidR="00497FA5">
        <w:t>(</w:t>
      </w:r>
      <w:r w:rsidRPr="004710D4">
        <w:rPr>
          <w:i/>
        </w:rPr>
        <w:t>FK</w:t>
      </w:r>
      <w:r w:rsidR="00497FA5">
        <w:t>)</w:t>
      </w:r>
      <w:r>
        <w:t xml:space="preserve"> next to the name of the object for the particular type or style involved in this relationship.</w:t>
      </w:r>
    </w:p>
    <w:p w:rsidR="00126FA3" w:rsidRDefault="00126FA3" w:rsidP="000C1B95">
      <w:pPr>
        <w:rPr>
          <w:b/>
          <w:sz w:val="32"/>
          <w:szCs w:val="32"/>
        </w:rPr>
      </w:pPr>
    </w:p>
    <w:p w:rsidR="000C1B95" w:rsidRDefault="00CF6DBC" w:rsidP="000C1B95">
      <w:pPr>
        <w:rPr>
          <w:b/>
          <w:sz w:val="32"/>
          <w:szCs w:val="32"/>
        </w:rPr>
      </w:pPr>
      <w:r>
        <w:rPr>
          <w:b/>
          <w:sz w:val="32"/>
          <w:szCs w:val="32"/>
        </w:rPr>
        <w:t>4.3. Design for the Translation of the Worked Examples from XML Elements into Database Objects</w:t>
      </w:r>
    </w:p>
    <w:p w:rsidR="00CF6DBC" w:rsidRPr="00CF6DBC" w:rsidRDefault="00CF6DBC" w:rsidP="000C1B95">
      <w:r>
        <w:t>The database is populated with the elements stored in the XML files</w:t>
      </w:r>
      <w:r w:rsidR="009776B8">
        <w:t xml:space="preserve"> produced by the author interface of IWE</w:t>
      </w:r>
      <w:r>
        <w:t xml:space="preserve"> via a command line interface.  A population script- population_script.py file</w:t>
      </w:r>
      <w:r w:rsidR="009776B8">
        <w:t>-</w:t>
      </w:r>
      <w:r>
        <w:t xml:space="preserve"> is run on the command line. It takes one optional parameter to specify the path to the XML files. If this parameter in not provided, the script will look for the files in a default directory for storing the </w:t>
      </w:r>
      <w:r>
        <w:lastRenderedPageBreak/>
        <w:t>examples. More details on the implementation of this popul</w:t>
      </w:r>
      <w:r w:rsidR="005462CC">
        <w:t>ation script are provided in Sec</w:t>
      </w:r>
      <w:r>
        <w:t>tion X.</w:t>
      </w:r>
      <w:r w:rsidR="005462CC">
        <w:t xml:space="preserve"> Instructions on how to run the script and where the example directory is are provided in a readme.txt file in the project as well.</w:t>
      </w:r>
      <w:r>
        <w:t xml:space="preserve"> </w:t>
      </w:r>
    </w:p>
    <w:p w:rsidR="00CF6DBC" w:rsidRPr="00CF6DBC" w:rsidRDefault="00CF6DBC" w:rsidP="000C1B95"/>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1"/>
      <w:r>
        <w:t xml:space="preserve">ethical issues discussed in </w:t>
      </w:r>
      <w:r w:rsidRPr="007901A6">
        <w:rPr>
          <w:b/>
        </w:rPr>
        <w:t>Section 3.3.2</w:t>
      </w:r>
      <w:r>
        <w:t xml:space="preserve">. </w:t>
      </w:r>
      <w:commentRangeEnd w:id="1"/>
      <w:r>
        <w:rPr>
          <w:rStyle w:val="CommentReference"/>
        </w:rPr>
        <w:commentReference w:id="1"/>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AC161A" w:rsidRDefault="00AC161A" w:rsidP="000C1B95"/>
    <w:p w:rsidR="004A2D5D" w:rsidRPr="007A47F6" w:rsidRDefault="004A2D5D" w:rsidP="000C1B95">
      <w:pPr>
        <w:rPr>
          <w:b/>
          <w:sz w:val="32"/>
          <w:szCs w:val="32"/>
        </w:rPr>
      </w:pPr>
      <w:r w:rsidRPr="007A47F6">
        <w:rPr>
          <w:b/>
          <w:sz w:val="32"/>
          <w:szCs w:val="32"/>
        </w:rPr>
        <w:t>4.3. The data model for the users of WEAVE</w:t>
      </w:r>
    </w:p>
    <w:p w:rsidR="004A2D5D" w:rsidRDefault="004A2D5D" w:rsidP="000C1B95">
      <w:r>
        <w:t>There are four classes in the database which represent the special relationship between pupils and their teachers and classes. These are shown in the UML Entity-Relationship Diagram shown on Figure 4.2.</w:t>
      </w:r>
    </w:p>
    <w:p w:rsidR="00AC3BA9" w:rsidRDefault="00AC3BA9" w:rsidP="000C1B95">
      <w:bookmarkStart w:id="2" w:name="_GoBack"/>
      <w:r>
        <w:rPr>
          <w:noProof/>
          <w:lang w:eastAsia="en-GB"/>
        </w:rPr>
        <w:lastRenderedPageBreak/>
        <w:drawing>
          <wp:inline distT="0" distB="0" distL="0" distR="0">
            <wp:extent cx="5731510" cy="2058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R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058670"/>
                    </a:xfrm>
                    <a:prstGeom prst="rect">
                      <a:avLst/>
                    </a:prstGeom>
                  </pic:spPr>
                </pic:pic>
              </a:graphicData>
            </a:graphic>
          </wp:inline>
        </w:drawing>
      </w:r>
      <w:bookmarkEnd w:id="2"/>
    </w:p>
    <w:p w:rsidR="004A2D5D" w:rsidRDefault="004A2D5D" w:rsidP="000C1B95">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3"/>
      <w:r w:rsidR="000C1B95">
        <w:t xml:space="preserve"> it</w:t>
      </w:r>
      <w:proofErr w:type="gramEnd"/>
      <w:r w:rsidR="000C1B95">
        <w:t xml:space="preserve"> has been decided </w:t>
      </w:r>
      <w:commentRangeEnd w:id="3"/>
      <w:r w:rsidR="000C1B95">
        <w:rPr>
          <w:rStyle w:val="CommentReference"/>
        </w:rPr>
        <w:commentReference w:id="3"/>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w:t>
      </w:r>
      <w:r>
        <w:lastRenderedPageBreak/>
        <w:t xml:space="preserve">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 xml:space="preserve">The second component is the connection point between IWE and WEAVE. This is where the translation of the XML elements takes place, so that the examples can be stored in the form of ORM objects. This translation is done with an XML parser. The </w:t>
      </w:r>
      <w:r>
        <w:lastRenderedPageBreak/>
        <w:t>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4"/>
      <w:r>
        <w:t>objects</w:t>
      </w:r>
      <w:commentRangeEnd w:id="4"/>
      <w:r>
        <w:rPr>
          <w:rStyle w:val="CommentReference"/>
        </w:rPr>
        <w:commentReference w:id="4"/>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w:t>
      </w:r>
      <w:r w:rsidR="00163B05">
        <w:t xml:space="preserve"> This is an intermediate step between moving from using entirely IWE to using entirely WEAVE. For this purpose, no author graphical user interface is provided.</w:t>
      </w:r>
      <w:r>
        <w:t xml:space="preserve"> To </w:t>
      </w:r>
      <w:r w:rsidR="00163B05">
        <w:t>create new</w:t>
      </w:r>
      <w:r>
        <w:t xml:space="preserve"> examples</w:t>
      </w:r>
      <w:r w:rsidR="00163B05">
        <w:t xml:space="preserve">, authors need to use the author interface of IWE. These examples are then added to WEAVE via a command line interface. </w:t>
      </w:r>
      <w:r w:rsidR="00163B05" w:rsidRPr="00163B05">
        <w:rPr>
          <w:color w:val="EEECE1" w:themeColor="background2"/>
        </w:rPr>
        <w:t>. Adding these worked examples to WEAVE is done via a command line interface for the time being.</w:t>
      </w:r>
      <w:r w:rsidRPr="00163B05">
        <w:rPr>
          <w:color w:val="EEECE1" w:themeColor="background2"/>
        </w:rPr>
        <w:t xml:space="preserve"> </w:t>
      </w:r>
      <w:proofErr w:type="gramStart"/>
      <w:r w:rsidRPr="00163B05">
        <w:rPr>
          <w:color w:val="EEECE1" w:themeColor="background2"/>
        </w:rPr>
        <w:t>and</w:t>
      </w:r>
      <w:proofErr w:type="gramEnd"/>
      <w:r w:rsidRPr="00163B05">
        <w:rPr>
          <w:color w:val="EEECE1" w:themeColor="background2"/>
        </w:rPr>
        <w:t xml:space="preserve"> </w:t>
      </w:r>
      <w:commentRangeStart w:id="5"/>
      <w:r w:rsidRPr="00163B05">
        <w:rPr>
          <w:color w:val="EEECE1" w:themeColor="background2"/>
        </w:rPr>
        <w:t>contact the administrators of WEAVE with a request to add the newly created example to the application</w:t>
      </w:r>
      <w:commentRangeEnd w:id="5"/>
      <w:r w:rsidRPr="00163B05">
        <w:rPr>
          <w:rStyle w:val="CommentReference"/>
          <w:color w:val="EEECE1" w:themeColor="background2"/>
        </w:rPr>
        <w:commentReference w:id="5"/>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lastRenderedPageBreak/>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In order to be able to exploit the worked examples viewer in an o</w:t>
      </w:r>
      <w:r w:rsidR="002842D4">
        <w:tab/>
      </w:r>
      <w:proofErr w:type="spellStart"/>
      <w:r>
        <w:t>ptimal</w:t>
      </w:r>
      <w:proofErr w:type="spellEnd"/>
      <w:r>
        <w:t xml:space="preserve">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6"/>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6"/>
      <w:r>
        <w:rPr>
          <w:rStyle w:val="CommentReference"/>
        </w:rPr>
        <w:commentReference w:id="6"/>
      </w:r>
      <w:r w:rsidR="00B10525">
        <w:t xml:space="preserve"> Screenshots of the tutorials in the two systems are shown on Figure 4.2. </w:t>
      </w:r>
      <w:proofErr w:type="gramStart"/>
      <w:r w:rsidR="00B10525">
        <w:t>for</w:t>
      </w:r>
      <w:proofErr w:type="gramEnd"/>
      <w:r w:rsidR="00B10525">
        <w:t xml:space="preserve"> comparison.</w:t>
      </w:r>
    </w:p>
    <w:p w:rsidR="00B10525" w:rsidRDefault="00B10525" w:rsidP="000C1B95">
      <w:r>
        <w:rPr>
          <w:noProof/>
          <w:lang w:eastAsia="en-GB"/>
        </w:rPr>
        <w:drawing>
          <wp:inline distT="0" distB="0" distL="0" distR="0">
            <wp:extent cx="5731510" cy="2127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VE vs IWE tutor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t>The page for viewing a worked example is very similar to the one used for the IWE student interface.</w:t>
      </w:r>
      <w:proofErr w:type="gramEnd"/>
      <w:r>
        <w:t xml:space="preserve"> However, due to constraints imposed by the size of the screens in schools, </w:t>
      </w:r>
      <w:commentRangeStart w:id="7"/>
      <w:r>
        <w:t xml:space="preserve">the design needed to be adjusted accordingly. The area for selecting an example (referred to as </w:t>
      </w:r>
      <w:r w:rsidRPr="00B24CFF">
        <w:rPr>
          <w:b/>
        </w:rPr>
        <w:t>Element 1</w:t>
      </w:r>
      <w:r>
        <w:t xml:space="preserve"> in </w:t>
      </w:r>
      <w:r w:rsidRPr="00B24CFF">
        <w:rPr>
          <w:b/>
        </w:rPr>
        <w:t>Figure 2.3</w:t>
      </w:r>
      <w:r>
        <w:t xml:space="preserve">) is </w:t>
      </w:r>
      <w:commentRangeEnd w:id="7"/>
      <w:r>
        <w:rPr>
          <w:rStyle w:val="CommentReference"/>
        </w:rPr>
        <w:commentReference w:id="7"/>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lastRenderedPageBreak/>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8"/>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8"/>
      <w:r>
        <w:rPr>
          <w:rStyle w:val="CommentReference"/>
        </w:rPr>
        <w:commentReference w:id="8"/>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9"/>
      <w:r>
        <w:t>V</w:t>
      </w:r>
      <w:r w:rsidR="009E3BF6">
        <w:t>iew Progress</w:t>
      </w:r>
      <w:r>
        <w:t xml:space="preserve"> icon which navigates the teacher to the statistics page.</w:t>
      </w:r>
      <w:commentRangeEnd w:id="9"/>
      <w:r>
        <w:rPr>
          <w:rStyle w:val="CommentReference"/>
        </w:rPr>
        <w:commentReference w:id="9"/>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 xml:space="preserve">Teachers print this group sheet and fill in the names of their students by hand. This avoids any potential problems with storing identification information in the system. Teachers can then cut one of the columns for the student ids, further cutting the column </w:t>
      </w:r>
      <w:r>
        <w:lastRenderedPageBreak/>
        <w:t>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10"/>
      <w:r>
        <w:t>teacher</w:t>
      </w:r>
      <w:commentRangeEnd w:id="10"/>
      <w:r>
        <w:rPr>
          <w:rStyle w:val="CommentReference"/>
        </w:rPr>
        <w:commentReference w:id="10"/>
      </w:r>
      <w:r>
        <w:t>.</w:t>
      </w:r>
    </w:p>
    <w:p w:rsidR="000C1B95" w:rsidRDefault="000C1B95" w:rsidP="000C1B95"/>
    <w:p w:rsidR="000C1B95" w:rsidRDefault="000C1B95" w:rsidP="000C1B95">
      <w:r>
        <w:rPr>
          <w:rStyle w:val="CommentReference"/>
        </w:rPr>
        <w:commentReference w:id="11"/>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lastRenderedPageBreak/>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2A7CCC" w:rsidRDefault="00A03C81" w:rsidP="000C1B95">
      <w:pPr>
        <w:autoSpaceDE w:val="0"/>
        <w:autoSpaceDN w:val="0"/>
        <w:adjustRightInd w:val="0"/>
        <w:spacing w:after="0" w:line="240" w:lineRule="auto"/>
        <w:rPr>
          <w:rFonts w:cs="URWPalladioL-Bold"/>
          <w:bCs/>
        </w:rPr>
      </w:pPr>
      <w:r>
        <w:rPr>
          <w:rFonts w:cs="URWPalladioL-Bold"/>
          <w:bCs/>
        </w:rPr>
        <w:t>The choice for a web-application development framework was of crucial importance for this level 4 project. To facilitate the most suitable choice of framework, the Questions-Options-Criteria design model was used (</w:t>
      </w:r>
      <w:r>
        <w:rPr>
          <w:rFonts w:ascii="Arial" w:hAnsi="Arial" w:cs="Arial"/>
          <w:color w:val="000000"/>
          <w:sz w:val="15"/>
          <w:szCs w:val="15"/>
          <w:shd w:val="clear" w:color="auto" w:fill="F7F7F7"/>
        </w:rPr>
        <w:t>Maclean, A.; Young, RM.; Bellotti, VME.; Moran, T. (1996), "Questions, Options, and Criteria: Elements of Design Space Analysis", in Moran, T.; Carroll, J.,</w:t>
      </w:r>
      <w:r>
        <w:rPr>
          <w:rStyle w:val="apple-converted-space"/>
          <w:rFonts w:ascii="Arial" w:hAnsi="Arial" w:cs="Arial"/>
          <w:color w:val="000000"/>
          <w:sz w:val="15"/>
          <w:szCs w:val="15"/>
          <w:shd w:val="clear" w:color="auto" w:fill="F7F7F7"/>
        </w:rPr>
        <w:t> </w:t>
      </w:r>
      <w:r>
        <w:rPr>
          <w:rFonts w:ascii="Arial" w:hAnsi="Arial" w:cs="Arial"/>
          <w:i/>
          <w:iCs/>
          <w:color w:val="000000"/>
          <w:sz w:val="15"/>
          <w:szCs w:val="15"/>
          <w:shd w:val="clear" w:color="auto" w:fill="F7F7F7"/>
        </w:rPr>
        <w:t>Design Rationale Concepts, Techniques, and Use</w:t>
      </w:r>
      <w:r>
        <w:rPr>
          <w:rFonts w:ascii="Arial" w:hAnsi="Arial" w:cs="Arial"/>
          <w:color w:val="000000"/>
          <w:sz w:val="15"/>
          <w:szCs w:val="15"/>
          <w:shd w:val="clear" w:color="auto" w:fill="F7F7F7"/>
        </w:rPr>
        <w:t>, Lawrence Erlbaum Associates, pp. 53-106</w:t>
      </w:r>
      <w:proofErr w:type="gramStart"/>
      <w:r>
        <w:rPr>
          <w:rFonts w:ascii="Arial" w:hAnsi="Arial" w:cs="Arial"/>
          <w:color w:val="000000"/>
          <w:sz w:val="15"/>
          <w:szCs w:val="15"/>
          <w:shd w:val="clear" w:color="auto" w:fill="F7F7F7"/>
        </w:rPr>
        <w:t xml:space="preserve">) </w:t>
      </w:r>
      <w:r>
        <w:rPr>
          <w:rFonts w:cs="URWPalladioL-Bold"/>
          <w:bCs/>
        </w:rPr>
        <w:t>.</w:t>
      </w:r>
      <w:proofErr w:type="gramEnd"/>
      <w:r>
        <w:rPr>
          <w:rFonts w:cs="URWPalladioL-Bold"/>
          <w:bCs/>
        </w:rPr>
        <w:t xml:space="preserve">  </w:t>
      </w:r>
      <w:proofErr w:type="gramStart"/>
      <w:r>
        <w:rPr>
          <w:rFonts w:cs="URWPalladioL-Bold"/>
          <w:bCs/>
        </w:rPr>
        <w:t>Figure 5.1.</w:t>
      </w:r>
      <w:proofErr w:type="gramEnd"/>
      <w:r>
        <w:rPr>
          <w:rFonts w:cs="URWPalladioL-Bold"/>
          <w:bCs/>
        </w:rPr>
        <w:t xml:space="preserve"> </w:t>
      </w:r>
      <w:proofErr w:type="gramStart"/>
      <w:r>
        <w:rPr>
          <w:rFonts w:cs="URWPalladioL-Bold"/>
          <w:bCs/>
        </w:rPr>
        <w:t>shows</w:t>
      </w:r>
      <w:proofErr w:type="gramEnd"/>
      <w:r>
        <w:rPr>
          <w:rFonts w:cs="URWPalladioL-Bold"/>
          <w:bCs/>
        </w:rPr>
        <w:t xml:space="preserve"> the question, the different options and the criteria considered for this project. </w:t>
      </w:r>
      <w:r w:rsidR="000C1B95" w:rsidRPr="00C85ED0">
        <w:rPr>
          <w:rFonts w:cs="URWPalladioL-Bold"/>
          <w:bCs/>
        </w:rPr>
        <w:t xml:space="preserve">Based </w:t>
      </w:r>
      <w:r>
        <w:rPr>
          <w:rFonts w:cs="URWPalladioL-Bold"/>
          <w:bCs/>
        </w:rPr>
        <w:t>on the maximum satisfaction of the criteria in Figure 5.1.,</w:t>
      </w:r>
      <w:r w:rsidR="000C1B95" w:rsidRPr="00C85ED0">
        <w:rPr>
          <w:rFonts w:cs="URWPalladioL-Bold"/>
          <w:bCs/>
        </w:rPr>
        <w:t xml:space="preserve"> the Django web </w:t>
      </w:r>
      <w:proofErr w:type="gramStart"/>
      <w:r w:rsidR="000C1B95">
        <w:rPr>
          <w:rFonts w:cs="URWPalladioL-Bold"/>
          <w:bCs/>
        </w:rPr>
        <w:t>framework</w:t>
      </w:r>
      <w:r>
        <w:rPr>
          <w:rFonts w:cs="URWPalladioL-Bold"/>
          <w:bCs/>
        </w:rPr>
        <w:t xml:space="preserve"> </w:t>
      </w:r>
      <w:r w:rsidR="00C8392F">
        <w:rPr>
          <w:rFonts w:cs="URWPalladioL-Bold"/>
          <w:bCs/>
        </w:rPr>
        <w:t>,</w:t>
      </w:r>
      <w:proofErr w:type="gramEnd"/>
      <w:r w:rsidR="00C8392F">
        <w:rPr>
          <w:rFonts w:cs="URWPalladioL-Bold"/>
          <w:bCs/>
        </w:rPr>
        <w:t xml:space="preserve"> written in Python, </w:t>
      </w:r>
      <w:r>
        <w:rPr>
          <w:rFonts w:cs="URWPalladioL-Bold"/>
          <w:bCs/>
        </w:rPr>
        <w:t>was</w:t>
      </w:r>
      <w:r w:rsidR="000C1B95" w:rsidRPr="00C85ED0">
        <w:rPr>
          <w:rFonts w:cs="URWPalladioL-Bold"/>
          <w:bCs/>
        </w:rPr>
        <w:t xml:space="preserve"> selected for implementing the backend component.</w:t>
      </w:r>
      <w:r w:rsidR="002A7CCC">
        <w:rPr>
          <w:rFonts w:cs="URWPalladioL-Bold"/>
          <w:bCs/>
        </w:rPr>
        <w:t xml:space="preserve"> Firstly Django will allow scalability due to the fact that it supports many database engines and switching between them only requires changing the settings of the project.</w:t>
      </w:r>
      <w:r w:rsidR="002A7CCC" w:rsidRPr="002A7CCC">
        <w:rPr>
          <w:rFonts w:cs="URWPalladioL-Bold"/>
          <w:bCs/>
        </w:rPr>
        <w:t xml:space="preserve"> </w:t>
      </w:r>
      <w:r w:rsidR="002A7CCC">
        <w:rPr>
          <w:rFonts w:cs="URWPalladioL-Bold"/>
          <w:bCs/>
        </w:rPr>
        <w:t>This project will use the default database engine</w:t>
      </w:r>
      <w:r w:rsidR="002A7CCC">
        <w:rPr>
          <w:rFonts w:cs="URWPalladioL-Bold"/>
          <w:bCs/>
        </w:rPr>
        <w:t>- SQLite</w:t>
      </w:r>
      <w:r w:rsidR="002A7CCC">
        <w:rPr>
          <w:rFonts w:cs="URWPalladioL-Bold"/>
          <w:bCs/>
        </w:rPr>
        <w:t xml:space="preserve"> because there will be no need for a more powerful one for the time being. However, as WEAVE evolves and becomes more widely deployed, it will be trivial to change to a more powerful engine</w:t>
      </w:r>
      <w:r w:rsidR="002A7CCC">
        <w:rPr>
          <w:rFonts w:cs="URWPalladioL-Bold"/>
          <w:bCs/>
        </w:rPr>
        <w:t>. Secondly</w:t>
      </w:r>
      <w:r w:rsidR="00C8392F">
        <w:rPr>
          <w:rFonts w:cs="URWPalladioL-Bold"/>
          <w:bCs/>
        </w:rPr>
        <w:t>, Django allows rapid application development (RAD). It has support for many libraries which ensures that all the requirements for this project can be met. Django imposes separation of concerns which is discussed in more detail later in this chapter. B</w:t>
      </w:r>
      <w:r w:rsidR="00C8392F" w:rsidRPr="00C85ED0">
        <w:rPr>
          <w:rFonts w:cs="URWPalladioL-Bold"/>
          <w:bCs/>
        </w:rPr>
        <w:t>oth Python and Django are very well-documented and developing web based application using them has turned into an enjoyable activity thanks to the award-nominated beginner’s guide to web development with Python and Django “How to Tango with Django”</w:t>
      </w:r>
      <w:r w:rsidR="00C8392F">
        <w:rPr>
          <w:rFonts w:cs="URWPalladioL-Bold"/>
          <w:bCs/>
        </w:rPr>
        <w:t>(</w:t>
      </w:r>
      <w:r w:rsidR="00C8392F" w:rsidRPr="00412BD3">
        <w:t xml:space="preserve"> </w:t>
      </w:r>
      <w:r w:rsidR="00C8392F" w:rsidRPr="00412BD3">
        <w:rPr>
          <w:rFonts w:cs="URWPalladioL-Bold"/>
          <w:bCs/>
        </w:rPr>
        <w:t>http://www.tangowithdjango.com/</w:t>
      </w:r>
      <w:r w:rsidR="00C8392F">
        <w:rPr>
          <w:rFonts w:cs="URWPalladioL-Bold"/>
          <w:bCs/>
        </w:rPr>
        <w:t>)</w:t>
      </w:r>
      <w:r w:rsidR="00C8392F" w:rsidRPr="00C85ED0">
        <w:rPr>
          <w:rFonts w:cs="URWPalladioL-Bold"/>
          <w:bCs/>
        </w:rPr>
        <w:t xml:space="preserve"> available online.</w:t>
      </w:r>
      <w:r w:rsidR="00C8392F">
        <w:rPr>
          <w:rFonts w:cs="URWPalladioL-Bold"/>
          <w:bCs/>
        </w:rPr>
        <w:t xml:space="preserve"> Furthermore, I have a s</w:t>
      </w:r>
      <w:r w:rsidR="00C8392F" w:rsidRPr="00C85ED0">
        <w:rPr>
          <w:rFonts w:cs="URWPalladioL-Bold"/>
          <w:bCs/>
        </w:rPr>
        <w:t>ufficient prior experience coming from studying Python in the first year at the University of Glasgow and the Django framework in the Distributed Information Management 3</w:t>
      </w:r>
      <w:r w:rsidR="00C8392F">
        <w:rPr>
          <w:rFonts w:cs="URWPalladioL-Bold"/>
          <w:bCs/>
        </w:rPr>
        <w:t>. Finally, Django is open-source so there was no need to pay for the software used to develop this project.</w:t>
      </w:r>
    </w:p>
    <w:p w:rsidR="002A7CCC" w:rsidRDefault="002A7CCC"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 xml:space="preserve">The Django web framework has a sufficient support for serving clients’ requests. This is achieved via direct communication with the database. Django allows clear separation between presentation and </w:t>
      </w:r>
      <w:r w:rsidRPr="00C85ED0">
        <w:rPr>
          <w:rFonts w:cs="URWPalladioL-Bold"/>
          <w:bCs/>
        </w:rPr>
        <w:lastRenderedPageBreak/>
        <w:t>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w:t>
      </w:r>
      <w:r w:rsidR="00790617">
        <w:rPr>
          <w:rFonts w:cs="URWPalladioL-Bold"/>
          <w:bCs/>
        </w:rPr>
        <w:t>the multiple benefits it has</w:t>
      </w:r>
      <w:r w:rsidRPr="00C85ED0">
        <w:rPr>
          <w:rFonts w:cs="URWPalladioL-Bold"/>
          <w:bCs/>
        </w:rPr>
        <w:t>.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11"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browser issues</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12"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3"/>
      <w:r w:rsidRPr="00C85ED0">
        <w:rPr>
          <w:rFonts w:cs="URWPalladioL-Bold"/>
          <w:bCs/>
        </w:rPr>
        <w:t>developing responsive d</w:t>
      </w:r>
      <w:r>
        <w:rPr>
          <w:rFonts w:cs="URWPalladioL-Bold"/>
          <w:bCs/>
        </w:rPr>
        <w:t xml:space="preserve">esign </w:t>
      </w:r>
      <w:commentRangeEnd w:id="13"/>
      <w:r>
        <w:rPr>
          <w:rStyle w:val="CommentReference"/>
        </w:rPr>
        <w:commentReference w:id="13"/>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 xml:space="preserve">purecss.io) which provides a set </w:t>
      </w:r>
      <w:r w:rsidR="00BD787B">
        <w:rPr>
          <w:rFonts w:cs="URWPalladioL-Bold"/>
          <w:bCs/>
        </w:rPr>
        <w:lastRenderedPageBreak/>
        <w:t>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4"/>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4"/>
      <w:r>
        <w:rPr>
          <w:rStyle w:val="CommentReference"/>
        </w:rPr>
        <w:commentReference w:id="14"/>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3"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5"/>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w:t>
      </w:r>
      <w:r>
        <w:lastRenderedPageBreak/>
        <w:t xml:space="preserve">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6"/>
      <w:r>
        <w:lastRenderedPageBreak/>
        <w:t xml:space="preserve">HTTP requests </w:t>
      </w:r>
      <w:commentRangeEnd w:id="16"/>
      <w:r>
        <w:rPr>
          <w:rStyle w:val="CommentReference"/>
        </w:rPr>
        <w:commentReference w:id="16"/>
      </w:r>
      <w:r>
        <w:t>to render a page.</w:t>
      </w:r>
      <w:r w:rsidR="00B30CAD">
        <w:t xml:space="preserve"> An example of such request would be when the pupil clicks on a worked example to work on- the client will send a request for the page for this worked example. </w:t>
      </w:r>
      <w:r>
        <w:t xml:space="preserve">Each request has its context, containing information such as </w:t>
      </w:r>
      <w:r w:rsidR="00B30CAD">
        <w:t>the client’s machine, etc</w:t>
      </w:r>
      <w:r>
        <w:t>.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Pr="008257D4"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w:t>
      </w:r>
      <w:r w:rsidR="008257D4">
        <w:t xml:space="preserve"> database objects is shown below. Please note that in this </w:t>
      </w:r>
      <w:proofErr w:type="spellStart"/>
      <w:r w:rsidR="008257D4">
        <w:t>pseudocode</w:t>
      </w:r>
      <w:proofErr w:type="spellEnd"/>
      <w:r w:rsidR="008257D4">
        <w:t xml:space="preserve"> </w:t>
      </w:r>
      <w:r w:rsidR="008257D4" w:rsidRPr="008257D4">
        <w:rPr>
          <w:b/>
        </w:rPr>
        <w:t xml:space="preserve">application </w:t>
      </w:r>
      <w:r w:rsidR="008257D4">
        <w:t>stands for worked example. This is the terminology of IWE.</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7"/>
      <w:r>
        <w:t xml:space="preserve">application </w:t>
      </w:r>
      <w:commentRangeEnd w:id="17"/>
      <w:r>
        <w:rPr>
          <w:rStyle w:val="CommentReference"/>
        </w:rPr>
        <w:commentReference w:id="17"/>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lastRenderedPageBreak/>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8"/>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8"/>
    <w:p w:rsidR="000C1B95" w:rsidRDefault="000C1B95" w:rsidP="000C1B95">
      <w:r>
        <w:rPr>
          <w:rStyle w:val="CommentReference"/>
        </w:rPr>
        <w:commentReference w:id="18"/>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lastRenderedPageBreak/>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774286" w:rsidRPr="00B44D3D" w:rsidRDefault="00774286" w:rsidP="000C1B95">
      <w:pPr>
        <w:rPr>
          <w:b/>
          <w:sz w:val="32"/>
          <w:szCs w:val="32"/>
        </w:rPr>
      </w:pPr>
      <w:r w:rsidRPr="00B44D3D">
        <w:rPr>
          <w:b/>
          <w:sz w:val="32"/>
          <w:szCs w:val="32"/>
        </w:rPr>
        <w:t>5.4. Resizing of the Worked Examples Panels and the Explanation Area</w:t>
      </w:r>
    </w:p>
    <w:p w:rsidR="00586C45" w:rsidRDefault="00586C45" w:rsidP="000C1B95">
      <w:r>
        <w:t xml:space="preserve">A major implementation challenge for this Level 4 project was </w:t>
      </w:r>
      <w:r w:rsidR="00B63811">
        <w:t xml:space="preserve">to satisfy </w:t>
      </w:r>
      <w:r>
        <w:t>the requirement to make the panels for the text of the worked examples, as well as the explanation panel, resizable. Difficulties arose due to two requirements for the system:</w:t>
      </w:r>
    </w:p>
    <w:p w:rsidR="00586C45" w:rsidRDefault="00586C45" w:rsidP="00586C45">
      <w:pPr>
        <w:pStyle w:val="ListParagraph"/>
        <w:numPr>
          <w:ilvl w:val="0"/>
          <w:numId w:val="9"/>
        </w:numPr>
      </w:pPr>
      <w:r>
        <w:t>The system must support worked examples which contain any number of panels for worked example text (not only one or two)</w:t>
      </w:r>
      <w:r w:rsidR="00B63811">
        <w:t>.</w:t>
      </w:r>
    </w:p>
    <w:p w:rsidR="00586C45" w:rsidRDefault="00586C45" w:rsidP="00586C45">
      <w:pPr>
        <w:pStyle w:val="ListParagraph"/>
        <w:numPr>
          <w:ilvl w:val="0"/>
          <w:numId w:val="9"/>
        </w:numPr>
      </w:pPr>
      <w:r>
        <w:t xml:space="preserve">Both horizontal and vertical resizing </w:t>
      </w:r>
      <w:proofErr w:type="gramStart"/>
      <w:r>
        <w:t>were</w:t>
      </w:r>
      <w:proofErr w:type="gramEnd"/>
      <w:r>
        <w:t xml:space="preserve"> required.</w:t>
      </w:r>
    </w:p>
    <w:p w:rsidR="00586C45" w:rsidRDefault="00732E19" w:rsidP="00586C45">
      <w:r>
        <w:lastRenderedPageBreak/>
        <w:t>The JQuery</w:t>
      </w:r>
      <w:r w:rsidRPr="00732E19">
        <w:rPr>
          <w:i/>
        </w:rPr>
        <w:t xml:space="preserve"> resizable</w:t>
      </w:r>
      <w:r>
        <w:rPr>
          <w:i/>
        </w:rPr>
        <w:t xml:space="preserve"> </w:t>
      </w:r>
      <w:r>
        <w:t>plugin</w:t>
      </w:r>
      <w:r w:rsidR="00586C45">
        <w:t xml:space="preserve"> provides the option to specify that an element is resizable. When specifyin</w:t>
      </w:r>
      <w:r w:rsidR="00B63811">
        <w:t>g this</w:t>
      </w:r>
      <w:r w:rsidR="00586C45">
        <w:t>, it ca</w:t>
      </w:r>
      <w:r w:rsidR="00B63811">
        <w:t>n also be specified that when the resizable element</w:t>
      </w:r>
      <w:r w:rsidR="00586C45">
        <w:t xml:space="preserve"> is resized, other selected elements are resized as well. This can be done by using the </w:t>
      </w:r>
      <w:proofErr w:type="spellStart"/>
      <w:r w:rsidR="00586C45">
        <w:t>alsoResize</w:t>
      </w:r>
      <w:proofErr w:type="spellEnd"/>
      <w:r w:rsidR="00586C45">
        <w:t xml:space="preserve"> option supported for the resizable elements. </w:t>
      </w:r>
      <w:r w:rsidR="004A51B6">
        <w:t>The code for making an element with id</w:t>
      </w:r>
      <w:r w:rsidR="004A51B6" w:rsidRPr="004A51B6">
        <w:rPr>
          <w:i/>
        </w:rPr>
        <w:t xml:space="preserve"> panel1</w:t>
      </w:r>
      <w:r w:rsidR="004A51B6">
        <w:t xml:space="preserve"> resizable and to specify that an element with id</w:t>
      </w:r>
      <w:r w:rsidR="00F93F91">
        <w:t xml:space="preserve"> panel2</w:t>
      </w:r>
      <w:r w:rsidR="004A51B6">
        <w:t xml:space="preserve"> needs to</w:t>
      </w:r>
      <w:r w:rsidR="00F93F91">
        <w:t xml:space="preserve"> be</w:t>
      </w:r>
      <w:r w:rsidR="004A51B6">
        <w:t xml:space="preserve"> resize</w:t>
      </w:r>
      <w:r w:rsidR="00F93F91">
        <w:t>d</w:t>
      </w:r>
      <w:r w:rsidR="004A51B6">
        <w:t xml:space="preserve"> as well on resizing of panel1 would be as follows:</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800000"/>
          <w:sz w:val="20"/>
          <w:szCs w:val="20"/>
          <w:bdr w:val="none" w:sz="0" w:space="0" w:color="auto" w:frame="1"/>
          <w:shd w:val="clear" w:color="auto" w:fill="EEEEEE"/>
          <w:lang w:eastAsia="en-GB"/>
        </w:rPr>
        <w:t>&lt;</w:t>
      </w:r>
      <w:proofErr w:type="gramStart"/>
      <w:r w:rsidRPr="004A51B6">
        <w:rPr>
          <w:rFonts w:ascii="Consolas" w:hAnsi="Consolas" w:cs="Consolas"/>
          <w:color w:val="800000"/>
          <w:sz w:val="20"/>
          <w:szCs w:val="20"/>
          <w:bdr w:val="none" w:sz="0" w:space="0" w:color="auto" w:frame="1"/>
          <w:shd w:val="clear" w:color="auto" w:fill="EEEEEE"/>
          <w:lang w:eastAsia="en-GB"/>
        </w:rPr>
        <w:t>script</w:t>
      </w:r>
      <w:proofErr w:type="gramEnd"/>
      <w:r w:rsidRPr="004A51B6">
        <w:rPr>
          <w:rFonts w:ascii="Consolas" w:hAnsi="Consolas" w:cs="Consolas"/>
          <w:color w:val="800000"/>
          <w:sz w:val="20"/>
          <w:szCs w:val="20"/>
          <w:bdr w:val="none" w:sz="0" w:space="0" w:color="auto" w:frame="1"/>
          <w:shd w:val="clear" w:color="auto" w:fill="EEEEEE"/>
          <w:lang w:eastAsia="en-GB"/>
        </w:rPr>
        <w:t>&gt;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proofErr w:type="gramStart"/>
      <w:r w:rsidRPr="004A51B6">
        <w:rPr>
          <w:rFonts w:ascii="Consolas" w:hAnsi="Consolas" w:cs="Consolas"/>
          <w:color w:val="00008B"/>
          <w:sz w:val="20"/>
          <w:szCs w:val="20"/>
          <w:bdr w:val="none" w:sz="0" w:space="0" w:color="auto" w:frame="1"/>
          <w:shd w:val="clear" w:color="auto" w:fill="EEEEEE"/>
          <w:lang w:eastAsia="en-GB"/>
        </w:rPr>
        <w:t>function</w:t>
      </w:r>
      <w:r w:rsidRPr="004A51B6">
        <w:rPr>
          <w:rFonts w:ascii="Consolas" w:hAnsi="Consolas" w:cs="Consolas"/>
          <w:color w:val="000000"/>
          <w:sz w:val="20"/>
          <w:szCs w:val="20"/>
          <w:bdr w:val="none" w:sz="0" w:space="0" w:color="auto" w:frame="1"/>
          <w:shd w:val="clear" w:color="auto" w:fill="EEEEEE"/>
          <w:lang w:eastAsia="en-GB"/>
        </w:rPr>
        <w:t>(</w:t>
      </w:r>
      <w:proofErr w:type="gramEnd"/>
      <w:r w:rsidRPr="004A51B6">
        <w:rPr>
          <w:rFonts w:ascii="Consolas" w:hAnsi="Consolas" w:cs="Consolas"/>
          <w:color w:val="000000"/>
          <w:sz w:val="20"/>
          <w:szCs w:val="20"/>
          <w:bdr w:val="none" w:sz="0" w:space="0" w:color="auto" w:frame="1"/>
          <w:shd w:val="clear" w:color="auto" w:fill="EEEEEE"/>
          <w:lang w:eastAsia="en-GB"/>
        </w:rPr>
        <w:t>) {</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r>
        <w:rPr>
          <w:rFonts w:ascii="Consolas" w:hAnsi="Consolas" w:cs="Consolas"/>
          <w:color w:val="800000"/>
          <w:sz w:val="20"/>
          <w:szCs w:val="20"/>
          <w:bdr w:val="none" w:sz="0" w:space="0" w:color="auto" w:frame="1"/>
          <w:shd w:val="clear" w:color="auto" w:fill="EEEEEE"/>
          <w:lang w:eastAsia="en-GB"/>
        </w:rPr>
        <w:t>"#panel1</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roofErr w:type="gramStart"/>
      <w:r w:rsidRPr="004A51B6">
        <w:rPr>
          <w:rFonts w:ascii="Consolas" w:hAnsi="Consolas" w:cs="Consolas"/>
          <w:color w:val="000000"/>
          <w:sz w:val="20"/>
          <w:szCs w:val="20"/>
          <w:bdr w:val="none" w:sz="0" w:space="0" w:color="auto" w:frame="1"/>
          <w:shd w:val="clear" w:color="auto" w:fill="EEEEEE"/>
          <w:lang w:eastAsia="en-GB"/>
        </w:rPr>
        <w:t>resizable(</w:t>
      </w:r>
      <w:proofErr w:type="gramEnd"/>
      <w:r w:rsidRPr="004A51B6">
        <w:rPr>
          <w:rFonts w:ascii="Consolas" w:hAnsi="Consolas" w:cs="Consolas"/>
          <w:color w:val="000000"/>
          <w:sz w:val="20"/>
          <w:szCs w:val="20"/>
          <w:bdr w:val="none" w:sz="0" w:space="0" w:color="auto" w:frame="1"/>
          <w:shd w:val="clear" w:color="auto" w:fill="EEEEEE"/>
          <w:lang w:eastAsia="en-GB"/>
        </w:rPr>
        <w:t>{</w:t>
      </w:r>
      <w:proofErr w:type="spellStart"/>
      <w:r w:rsidRPr="004A51B6">
        <w:rPr>
          <w:rFonts w:ascii="Consolas" w:hAnsi="Consolas" w:cs="Consolas"/>
          <w:color w:val="000000"/>
          <w:sz w:val="20"/>
          <w:szCs w:val="20"/>
          <w:bdr w:val="none" w:sz="0" w:space="0" w:color="auto" w:frame="1"/>
          <w:shd w:val="clear" w:color="auto" w:fill="EEEEEE"/>
          <w:lang w:eastAsia="en-GB"/>
        </w:rPr>
        <w:t>alsoResize</w:t>
      </w:r>
      <w:proofErr w:type="spellEnd"/>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800000"/>
          <w:sz w:val="20"/>
          <w:szCs w:val="20"/>
          <w:bdr w:val="none" w:sz="0" w:space="0" w:color="auto" w:frame="1"/>
          <w:shd w:val="clear" w:color="auto" w:fill="EEEEEE"/>
          <w:lang w:eastAsia="en-GB"/>
        </w:rPr>
        <w:t>"#panel2</w:t>
      </w:r>
      <w:r w:rsidRPr="004A51B6">
        <w:rPr>
          <w:rFonts w:ascii="Consolas" w:hAnsi="Consolas" w:cs="Consolas"/>
          <w:color w:val="800000"/>
          <w:sz w:val="20"/>
          <w:szCs w:val="20"/>
          <w:bdr w:val="none" w:sz="0" w:space="0" w:color="auto" w:frame="1"/>
          <w:shd w:val="clear" w:color="auto" w:fill="EEEEEE"/>
          <w:lang w:eastAsia="en-GB"/>
        </w:rPr>
        <w:t>"</w:t>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bdr w:val="none" w:sz="0" w:space="0" w:color="auto" w:frame="1"/>
          <w:shd w:val="clear" w:color="auto" w:fill="EEEEEE"/>
          <w:lang w:eastAsia="en-GB"/>
        </w:rPr>
      </w:pPr>
      <w:r w:rsidRPr="004A51B6">
        <w:rPr>
          <w:rFonts w:ascii="Consolas" w:hAnsi="Consolas" w:cs="Consolas"/>
          <w:color w:val="000000"/>
          <w:sz w:val="20"/>
          <w:szCs w:val="20"/>
          <w:bdr w:val="none" w:sz="0" w:space="0" w:color="auto" w:frame="1"/>
          <w:shd w:val="clear" w:color="auto" w:fill="EEEEEE"/>
          <w:lang w:eastAsia="en-GB"/>
        </w:rPr>
        <w:t xml:space="preserve">   </w:t>
      </w:r>
      <w:r>
        <w:rPr>
          <w:rFonts w:ascii="Consolas" w:hAnsi="Consolas" w:cs="Consolas"/>
          <w:color w:val="000000"/>
          <w:sz w:val="20"/>
          <w:szCs w:val="20"/>
          <w:bdr w:val="none" w:sz="0" w:space="0" w:color="auto" w:frame="1"/>
          <w:shd w:val="clear" w:color="auto" w:fill="EEEEEE"/>
          <w:lang w:eastAsia="en-GB"/>
        </w:rPr>
        <w:tab/>
      </w:r>
      <w:r w:rsidRPr="004A51B6">
        <w:rPr>
          <w:rFonts w:ascii="Consolas" w:hAnsi="Consolas" w:cs="Consolas"/>
          <w:color w:val="000000"/>
          <w:sz w:val="20"/>
          <w:szCs w:val="20"/>
          <w:bdr w:val="none" w:sz="0" w:space="0" w:color="auto" w:frame="1"/>
          <w:shd w:val="clear" w:color="auto" w:fill="EEEEEE"/>
          <w:lang w:eastAsia="en-GB"/>
        </w:rPr>
        <w:t>});</w:t>
      </w:r>
    </w:p>
    <w:p w:rsidR="004A51B6" w:rsidRPr="004A51B6" w:rsidRDefault="004A51B6" w:rsidP="004A51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93318"/>
          <w:sz w:val="20"/>
          <w:szCs w:val="20"/>
          <w:lang w:eastAsia="en-GB"/>
        </w:rPr>
      </w:pPr>
      <w:r w:rsidRPr="004A51B6">
        <w:rPr>
          <w:rFonts w:ascii="Consolas" w:hAnsi="Consolas" w:cs="Consolas"/>
          <w:color w:val="800000"/>
          <w:sz w:val="20"/>
          <w:szCs w:val="20"/>
          <w:bdr w:val="none" w:sz="0" w:space="0" w:color="auto" w:frame="1"/>
          <w:shd w:val="clear" w:color="auto" w:fill="EEEEEE"/>
          <w:lang w:eastAsia="en-GB"/>
        </w:rPr>
        <w:t>&lt;/script&gt;</w:t>
      </w:r>
    </w:p>
    <w:p w:rsidR="004A51B6" w:rsidRDefault="004A51B6" w:rsidP="00586C45"/>
    <w:p w:rsidR="004A51B6" w:rsidRDefault="004A51B6" w:rsidP="00586C45">
      <w:r>
        <w:t>However, this would mean that when making one panel wider, the</w:t>
      </w:r>
      <w:r w:rsidR="00F93F91">
        <w:t xml:space="preserve"> other panel also becomes wider</w:t>
      </w:r>
      <w:r>
        <w:t xml:space="preserve">. </w:t>
      </w:r>
      <w:r w:rsidR="00F93F91">
        <w:t xml:space="preserve">By small addition to the plugin </w:t>
      </w:r>
      <w:r>
        <w:t xml:space="preserve">code, a similar option to resize the second element in the opposite direction could be added- </w:t>
      </w:r>
      <w:proofErr w:type="spellStart"/>
      <w:r>
        <w:t>alsoResizeReverse</w:t>
      </w:r>
      <w:proofErr w:type="spellEnd"/>
      <w:r>
        <w:t>. To implement this option, it would have been required to change the sign in calculations done by the respective function.  The above code would then look like this:</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tag"/>
          <w:rFonts w:ascii="Consolas" w:hAnsi="Consolas" w:cs="Consolas"/>
          <w:color w:val="800000"/>
          <w:bdr w:val="none" w:sz="0" w:space="0" w:color="auto" w:frame="1"/>
          <w:shd w:val="clear" w:color="auto" w:fill="EEEEEE"/>
        </w:rPr>
        <w:t>&lt;</w:t>
      </w:r>
      <w:proofErr w:type="gramStart"/>
      <w:r>
        <w:rPr>
          <w:rStyle w:val="tag"/>
          <w:rFonts w:ascii="Consolas" w:hAnsi="Consolas" w:cs="Consolas"/>
          <w:color w:val="800000"/>
          <w:bdr w:val="none" w:sz="0" w:space="0" w:color="auto" w:frame="1"/>
          <w:shd w:val="clear" w:color="auto" w:fill="EEEEEE"/>
        </w:rPr>
        <w:t>script</w:t>
      </w:r>
      <w:proofErr w:type="gramEnd"/>
      <w:r>
        <w:rPr>
          <w:rStyle w:val="tag"/>
          <w:rFonts w:ascii="Consolas" w:hAnsi="Consolas" w:cs="Consolas"/>
          <w:color w:val="800000"/>
          <w:bdr w:val="none" w:sz="0" w:space="0" w:color="auto" w:frame="1"/>
          <w:shd w:val="clear" w:color="auto" w:fill="EEEEEE"/>
        </w:rPr>
        <w:t>&gt;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ab/>
      </w: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r w:rsidR="00AE73C1">
        <w:rPr>
          <w:rStyle w:val="str"/>
          <w:rFonts w:ascii="Consolas" w:hAnsi="Consolas" w:cs="Consolas"/>
          <w:color w:val="800000"/>
          <w:bdr w:val="none" w:sz="0" w:space="0" w:color="auto" w:frame="1"/>
          <w:shd w:val="clear" w:color="auto" w:fill="EEEEEE"/>
        </w:rPr>
        <w:t>"#panel</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gramStart"/>
      <w:r>
        <w:rPr>
          <w:rStyle w:val="pln"/>
          <w:rFonts w:ascii="Consolas" w:hAnsi="Consolas" w:cs="Consolas"/>
          <w:color w:val="000000"/>
          <w:bdr w:val="none" w:sz="0" w:space="0" w:color="auto" w:frame="1"/>
          <w:shd w:val="clear" w:color="auto" w:fill="EEEEEE"/>
        </w:rPr>
        <w:t>resizable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alsoResize</w:t>
      </w:r>
      <w:r>
        <w:rPr>
          <w:rStyle w:val="pln"/>
          <w:rFonts w:ascii="Consolas" w:hAnsi="Consolas" w:cs="Consolas"/>
          <w:color w:val="000000"/>
          <w:bdr w:val="none" w:sz="0" w:space="0" w:color="auto" w:frame="1"/>
          <w:shd w:val="clear" w:color="auto" w:fill="EEEEEE"/>
        </w:rPr>
        <w:t>Reverse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"#panel2</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p>
    <w:p w:rsidR="004A51B6" w:rsidRDefault="004A51B6" w:rsidP="004A51B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ln"/>
          <w:rFonts w:ascii="Consolas" w:hAnsi="Consolas" w:cs="Consolas"/>
          <w:color w:val="000000"/>
          <w:bdr w:val="none" w:sz="0" w:space="0" w:color="auto" w:frame="1"/>
          <w:shd w:val="clear" w:color="auto" w:fill="EEEEEE"/>
        </w:rPr>
        <w:tab/>
      </w:r>
      <w:r>
        <w:rPr>
          <w:rStyle w:val="pun"/>
          <w:rFonts w:ascii="Consolas" w:hAnsi="Consolas" w:cs="Consolas"/>
          <w:color w:val="000000"/>
          <w:bdr w:val="none" w:sz="0" w:space="0" w:color="auto" w:frame="1"/>
          <w:shd w:val="clear" w:color="auto" w:fill="EEEEEE"/>
        </w:rPr>
        <w:t>});</w:t>
      </w:r>
    </w:p>
    <w:p w:rsidR="004A51B6" w:rsidRDefault="004A51B6" w:rsidP="004A51B6">
      <w:pPr>
        <w:pStyle w:val="HTMLPreformatted"/>
        <w:shd w:val="clear" w:color="auto" w:fill="EEEEEE"/>
        <w:rPr>
          <w:rFonts w:ascii="Consolas" w:hAnsi="Consolas" w:cs="Consolas"/>
          <w:color w:val="393318"/>
        </w:rPr>
      </w:pPr>
      <w:r>
        <w:rPr>
          <w:rStyle w:val="tag"/>
          <w:rFonts w:ascii="Consolas" w:hAnsi="Consolas" w:cs="Consolas"/>
          <w:color w:val="800000"/>
          <w:bdr w:val="none" w:sz="0" w:space="0" w:color="auto" w:frame="1"/>
          <w:shd w:val="clear" w:color="auto" w:fill="EEEEEE"/>
        </w:rPr>
        <w:t>&lt;/script&gt;</w:t>
      </w:r>
    </w:p>
    <w:p w:rsidR="00AE73C1" w:rsidRDefault="00AE73C1" w:rsidP="00586C45"/>
    <w:p w:rsidR="004A51B6" w:rsidRDefault="00AE73C1" w:rsidP="00586C45">
      <w:r>
        <w:t xml:space="preserve">The following subsections will describe the problems using this approach. </w:t>
      </w:r>
    </w:p>
    <w:p w:rsidR="00732E19" w:rsidRPr="00B44D3D" w:rsidRDefault="00732E19" w:rsidP="00586C45">
      <w:pPr>
        <w:rPr>
          <w:b/>
          <w:sz w:val="28"/>
          <w:szCs w:val="28"/>
        </w:rPr>
      </w:pPr>
      <w:r w:rsidRPr="00B44D3D">
        <w:rPr>
          <w:b/>
          <w:sz w:val="28"/>
          <w:szCs w:val="28"/>
        </w:rPr>
        <w:t>5.4.1. Vertical Resizing of Worked Examples Panels</w:t>
      </w:r>
    </w:p>
    <w:p w:rsidR="004A51B6" w:rsidRDefault="00732E19" w:rsidP="00586C45">
      <w:r>
        <w:t xml:space="preserve">This solution above could work for resizing the panels horizontally </w:t>
      </w:r>
      <w:r w:rsidR="004A51B6">
        <w:t xml:space="preserve">if there were two panels for the examples only. Using it for more than two panels would behave in </w:t>
      </w:r>
      <w:r>
        <w:t xml:space="preserve">an undesired </w:t>
      </w:r>
      <w:r w:rsidR="00AE73C1">
        <w:t>and</w:t>
      </w:r>
      <w:r>
        <w:t xml:space="preserve"> unexpected way due to too much </w:t>
      </w:r>
      <w:proofErr w:type="spellStart"/>
      <w:r>
        <w:t>alsoResizeReverse</w:t>
      </w:r>
      <w:proofErr w:type="spellEnd"/>
      <w:r>
        <w:t xml:space="preserve"> dependency between the panels.</w:t>
      </w:r>
    </w:p>
    <w:p w:rsidR="00732E19" w:rsidRDefault="00732E19" w:rsidP="00586C45">
      <w:r>
        <w:t>Another JQuery plugin which was found to behave better in this situation is the</w:t>
      </w:r>
      <w:r w:rsidRPr="00732E19">
        <w:rPr>
          <w:i/>
        </w:rPr>
        <w:t xml:space="preserve"> </w:t>
      </w:r>
      <w:proofErr w:type="spellStart"/>
      <w:r w:rsidRPr="00732E19">
        <w:rPr>
          <w:i/>
        </w:rPr>
        <w:t>colResizable</w:t>
      </w:r>
      <w:proofErr w:type="spellEnd"/>
      <w:r>
        <w:t xml:space="preserve"> plugin. It treats the area of the worked examples as an HTML table where the panels are different columns which can be resized.</w:t>
      </w:r>
      <w:r w:rsidR="00AE73C1">
        <w:t xml:space="preserve"> This plugin was used for the vertical resizing.</w:t>
      </w:r>
    </w:p>
    <w:p w:rsidR="00732E19" w:rsidRDefault="00732E19" w:rsidP="00586C45"/>
    <w:p w:rsidR="00732E19" w:rsidRPr="00B44D3D" w:rsidRDefault="00732E19" w:rsidP="00586C45">
      <w:pPr>
        <w:rPr>
          <w:b/>
          <w:sz w:val="28"/>
          <w:szCs w:val="28"/>
        </w:rPr>
      </w:pPr>
      <w:r w:rsidRPr="00B44D3D">
        <w:rPr>
          <w:b/>
          <w:sz w:val="28"/>
          <w:szCs w:val="28"/>
        </w:rPr>
        <w:t>5.4.2. Horizontal Resizing of Worked Examples Panel</w:t>
      </w:r>
    </w:p>
    <w:p w:rsidR="00732E19" w:rsidRDefault="00732E19" w:rsidP="00586C45">
      <w:r>
        <w:t xml:space="preserve">The resizable JQuery plugin was ideal for the horizontal resizing of the panels. However, it was incompatible with the </w:t>
      </w:r>
      <w:proofErr w:type="spellStart"/>
      <w:r>
        <w:t>colResizable</w:t>
      </w:r>
      <w:proofErr w:type="spellEnd"/>
      <w:r>
        <w:t xml:space="preserve"> plugin used for the vertical resizing of the panels. This is why, the height of the panels and the explanation are recalculated </w:t>
      </w:r>
      <w:r w:rsidR="00853A18">
        <w:t xml:space="preserve">and set </w:t>
      </w:r>
      <w:r>
        <w:t>manually on each resiz</w:t>
      </w:r>
      <w:r w:rsidR="00853A18">
        <w:t>e event. This is the code:</w:t>
      </w:r>
    </w:p>
    <w:p w:rsidR="00853A18" w:rsidRDefault="00853A18" w:rsidP="00853A18">
      <w:r>
        <w:t>$("#</w:t>
      </w:r>
      <w:proofErr w:type="spellStart"/>
      <w:r>
        <w:t>explanation_container</w:t>
      </w:r>
      <w:proofErr w:type="spellEnd"/>
      <w:r>
        <w:t>").</w:t>
      </w:r>
      <w:proofErr w:type="gramStart"/>
      <w:r>
        <w:t>bind(</w:t>
      </w:r>
      <w:proofErr w:type="gramEnd"/>
      <w:r>
        <w:t>'</w:t>
      </w:r>
      <w:proofErr w:type="spellStart"/>
      <w:r>
        <w:t>mouseup</w:t>
      </w:r>
      <w:proofErr w:type="spellEnd"/>
      <w:r>
        <w:t>', function(e) {</w:t>
      </w:r>
    </w:p>
    <w:p w:rsidR="00853A18" w:rsidRDefault="00853A18" w:rsidP="00853A18">
      <w:r>
        <w:lastRenderedPageBreak/>
        <w:t xml:space="preserve">    $("#</w:t>
      </w:r>
      <w:proofErr w:type="spellStart"/>
      <w:r>
        <w:t>panel_container</w:t>
      </w:r>
      <w:proofErr w:type="spellEnd"/>
      <w:r>
        <w:t>").</w:t>
      </w:r>
      <w:proofErr w:type="gramStart"/>
      <w:r>
        <w:t>height(</w:t>
      </w:r>
      <w:proofErr w:type="gramEnd"/>
      <w:r>
        <w:t>$("#interface").height() - $("#</w:t>
      </w:r>
      <w:proofErr w:type="spellStart"/>
      <w:r>
        <w:t>explanation_container</w:t>
      </w:r>
      <w:proofErr w:type="spellEnd"/>
      <w:r>
        <w:t>").height());</w:t>
      </w:r>
    </w:p>
    <w:p w:rsidR="00853A18" w:rsidRDefault="00853A18" w:rsidP="00853A18">
      <w:r>
        <w:t>});</w:t>
      </w:r>
    </w:p>
    <w:p w:rsidR="00853A18" w:rsidRDefault="00853A18" w:rsidP="00853A18"/>
    <w:p w:rsidR="004A51B6" w:rsidRPr="004A51B6" w:rsidRDefault="00853A18" w:rsidP="00586C45">
      <w:r>
        <w:t xml:space="preserve">What this code does is when the user is finished with the resizing of the </w:t>
      </w:r>
      <w:r w:rsidR="002842D4">
        <w:t>-</w:t>
      </w:r>
      <w:r>
        <w:t>explanation panel, is sets the height of the worked examples panels to be equal to the difference between the total height of the interface and the height of the explanation panel.</w:t>
      </w:r>
    </w:p>
    <w:p w:rsidR="00774286" w:rsidRDefault="00774286" w:rsidP="000C1B95"/>
    <w:p w:rsidR="00774286" w:rsidRPr="00B44D3D" w:rsidRDefault="00774286" w:rsidP="000C1B95">
      <w:pPr>
        <w:rPr>
          <w:b/>
          <w:sz w:val="32"/>
          <w:szCs w:val="32"/>
        </w:rPr>
      </w:pPr>
      <w:r w:rsidRPr="00B44D3D">
        <w:rPr>
          <w:b/>
          <w:sz w:val="32"/>
          <w:szCs w:val="32"/>
        </w:rPr>
        <w:t>5.5. Showing the Text of the Worked Examples in the Panels</w:t>
      </w:r>
    </w:p>
    <w:p w:rsidR="00774286" w:rsidRDefault="000C1B95" w:rsidP="000C1B95">
      <w:r>
        <w:rPr>
          <w:rStyle w:val="CommentReference"/>
        </w:rPr>
        <w:commentReference w:id="19"/>
      </w:r>
      <w:r w:rsidR="009F4F2B">
        <w:t xml:space="preserve">As described in Chapter 2 and Chapter 4, the documents containing the text of a worked example are split into many fragments. </w:t>
      </w:r>
      <w:r w:rsidR="00B8231E">
        <w:t>These documents are shown</w:t>
      </w:r>
      <w:r w:rsidR="009F4F2B">
        <w:t xml:space="preserve">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 </w:t>
      </w:r>
    </w:p>
    <w:p w:rsidR="009F4F2B" w:rsidRDefault="009F4F2B" w:rsidP="000C1B95">
      <w:r>
        <w:t xml:space="preserve">Due to the constraint that </w:t>
      </w:r>
      <w:r w:rsidR="00B8231E">
        <w:t xml:space="preserve">some </w:t>
      </w:r>
      <w:r>
        <w:t xml:space="preserve">fragments need to be </w:t>
      </w:r>
      <w:proofErr w:type="spellStart"/>
      <w:r>
        <w:t>inline</w:t>
      </w:r>
      <w:proofErr w:type="spellEnd"/>
      <w:r>
        <w:t xml:space="preserve"> </w:t>
      </w:r>
      <w:r w:rsidR="00B8231E">
        <w:t>with other fragments,</w:t>
      </w:r>
      <w:r>
        <w:t xml:space="preserve"> a slightly undesired behaviour of the fragments</w:t>
      </w:r>
      <w:r w:rsidR="00B8231E">
        <w:t xml:space="preserve"> arose</w:t>
      </w:r>
      <w:r>
        <w:t xml:space="preserve"> when they do not fit in the width of the p</w:t>
      </w:r>
      <w:r w:rsidR="00B8231E">
        <w:t>anel for a particular document. W</w:t>
      </w:r>
      <w:r w:rsidR="00B335F2">
        <w:t xml:space="preserve">ords </w:t>
      </w:r>
      <w:r w:rsidR="00B8231E">
        <w:t xml:space="preserve">of these fragments </w:t>
      </w:r>
      <w:r w:rsidR="00B335F2">
        <w:t xml:space="preserve">can be split between two lines </w:t>
      </w:r>
      <w:r w:rsidR="00B8231E">
        <w:t>in unexpected parts</w:t>
      </w:r>
      <w:r w:rsidR="00B335F2">
        <w:t xml:space="preserve">. However, this is a limitation due to the use of HTML elements and their behaviour. </w:t>
      </w:r>
      <w:r>
        <w:t xml:space="preserve"> </w:t>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1"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3"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4"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5" w:author="Quintin Cutts" w:date="2015-03-28T12:55:00Z" w:initials="QC">
    <w:p w:rsidR="000C1B95" w:rsidRPr="00163B05" w:rsidRDefault="000C1B95" w:rsidP="000C1B95">
      <w:pPr>
        <w:pStyle w:val="CommentText"/>
        <w:rPr>
          <w:color w:val="EEECE1" w:themeColor="background2"/>
        </w:rPr>
      </w:pPr>
      <w:r>
        <w:rPr>
          <w:rStyle w:val="CommentReference"/>
        </w:rPr>
        <w:annotationRef/>
      </w:r>
      <w:r w:rsidRPr="00163B05">
        <w:rPr>
          <w:color w:val="EEECE1" w:themeColor="background2"/>
        </w:rPr>
        <w:t>See later.  This is not acceptable!  You have a whole set of requirements about this aspect.  You must show how you have met those aspects.  See the later comment on this.</w:t>
      </w:r>
    </w:p>
  </w:comment>
  <w:comment w:id="6" w:author="Quintin Cutts" w:date="2015-03-28T16:49:00Z" w:initials="QC">
    <w:p w:rsidR="000C1B95" w:rsidRDefault="000C1B95" w:rsidP="000C1B95">
      <w:pPr>
        <w:pStyle w:val="CommentText"/>
      </w:pPr>
      <w:r>
        <w:rPr>
          <w:rStyle w:val="CommentReference"/>
        </w:rPr>
        <w:annotationRef/>
      </w:r>
      <w:r w:rsidRPr="007A47F6">
        <w:rPr>
          <w:color w:val="EEECE1" w:themeColor="background2"/>
        </w:rPr>
        <w:t>You could show screenshots of the two styles of tutorial.</w:t>
      </w:r>
    </w:p>
  </w:comment>
  <w:comment w:id="7"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8"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9" w:author="Quintin Cutts" w:date="2015-03-28T13:30:00Z" w:initials="QC">
    <w:p w:rsidR="000C1B95" w:rsidRPr="00CF6DBC" w:rsidRDefault="000C1B95" w:rsidP="000C1B95">
      <w:pPr>
        <w:pStyle w:val="CommentText"/>
        <w:rPr>
          <w:color w:val="00B0F0"/>
        </w:rPr>
      </w:pPr>
      <w:r>
        <w:rPr>
          <w:rStyle w:val="CommentReference"/>
        </w:rPr>
        <w:annotationRef/>
      </w:r>
      <w:r w:rsidRPr="00CF6DBC">
        <w:rPr>
          <w:color w:val="00B0F0"/>
        </w:rPr>
        <w:t>ADD:  In the light of the evaluation (see XXX), this would be better renamed as View Progress – since the data shown concerns both individual and group information.  "Statistics" implies summary group data only.</w:t>
      </w:r>
    </w:p>
  </w:comment>
  <w:comment w:id="10"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1" w:author="Quintin Cutts" w:date="2015-03-28T13:45:00Z" w:initials="QC">
    <w:p w:rsidR="000C1B95" w:rsidRPr="006924D4" w:rsidRDefault="000C1B95" w:rsidP="000C1B95">
      <w:pPr>
        <w:pStyle w:val="CommentText"/>
        <w:rPr>
          <w:color w:val="EEECE1" w:themeColor="background2"/>
        </w:rPr>
      </w:pPr>
      <w:r>
        <w:rPr>
          <w:rStyle w:val="CommentReference"/>
        </w:rPr>
        <w:annotationRef/>
      </w:r>
      <w:r w:rsidRPr="006924D4">
        <w:rPr>
          <w:color w:val="EEECE1" w:themeColor="background2"/>
        </w:rP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3"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4"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5" w:author="Quintin Cutts" w:date="2015-03-28T14:53:00Z" w:initials="QC">
    <w:p w:rsidR="000C1B95" w:rsidRPr="007704B2" w:rsidRDefault="000C1B95" w:rsidP="000C1B95">
      <w:pPr>
        <w:pStyle w:val="CommentText"/>
        <w:rPr>
          <w:color w:val="EEECE1" w:themeColor="background2"/>
        </w:rPr>
      </w:pPr>
      <w:r>
        <w:rPr>
          <w:rStyle w:val="CommentReference"/>
        </w:rPr>
        <w:annotationRef/>
      </w:r>
      <w:r w:rsidRPr="007704B2">
        <w:rPr>
          <w:color w:val="EEECE1" w:themeColor="background2"/>
        </w:rP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6" w:author="Quintin Cutts" w:date="2015-03-28T16:17:00Z" w:initials="QC">
    <w:p w:rsidR="000C1B95" w:rsidRDefault="000C1B95" w:rsidP="000C1B95">
      <w:pPr>
        <w:pStyle w:val="CommentText"/>
      </w:pPr>
      <w:r>
        <w:rPr>
          <w:rStyle w:val="CommentReference"/>
        </w:rPr>
        <w:annotationRef/>
      </w:r>
      <w:r w:rsidRPr="00D14356">
        <w:rPr>
          <w:color w:val="EEECE1" w:themeColor="background2"/>
        </w:rPr>
        <w:t>As you have earlier, can you connect this to the project by giving an example of each of these different requests in use</w:t>
      </w:r>
      <w:r>
        <w:t>.</w:t>
      </w:r>
    </w:p>
  </w:comment>
  <w:comment w:id="17" w:author="Quintin Cutts" w:date="2015-03-28T14:56:00Z" w:initials="QC">
    <w:p w:rsidR="000C1B95" w:rsidRDefault="000C1B95" w:rsidP="000C1B95">
      <w:pPr>
        <w:pStyle w:val="CommentText"/>
      </w:pPr>
      <w:r>
        <w:rPr>
          <w:rStyle w:val="CommentReference"/>
        </w:rPr>
        <w:annotationRef/>
      </w:r>
      <w:r w:rsidRPr="008257D4">
        <w:rPr>
          <w:color w:val="EEECE1" w:themeColor="background2"/>
        </w:rPr>
        <w:t>Have you defined what an application is?</w:t>
      </w:r>
    </w:p>
  </w:comment>
  <w:comment w:id="18"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9" w:author="Quintin Cutts" w:date="2015-03-28T16:05:00Z" w:initials="QC">
    <w:p w:rsidR="000C1B95" w:rsidRPr="00B30CAD" w:rsidRDefault="000C1B95" w:rsidP="000C1B95">
      <w:pPr>
        <w:pStyle w:val="CommentText"/>
        <w:rPr>
          <w:color w:val="EEECE1" w:themeColor="background2"/>
        </w:rPr>
      </w:pPr>
      <w:r>
        <w:rPr>
          <w:rStyle w:val="CommentReference"/>
        </w:rPr>
        <w:annotationRef/>
      </w:r>
      <w:r w:rsidRPr="00B30CAD">
        <w:rPr>
          <w:color w:val="EEECE1" w:themeColor="background2"/>
        </w:rP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Pr="00B30CAD" w:rsidRDefault="000C1B95" w:rsidP="000C1B95">
      <w:pPr>
        <w:pStyle w:val="CommentText"/>
        <w:rPr>
          <w:color w:val="EEECE1" w:themeColor="background2"/>
        </w:rPr>
      </w:pPr>
    </w:p>
    <w:p w:rsidR="000C1B95" w:rsidRPr="00B30CAD" w:rsidRDefault="000C1B95" w:rsidP="000C1B95">
      <w:pPr>
        <w:pStyle w:val="CommentText"/>
        <w:rPr>
          <w:color w:val="EEECE1" w:themeColor="background2"/>
        </w:rPr>
      </w:pPr>
      <w:r w:rsidRPr="00B30CAD">
        <w:rPr>
          <w:color w:val="EEECE1" w:themeColor="background2"/>
        </w:rP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PalladioL-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42DED0E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BCA4BB4"/>
    <w:multiLevelType w:val="hybridMultilevel"/>
    <w:tmpl w:val="FD88F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5"/>
  </w:num>
  <w:num w:numId="6">
    <w:abstractNumId w:val="1"/>
  </w:num>
  <w:num w:numId="7">
    <w:abstractNumId w:val="12"/>
  </w:num>
  <w:num w:numId="8">
    <w:abstractNumId w:val="7"/>
  </w:num>
  <w:num w:numId="9">
    <w:abstractNumId w:val="0"/>
  </w:num>
  <w:num w:numId="10">
    <w:abstractNumId w:val="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14E84"/>
    <w:rsid w:val="00126FA3"/>
    <w:rsid w:val="001317C0"/>
    <w:rsid w:val="0014645D"/>
    <w:rsid w:val="0015081F"/>
    <w:rsid w:val="00163B05"/>
    <w:rsid w:val="001872A8"/>
    <w:rsid w:val="001B0EB0"/>
    <w:rsid w:val="00240D2E"/>
    <w:rsid w:val="0027414D"/>
    <w:rsid w:val="00280B1B"/>
    <w:rsid w:val="002842D4"/>
    <w:rsid w:val="002A4737"/>
    <w:rsid w:val="002A7CCC"/>
    <w:rsid w:val="002F6624"/>
    <w:rsid w:val="00342857"/>
    <w:rsid w:val="003574CD"/>
    <w:rsid w:val="00374E24"/>
    <w:rsid w:val="00412BD3"/>
    <w:rsid w:val="004710D4"/>
    <w:rsid w:val="00497FA5"/>
    <w:rsid w:val="004A2D5D"/>
    <w:rsid w:val="004A51B6"/>
    <w:rsid w:val="00537563"/>
    <w:rsid w:val="005462CC"/>
    <w:rsid w:val="00586C45"/>
    <w:rsid w:val="00670A93"/>
    <w:rsid w:val="006924D4"/>
    <w:rsid w:val="00692A48"/>
    <w:rsid w:val="006D56DE"/>
    <w:rsid w:val="006D6542"/>
    <w:rsid w:val="006E002E"/>
    <w:rsid w:val="00732E19"/>
    <w:rsid w:val="007704B2"/>
    <w:rsid w:val="00774286"/>
    <w:rsid w:val="00790617"/>
    <w:rsid w:val="007A47F6"/>
    <w:rsid w:val="008257D4"/>
    <w:rsid w:val="00853A18"/>
    <w:rsid w:val="009776B8"/>
    <w:rsid w:val="009E3BF6"/>
    <w:rsid w:val="009F4F2B"/>
    <w:rsid w:val="00A03C81"/>
    <w:rsid w:val="00A855C1"/>
    <w:rsid w:val="00AC161A"/>
    <w:rsid w:val="00AC3BA9"/>
    <w:rsid w:val="00AC5A26"/>
    <w:rsid w:val="00AE73C1"/>
    <w:rsid w:val="00B10525"/>
    <w:rsid w:val="00B30CAD"/>
    <w:rsid w:val="00B335F2"/>
    <w:rsid w:val="00B44D3D"/>
    <w:rsid w:val="00B61923"/>
    <w:rsid w:val="00B62870"/>
    <w:rsid w:val="00B63811"/>
    <w:rsid w:val="00B8231E"/>
    <w:rsid w:val="00BD787B"/>
    <w:rsid w:val="00C153C4"/>
    <w:rsid w:val="00C561EB"/>
    <w:rsid w:val="00C8392F"/>
    <w:rsid w:val="00CF6DBC"/>
    <w:rsid w:val="00D0075E"/>
    <w:rsid w:val="00D0267D"/>
    <w:rsid w:val="00D14356"/>
    <w:rsid w:val="00DC3295"/>
    <w:rsid w:val="00EB70E2"/>
    <w:rsid w:val="00F93F91"/>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 w:type="character" w:customStyle="1" w:styleId="apple-converted-space">
    <w:name w:val="apple-converted-space"/>
    <w:basedOn w:val="DefaultParagraphFont"/>
    <w:rsid w:val="00A03C81"/>
  </w:style>
  <w:style w:type="paragraph" w:styleId="HTMLPreformatted">
    <w:name w:val="HTML Preformatted"/>
    <w:basedOn w:val="Normal"/>
    <w:link w:val="HTMLPreformattedChar"/>
    <w:uiPriority w:val="99"/>
    <w:semiHidden/>
    <w:unhideWhenUsed/>
    <w:rsid w:val="004A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51B6"/>
    <w:rPr>
      <w:rFonts w:ascii="Courier New" w:eastAsia="Times New Roman" w:hAnsi="Courier New" w:cs="Courier New"/>
      <w:sz w:val="20"/>
      <w:szCs w:val="20"/>
      <w:lang w:eastAsia="en-GB"/>
    </w:rPr>
  </w:style>
  <w:style w:type="character" w:customStyle="1" w:styleId="tag">
    <w:name w:val="tag"/>
    <w:basedOn w:val="DefaultParagraphFont"/>
    <w:rsid w:val="004A51B6"/>
  </w:style>
  <w:style w:type="character" w:customStyle="1" w:styleId="pln">
    <w:name w:val="pln"/>
    <w:basedOn w:val="DefaultParagraphFont"/>
    <w:rsid w:val="004A51B6"/>
  </w:style>
  <w:style w:type="character" w:customStyle="1" w:styleId="pun">
    <w:name w:val="pun"/>
    <w:basedOn w:val="DefaultParagraphFont"/>
    <w:rsid w:val="004A51B6"/>
  </w:style>
  <w:style w:type="character" w:customStyle="1" w:styleId="kwd">
    <w:name w:val="kwd"/>
    <w:basedOn w:val="DefaultParagraphFont"/>
    <w:rsid w:val="004A51B6"/>
  </w:style>
  <w:style w:type="character" w:customStyle="1" w:styleId="str">
    <w:name w:val="str"/>
    <w:basedOn w:val="DefaultParagraphFont"/>
    <w:rsid w:val="004A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5011">
      <w:bodyDiv w:val="1"/>
      <w:marLeft w:val="0"/>
      <w:marRight w:val="0"/>
      <w:marTop w:val="0"/>
      <w:marBottom w:val="0"/>
      <w:divBdr>
        <w:top w:val="none" w:sz="0" w:space="0" w:color="auto"/>
        <w:left w:val="none" w:sz="0" w:space="0" w:color="auto"/>
        <w:bottom w:val="none" w:sz="0" w:space="0" w:color="auto"/>
        <w:right w:val="none" w:sz="0" w:space="0" w:color="auto"/>
      </w:divBdr>
    </w:div>
    <w:div w:id="14621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entypo.com/" TargetMode="Externa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hyperlink" Target="http://www.telerik.com/kendo-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lesscs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20</Pages>
  <Words>7571</Words>
  <Characters>43158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47</cp:revision>
  <dcterms:created xsi:type="dcterms:W3CDTF">2015-03-27T14:41:00Z</dcterms:created>
  <dcterms:modified xsi:type="dcterms:W3CDTF">2015-03-28T18:06:00Z</dcterms:modified>
</cp:coreProperties>
</file>