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sz w:val="44"/>
          <w:szCs w:val="44"/>
        </w:rPr>
        <w:t xml:space="preserve">BL TECH 영업 포털 기능 정의서</w:t>
      </w:r>
    </w:p>
    <w:p>
      <w:pPr>
        <w:spacing w:after="60"/>
        <w:jc w:val="center"/>
      </w:pPr>
      <w:r>
        <w:rPr>
          <w:color w:val="555555"/>
          <w:sz w:val="28"/>
          <w:szCs w:val="28"/>
        </w:rPr>
        <w:t xml:space="preserve">국내영업 · 고객 발굴 센터 (Phase 1)</w:t>
      </w:r>
    </w:p>
    <w:p>
      <w:pPr>
        <w:spacing w:after="60"/>
        <w:jc w:val="center"/>
      </w:pPr>
      <w:r>
        <w:rPr>
          <w:color w:val="888888"/>
          <w:sz w:val="22"/>
          <w:szCs w:val="22"/>
        </w:rPr>
        <w:t xml:space="preserve">작성일 2026-06-12 · 초안 (Draft)</w:t>
      </w:r>
    </w:p>
    <w:p>
      <w:pPr>
        <w:pBdr>
          <w:bottom w:val="single" w:color="2E75B6" w:sz="6" w:space="8"/>
        </w:pBdr>
        <w:spacing w:after="240"/>
      </w:pP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목적</w:t>
      </w:r>
    </w:p>
    <w:p>
      <w:pPr>
        <w:spacing w:after="120"/>
      </w:pPr>
      <w:r>
        <w:t xml:space="preserve">BL TECH 영업 포털 구축을 위한 기능 정의서로, 1차 구축 대상인 국내영업과 고객 발굴 센터의 화면 구성·기능·데이터 모델·연계 규칙을 정리한다. 본 문서는 개발(Claude Code) 전달용 명세의 초안이다.</w:t>
      </w:r>
    </w:p>
    <w:p>
      <w:pPr>
        <w:pStyle w:val="Heading2"/>
      </w:pPr>
      <w:r>
        <w:t xml:space="preserve">1.2 구축 범위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Phase 1 (본 문서): </w:t>
      </w:r>
      <w:r>
        <w:t xml:space="preserve">고객 발굴 센터, 국내영업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Phase 2 (보류): </w:t>
      </w:r>
      <w:r>
        <w:t xml:space="preserve">해외영업 — 실무 요건 추가 확인 후 별도 모듈로 확장</w:t>
      </w:r>
    </w:p>
    <w:p>
      <w:pPr>
        <w:spacing w:after="120"/>
      </w:pPr>
      <w:r>
        <w:t xml:space="preserve">두 모듈은 공통 토대(데이터·권한·인증 허브·전송 엔진)를 공유하며, 토대는 향후 해외영업을 얹을 수 있도록 설계한다.</w:t>
      </w:r>
    </w:p>
    <w:p>
      <w:pPr>
        <w:pStyle w:val="Heading2"/>
      </w:pPr>
      <w:r>
        <w:t xml:space="preserve">1.3 전제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의료기기 제조·판매사이며, 국내·해외 모두 대리점·의료기기 유통사를 대상으로 한 B2B 거래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주요 인증: ISO 13485, FDA, CE MDR (Phase 1 국내는 주로 ISO 13485 및 의료기기 판매업 요건)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기존 ERP: </w:t>
      </w:r>
      <w:r>
        <w:t xml:space="preserve">영림원 사용. 단, 외부 연동 API가 제공되지 않음 — 6장·7장 참조</w:t>
      </w:r>
    </w:p>
    <w:p>
      <w:pPr>
        <w:pStyle w:val="Heading2"/>
      </w:pPr>
      <w:r>
        <w:t xml:space="preserve">1.4 시스템 구성 개요</w:t>
      </w:r>
    </w:p>
    <w:p>
      <w:pPr>
        <w:spacing w:after="120"/>
      </w:pPr>
      <w:r>
        <w:t xml:space="preserve">포털은 세 영업 모듈(고객 발굴 센터·국내영업·해외영업) 위에 공통 인증·규제 허브와 공통 기능(권한·알림·리포트)이 받치는 구조이며, Phase 1에서는 앞의 두 모듈과 공통 토대를 구축한다. 포털은 자체 데이터를 보유하고, 영림원에는 결과(예: 선적정보)를 전달하는 방향으로 연계한다.</w:t>
      </w:r>
    </w:p>
    <w:p>
      <w:pPr>
        <w:pStyle w:val="Heading1"/>
      </w:pPr>
      <w:r>
        <w:t xml:space="preserve">2. 공통 기능 (두 모듈 공유)</w:t>
      </w:r>
    </w:p>
    <w:p>
      <w:pPr>
        <w:pStyle w:val="Heading2"/>
      </w:pPr>
      <w:r>
        <w:t xml:space="preserve">2.1 권한 관리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역할별 권한 차등 없음 — 모든 사용자가 동일하게 조회·입력하며 공통으로 작업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마스터·규칙 관리 등 일부 설정만 필요 시 관리자 영역으로 분리 가능</w:t>
      </w:r>
    </w:p>
    <w:p>
      <w:pPr>
        <w:pStyle w:val="Heading2"/>
      </w:pPr>
      <w:r>
        <w:t xml:space="preserve">2.2 통합 알림 센터</w:t>
      </w:r>
    </w:p>
    <w:p>
      <w:pPr>
        <w:spacing w:after="120"/>
      </w:pPr>
      <w:r>
        <w:t xml:space="preserve">Follow-up, 납기, 계약 갱신, 인증 만료, 미수금 기한, 제안서 열람 등 규칙 기반 알림을 한곳에 모은다. 알림 클릭 시 해당 거래처·리드·문서로 바로 이동한다.</w:t>
      </w:r>
    </w:p>
    <w:p>
      <w:pPr>
        <w:pStyle w:val="Heading2"/>
      </w:pPr>
      <w:r>
        <w:t xml:space="preserve">2.3 통합 리포트·엑셀</w:t>
      </w:r>
    </w:p>
    <w:p>
      <w:pPr>
        <w:spacing w:after="120"/>
      </w:pPr>
      <w:r>
        <w:t xml:space="preserve">주요 목록·실적은 엑셀 다운로드 및 리포트 출력을 지원한다.</w:t>
      </w:r>
    </w:p>
    <w:p>
      <w:pPr>
        <w:pStyle w:val="Heading2"/>
      </w:pPr>
      <w:r>
        <w:t xml:space="preserve">2.4 인증·규제 관리 허브</w:t>
      </w:r>
    </w:p>
    <w:p>
      <w:pPr>
        <w:spacing w:after="120"/>
      </w:pPr>
      <w:r>
        <w:t xml:space="preserve">ISO 13485 / FDA / CE MDR 등 인증을 한곳에서 관리한다. 발급일·만료일·갱신 일정 알림, 인증서·기술문서 원본 저장, 거래처 배포용 공유함을 제공한다. 발굴 센터는 진입 가능 여부 판단에, 국내영업은 거래처 배포 문서로 각각 참조한다.</w:t>
      </w:r>
    </w:p>
    <w:p>
      <w:pPr>
        <w:pStyle w:val="Heading2"/>
      </w:pPr>
      <w:r>
        <w:t xml:space="preserve">2.5 전송 엔진 (이메일·팩스)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현재 보고 있는 문서를 PDF로 만들어 이메일 또는 팩스로 발송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수신처(거래처 이메일·팩스)는 거래처 정보에서 자동 입력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발송 전 미리보기·확인 단계로 오발송 방지, 전송 이력(일시·수신처·채널·성공 여부) 기록</w:t>
      </w:r>
    </w:p>
    <w:p>
      <w:pPr>
        <w:pStyle w:val="Heading1"/>
      </w:pPr>
      <w:r>
        <w:t xml:space="preserve">3. 데이터 모델 (핵심 엔티티)</w:t>
      </w:r>
    </w:p>
    <w:p>
      <w:pPr>
        <w:spacing w:after="120"/>
      </w:pPr>
      <w:r>
        <w:t xml:space="preserve">두 모듈과 공통 기능이 참조하는 핵심 데이터는 다음과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3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엔티티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필드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제품 마스터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제품코드, 품명, 제품군(메디컬·케미컬·하이드로겔)/HS코드, 세트 구성(낱개 환산), 색상 옵션, 패킹값(카톤·팔레트), 인증 매핑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제품군이 출고 처리 방식을 결정. PI 그룹핑·낱개수량·패킹 계산 기준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거래처 (대리점·유통사)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회사명, 권역, 독점/비독점, 등급, 수수료·마진, 담당, 연락처, 거래조건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국내영업 중심 엔티티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리드 (잠재 거래처)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회사명, 지역, 유형, 발굴 채널, 적격성, 우선순위 점수, 상태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발굴 센터 중심. 검증 시 거래처로 승격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거래처별 규칙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기본 색상, 라벨·박스 양식, 필요 서류, 인코텀즈, 결제조건, 통화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문서 자동 생성 시 기본값 주입</w:t>
            </w:r>
          </w:p>
        </w:tc>
      </w:tr>
    </w:tbl>
    <w:p>
      <w:pPr>
        <w:spacing w:after="120"/>
      </w:pPr>
      <w:r>
        <w:rPr>
          <w:i/>
          <w:iCs/>
        </w:rPr>
        <w:t xml:space="preserve">확장 대비: 거래처·금액 관련 엔티티에는 국가·통화·언어 필드를 미리 예약해, Phase 2(해외영업) 추가 시 토대를 변경하지 않도록 한다.</w:t>
      </w:r>
    </w:p>
    <w:p>
      <w:pPr>
        <w:pStyle w:val="Heading1"/>
      </w:pPr>
      <w:r>
        <w:t xml:space="preserve">4. 고객 발굴 센터 (모듈 1)</w:t>
      </w:r>
    </w:p>
    <w:p>
      <w:pPr>
        <w:spacing w:after="120"/>
      </w:pPr>
      <w:r>
        <w:t xml:space="preserve">핵심 컨셉: 잠재 거래처(리드) 한 곳에 정보가 모이고, 검증되면 영업으로 이관한다.</w:t>
      </w:r>
    </w:p>
    <w:p>
      <w:pPr>
        <w:pStyle w:val="Heading2"/>
      </w:pPr>
      <w:r>
        <w:t xml:space="preserve">4.1 메인 동선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시장분석 · STP — 타깃 조건 정의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잠재 거래처 탐색 — 조건 기반 발굴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잠재 거래처 리스트 — 리드 등록·관리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리드 상세 — 검증 후 영업 이관</w:t>
      </w:r>
    </w:p>
    <w:p>
      <w:pPr>
        <w:pStyle w:val="Heading2"/>
      </w:pPr>
      <w:r>
        <w:t xml:space="preserve">4.2 발굴 대시보드 (홈)</w:t>
      </w:r>
    </w:p>
    <w:p>
      <w:pPr>
        <w:spacing w:after="12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발굴 현황 모니터링, 단계·알림 클릭 시 해당 리드로 이동</w:t>
      </w:r>
    </w:p>
    <w:p>
      <w:pPr>
        <w:pStyle w:val="Heading2"/>
      </w:pPr>
      <w:r>
        <w:t xml:space="preserve">4.3 시장분석 · STP (국내·해외 공용)</w:t>
      </w:r>
    </w:p>
    <w:p>
      <w:pPr>
        <w:spacing w:after="12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국내·해외영업 공용 — 전세계 국가 선택, 지역은 상세 단위(국내는 시·도)로 ‘전체’ 포함 선택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지역·세그먼트별 수요·경쟁사·규제 환경 분석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STP: 세그먼트 구분 → 타깃 선정 → 포지셔닝. 타깃 조건(유형·규모·취급 품목)이 탐색의 출발 조건이 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‘STP 조건으로 탐색’은 별도 페이지로 이동하지 않고, 같은 화면 아래에 결과를 표시</w:t>
      </w:r>
    </w:p>
    <w:p>
      <w:pPr>
        <w:pStyle w:val="Heading2"/>
      </w:pPr>
      <w:r>
        <w:t xml:space="preserve">4.4 탐색 + AI 비서 (시장분석·STP 화면 내)</w:t>
      </w:r>
    </w:p>
    <w:p>
      <w:pPr>
        <w:spacing w:after="12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진행: 조건 입력 → 검색 결과 리스팅 → AI 비서와 대화로 세부 조건(규모·판매 라이선스·취급 품목 등)을 더해 좁힘(반복) → 선택 후보를 최종 잠재 거래처 리스트에 확정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탐색 비서: 원하는 조건을 대화로 입력하면 후보를 함께 좁혀 추천. 빠른 조건 버튼과 자유 입력 모두 지원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리서치·공개 DB 기반 탐색, 전시회 명함 등 수동 추가 지원, 기존 리드·거래처와 중복 자동 제외</w:t>
      </w:r>
    </w:p>
    <w:p>
      <w:pPr>
        <w:pStyle w:val="Heading2"/>
      </w:pPr>
      <w:r>
        <w:t xml:space="preserve">4.5 잠재 거래처 리스트</w:t>
      </w:r>
    </w:p>
    <w:p>
      <w:pPr>
        <w:spacing w:after="12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신규 리드 등록, 채널 태깅, 적격성·점수별 정렬, 필터·검색, 엑셀</w:t>
      </w:r>
    </w:p>
    <w:p>
      <w:pPr>
        <w:pStyle w:val="Heading2"/>
      </w:pPr>
      <w:r>
        <w:t xml:space="preserve">4.6 리드 상세 (핵심)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적격성 체크: </w:t>
      </w:r>
      <w:r>
        <w:t xml:space="preserve">연 매출액·종업원 수·홈페이지 보유·판매(수입) 라이선스 체크리스트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AI 신용조사(리서치): </w:t>
      </w:r>
      <w:r>
        <w:t xml:space="preserve">웹검색으로 공개 정보를 모아 판매 가부 판단 자료 생성 — 참고용이며 정식 신용보고서는 아님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우선순위 스코어링: </w:t>
      </w:r>
      <w:r>
        <w:t xml:space="preserve">예상 거래 규모·적격성·관계로 점수·등급 추천. 세부 기준은 제품별로 상이하여 추후 제공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제안 발송 이력: </w:t>
      </w:r>
      <w:r>
        <w:t xml:space="preserve">보낸 소개서·제안서와 열람 여부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영업기회 전환·이관: </w:t>
      </w:r>
      <w:r>
        <w:t xml:space="preserve">검증 완료 시 국내영업 대리점으로 승격(데이터 승계). 해외 대상은 Phase 2에서 연결</w:t>
      </w:r>
    </w:p>
    <w:p>
      <w:pPr>
        <w:pStyle w:val="Heading2"/>
      </w:pPr>
      <w:r>
        <w:t xml:space="preserve">4.7 제품소개서·제안서 작성</w:t>
      </w:r>
    </w:p>
    <w:p>
      <w:pPr>
        <w:spacing w:after="12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베이직 소개서·제안서에 거래처·제품군을 넣어 맞춤 자동 생성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제품 마스터·인증 정보 자동 반영(제품군별 카탈로그·인증서)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이메일 발송 + 열람 추적 (공통 전송 엔진)</w:t>
      </w:r>
    </w:p>
    <w:p>
      <w:pPr>
        <w:pStyle w:val="Heading2"/>
      </w:pPr>
      <w:r>
        <w:t xml:space="preserve">4.8 진입 요건 사전 점검</w:t>
      </w:r>
    </w:p>
    <w:p>
      <w:pPr>
        <w:spacing w:after="120"/>
      </w:pPr>
      <w:r>
        <w:t xml:space="preserve">대상 거래처·지역에 필요한 요건(국내는 의료기기 판매업 신고 등)을 인증 허브에서 가져와 진행 가능 여부를 표시한다.</w:t>
      </w:r>
    </w:p>
    <w:p>
      <w:pPr>
        <w:pStyle w:val="Heading1"/>
      </w:pPr>
      <w:r>
        <w:t xml:space="preserve">5. 국내영업 (모듈 2)</w:t>
      </w:r>
    </w:p>
    <w:p>
      <w:pPr>
        <w:spacing w:after="120"/>
      </w:pPr>
      <w:r>
        <w:t xml:space="preserve">모든 정보가 대리점(거래처) 단위로 모이고, 각종 서류 작성도 대리점 상세에서 호출되는 구조로 설계한다.</w:t>
      </w:r>
    </w:p>
    <w:p>
      <w:pPr>
        <w:pStyle w:val="Heading2"/>
      </w:pPr>
      <w:r>
        <w:t xml:space="preserve">5.1 국내영업 대시보드 (홈)</w:t>
      </w:r>
    </w:p>
    <w:p>
      <w:pPr>
        <w:spacing w:after="12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미수금 현황: 업체별 미수금·마지막 입금일을 마지막 입금일이 오래된 순으로 정렬해 표시하고, 경과 기간별 색상 구분(6개월 이상 빨강·3개월 이상 주황·1개월 이상 초록). 클릭 시 해당 업체 정보로 이동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알림: </w:t>
      </w:r>
      <w:r>
        <w:t xml:space="preserve">채권채무조회서 발송 — 6월·12월 말일 10일 전부터 D-10 카운트다운; 주문 주기 이탈 — 업체별 평균 주문 주기를 벗어난(미주문) 업체 알림; 계약 갱신 임박 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파이프라인은 대시보드에서 제외하고 대리점 관리 화면(5.2)으로 이동</w:t>
      </w:r>
    </w:p>
    <w:p>
      <w:pPr>
        <w:pStyle w:val="Heading2"/>
      </w:pPr>
      <w:r>
        <w:t xml:space="preserve">5.2 영업 파이프라인 (단계별) — 대리점 관리 화면 내</w:t>
      </w:r>
    </w:p>
    <w:p>
      <w:pPr>
        <w:spacing w:after="12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발굴 센터 이관 기회 자동 표시, 단계 이동 시 후속 작업 자동 생성, 예상 매출 합계가 대시보드·예측과 연동</w:t>
      </w:r>
    </w:p>
    <w:p>
      <w:pPr>
        <w:pStyle w:val="Heading2"/>
      </w:pPr>
      <w:r>
        <w:t xml:space="preserve">5.3 대리점 관리 (통합 화면)</w:t>
      </w:r>
    </w:p>
    <w:p>
      <w:pPr>
        <w:spacing w:after="120"/>
      </w:pPr>
      <w:r>
        <w:t xml:space="preserve">한 화면에서 영업 파이프라인(5.2)·Follow-up 대시보드(5.8)·대리점 리스트를 함께 보여, 영업 현황을 한눈에 파악한다.</w:t>
      </w:r>
    </w:p>
    <w:p>
      <w:pPr>
        <w:spacing w:after="12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신규 대리점 등록, 권역·독점 여부·등급·수수료 정책 설정, 엑셀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채권채무조회서 일괄 발송: </w:t>
      </w:r>
      <w:r>
        <w:t xml:space="preserve">리스트에서 거래처를 체크 후 발송 버튼을 누르면, 체크된 거래처만 거래처명·잔액이 자동 입력되어 팩스로 일괄 발송. 반기 정기(6월말·12월말)로 잔액 보유 거래처 대상. 양식·세부 내용은 추후 제공</w:t>
      </w:r>
    </w:p>
    <w:p>
      <w:pPr>
        <w:pStyle w:val="Heading2"/>
      </w:pPr>
      <w:r>
        <w:t xml:space="preserve">5.4 대리점 상세 (탭 구성)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개요: </w:t>
      </w:r>
      <w:r>
        <w:t xml:space="preserve">기본 정보(권역·독점·등급·담당), 핵심 지표, 빠른 작업 버튼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매출·주문: </w:t>
      </w:r>
      <w:r>
        <w:t xml:space="preserve">주문·매출 이력·추이, 미수금·채권 현황, 채권채무조회서 작성·발송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클레임·품질: </w:t>
      </w:r>
      <w:r>
        <w:t xml:space="preserve">클레임 이력, 반품·교환 내역, 불량 피드백처리요청서 작성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계약: </w:t>
      </w:r>
      <w:r>
        <w:t xml:space="preserve">계약서 목록·관리, 유효기간·갱신 알림, 보험수가표 배포 이력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문서함: </w:t>
      </w:r>
      <w:r>
        <w:t xml:space="preserve">ISO 13485 인증서·제품 자료·보험수가표 등 거래처 공유 문서(인증 허브 연동)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거래처원장: </w:t>
      </w:r>
      <w:r>
        <w:t xml:space="preserve">거래처원장·출고현황 — 5.5 참조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활동: </w:t>
      </w:r>
      <w:r>
        <w:t xml:space="preserve">방문·통화·메일 로그, Follow-up 일정</w:t>
      </w:r>
    </w:p>
    <w:p>
      <w:pPr>
        <w:pStyle w:val="Heading2"/>
      </w:pPr>
      <w:r>
        <w:t xml:space="preserve">5.5 거래처원장 · 출고현황 + 이메일·팩스 전송</w:t>
      </w:r>
    </w:p>
    <w:p>
      <w:pPr>
        <w:spacing w:after="12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기간·품목 필터, 합계·잔액 자동 집계, PDF·엑셀 출력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현재 화면을 PDF로 만들어 거래처에 이메일·팩스 전송(공통 전송 엔진), 발송 전 미리보기·전송 이력</w:t>
      </w:r>
    </w:p>
    <w:p>
      <w:pPr>
        <w:pStyle w:val="Heading2"/>
      </w:pPr>
      <w:r>
        <w:t xml:space="preserve">5.6 문서 작성 기능 (상세 화면에서 호출)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견적서: </w:t>
      </w:r>
      <w:r>
        <w:t xml:space="preserve">보험수가표 단가 자동 반영, 버전 관리, 전자결재 연동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채권채무조회서: </w:t>
      </w:r>
      <w:r>
        <w:t xml:space="preserve">반기말(6/30·12/31) 기준 잔액을 거래처에 확인 요청하는 양식. 거래처명·기준일·발행일·조회서번호 자동 채번, 채권(외상매출금=미수 잔액)·합계 자동 입력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양식 구성: 수신(거래처명 귀하)·기준일·발행일, ‘당사가 받을 금액’(외상매출금·받을어음·미수수익·선급금 등 계정과목별), ‘당사가 지급할 금액’(외상매입금·지급어음·선수금 등), 하단 확인통지란(수신처 회신용 — 일치 서명·날인 또는 상위점 기재), 회신처(FAX·이메일)·문의처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발송: 대리점 리스트에서 다중 선택 → 팩스 일괄 발송, 발송·회신 이력 관리 (5.3 참조)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보험수가표: </w:t>
      </w:r>
      <w:r>
        <w:t xml:space="preserve">작성·버전 관리 후 거래처 배포, 배포 이력 추적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불량 피드백처리요청서: </w:t>
      </w:r>
      <w:r>
        <w:t xml:space="preserve">클레임 건과 연결해 작성, 처리 상태 추적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계약서: </w:t>
      </w:r>
      <w:r>
        <w:t xml:space="preserve">템플릿, 결재, 갱신 알림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반품·교환: </w:t>
      </w:r>
      <w:r>
        <w:t xml:space="preserve">접수 → 승인 → 처리 워크플로우</w:t>
      </w:r>
    </w:p>
    <w:p>
      <w:pPr>
        <w:pStyle w:val="Heading2"/>
      </w:pPr>
      <w:r>
        <w:t xml:space="preserve">5.7 출고 의뢰 (제품군별)</w:t>
      </w:r>
    </w:p>
    <w:p>
      <w:pPr>
        <w:spacing w:after="120"/>
      </w:pPr>
      <w:r>
        <w:t xml:space="preserve">출고 처리 방식은 제품군에 따라 다르다.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메디컬: </w:t>
      </w:r>
      <w:r>
        <w:t xml:space="preserve">주문 사이트(카페24)의 주문 API로 신규 주문을 실시간 수집(OAuth 2.0 인증, 짧은 주기 폴링 또는 웹훅)해 출고 의뢰에 자동 반영. 별도 생산출고의뢰서 문서는 없음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메디컬 — 백업: </w:t>
      </w:r>
      <w:r>
        <w:t xml:space="preserve">API 장애나 PO가 없는 건 등은 출고 의뢰 화면 좌측 상단의 ‘출고 파일(엑셀)’ 삽입란에 엑셀을 업로드해 처리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케미컬 · 하이드로겔: </w:t>
      </w:r>
      <w:r>
        <w:t xml:space="preserve">해외영업과 동일하게 PO → 생산출고의뢰서 자동 생성(거래처 발주코드 ↔ 내부 품명 매핑 기반). 예외(PO가 없는 경우 등)는 수기 처리</w:t>
      </w:r>
    </w:p>
    <w:p>
      <w:pPr>
        <w:pStyle w:val="Heading2"/>
      </w:pPr>
      <w:r>
        <w:t xml:space="preserve">5.8 Follow-up &amp; 알림 규칙</w:t>
      </w:r>
    </w:p>
    <w:p>
      <w:pPr>
        <w:spacing w:after="120"/>
      </w:pPr>
      <w:r>
        <w:t xml:space="preserve">Follow-up 대시보드는 대리점 관리 화면(5.3)에 통합 표시된다. 규칙 기반 자동 알림(미접촉 N일, 견적 발송 후 무응답 N일, 계약 갱신 D-30, 미수금 기한 초과 등)은 통합 알림 센터로 모은다.</w:t>
      </w:r>
    </w:p>
    <w:p>
      <w:pPr>
        <w:pStyle w:val="Heading1"/>
      </w:pPr>
      <w:r>
        <w:t xml:space="preserve">6. 모듈 간 연계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발굴 → 국내영업 이관: </w:t>
      </w:r>
      <w:r>
        <w:t xml:space="preserve">검증된 리드를 대리점으로 승격하며 데이터(기본정보·활동·제안 이력)를 그대로 승계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공통 자원 공유: </w:t>
      </w:r>
      <w:r>
        <w:t xml:space="preserve">제품 마스터·인증 허브·전송 엔진을 두 모듈이 공유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영림원 연계: </w:t>
      </w:r>
      <w:r>
        <w:t xml:space="preserve">포털이 데이터를 보유하고 영림원에는 결과를 전달. API가 없어 자동 연동이 불가하므로, 포털이 영림원 입력용 엑셀·양식을 생성하면 담당자가 업로드·입력하는 반자동 방식으로 설계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주문 사이트(카페24) 연동: </w:t>
      </w:r>
      <w:r>
        <w:t xml:space="preserve">메디컬 출고용으로 카페24 Admin API(OAuth 2.0)를 통해 주문을 실시간 수집. 토큰 기반이라 관리자 자격증명을 저장할 필요가 없고, 최초 OAuth 동의는 운영자가 1회 진행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해외영업 확장 대비: </w:t>
      </w:r>
      <w:r>
        <w:t xml:space="preserve">데이터에 국가·통화·언어 자리를 예약해 Phase 2에서 토대 변경 없이 모듈 추가</w:t>
      </w:r>
    </w:p>
    <w:p>
      <w:pPr>
        <w:pStyle w:val="Heading1"/>
      </w:pPr>
      <w:r>
        <w:t xml:space="preserve">7. 제약 및 미결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영림원 API 없음: </w:t>
      </w:r>
      <w:r>
        <w:t xml:space="preserve">자동 연동 불가 → 엑셀·양식 생성 후 업로드·입력하는 반자동 방식. 영림원의 엑셀 일괄 업로드 지원 여부 확인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우선순위 스코어링 기준: </w:t>
      </w:r>
      <w:r>
        <w:t xml:space="preserve">제품별로 기준이 달라, 추후 제품별 기준을 제공받아 반영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AI 신용조사: </w:t>
      </w:r>
      <w:r>
        <w:t xml:space="preserve">공개 정보 기반 참고 자료이며 정식 신용보고서가 아님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외부 메신저·그룹웨어 연동: </w:t>
      </w:r>
      <w:r>
        <w:t xml:space="preserve">왓츠앱·아웃룩·다우오피스 연동은 Phase 2(해외영업) 범위. 계정 유형·요금제·데이터 위치 확인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카페24 주문 이벤트(웹훅): </w:t>
      </w:r>
      <w:r>
        <w:t xml:space="preserve">웹훅 지원 여부는 개발자센터에서 확인 — 미지원 시 짧은 주기 폴링으로 ‘거의 실시간’ 구현</w:t>
      </w:r>
    </w:p>
    <w:p>
      <w:pPr>
        <w:pStyle w:val="Heading1"/>
      </w:pPr>
      <w:r>
        <w:t xml:space="preserve">8. 향후 확장 (Phase 2 요약)</w:t>
      </w:r>
    </w:p>
    <w:p>
      <w:pPr>
        <w:spacing w:after="120"/>
      </w:pPr>
      <w:r>
        <w:t xml:space="preserve">해외영업 모듈 추가 시 다음을 포함한다. 본 문서의 토대 위에 얹는 것을 전제로 한다.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해외 거래처 관리, 환율 대시보드, 물류비·ETA 계산기, 메일 즉각 번역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수출서류 자동 생성(PI·CI·B/L·C/O·수출신고필증 등)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해외 PO → PI 자동화 및 수출서류 자동 생성 (생산출고의뢰서 자동화 로직은 Phase 1 국내 케미컬·하이드로겔과 공유)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원부자재 수입 현황판 / 자사 제품 수출 현황판 (차수 관리)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국가별 인증·규제 관리(FDA·CE MDR), 해외 대리점·에이전트 관리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algun Gothic" w:cs="Malgun Gothic" w:eastAsia="Malgun Gothic" w:hAnsi="Malgun Gothic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2026-06-13T09:42:51.674Z</dcterms:created>
  <dcterms:modified xsi:type="dcterms:W3CDTF">2026-06-13T09:42:51.685Z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