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28" w:rsidRPr="00116D28" w:rsidRDefault="00116D28" w:rsidP="00116D28">
      <w:pPr>
        <w:shd w:val="clear" w:color="auto" w:fill="FFFFFF"/>
        <w:spacing w:after="225" w:line="240" w:lineRule="atLeast"/>
        <w:textAlignment w:val="baseline"/>
        <w:outlineLvl w:val="0"/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>GO Komutunun Kullanımı</w:t>
      </w:r>
    </w:p>
    <w:p w:rsidR="00116D28" w:rsidRPr="00116D28" w:rsidRDefault="00116D28" w:rsidP="00116D28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Go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komutu bir T-SQL ifadesi değildir, fakat TSQL kodlarında sıkça kullanılır. GO komutu öncesinde yazılmış olan tüm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sql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ifadelerini veya bir önceki GO ifadesine kadar olan tüm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sql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ifadelerini tek bir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execution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plan </w:t>
      </w:r>
      <w:proofErr w:type="gram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dahilinde</w:t>
      </w:r>
      <w:proofErr w:type="gram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SQL Servera gönderir. SQL Server GO komutunu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scripti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</w:t>
      </w:r>
      <w:proofErr w:type="gram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servera</w:t>
      </w:r>
      <w:proofErr w:type="gram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göndermek için bir işaret olarak algılar.</w:t>
      </w:r>
    </w:p>
    <w:p w:rsidR="00116D28" w:rsidRPr="00116D28" w:rsidRDefault="00116D28" w:rsidP="00116D28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Go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komutu T-SQL ifadesi olmadığı için yeni bir satırda tek başına </w:t>
      </w:r>
      <w:proofErr w:type="gram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yazılır , aynı</w:t>
      </w:r>
      <w:proofErr w:type="gram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satırda sadece açıklama satırı yer alabilir.</w:t>
      </w:r>
    </w:p>
    <w:p w:rsidR="00116D28" w:rsidRPr="00116D28" w:rsidRDefault="00116D28" w:rsidP="00116D28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GO komutunun kullanımı ile ilgili basit bir örnek</w:t>
      </w:r>
    </w:p>
    <w:p w:rsidR="00116D28" w:rsidRPr="00116D28" w:rsidRDefault="00116D28" w:rsidP="00116D2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8" w:history="1">
        <w:r w:rsidRPr="00116D2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116D28" w:rsidRPr="00116D28" w:rsidTr="00116D2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8715" w:type="dxa"/>
            <w:vAlign w:val="center"/>
            <w:hideMark/>
          </w:tcPr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DECLARE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@Mesaj VARCHAR(30)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@Mesaj = 'Yazılım Mutfağı.'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GO -- @Mesaj değişkeni GO komutundan sonra geçerliliğini kaybeder.</w:t>
            </w:r>
          </w:p>
        </w:tc>
      </w:tr>
    </w:tbl>
    <w:p w:rsidR="00116D28" w:rsidRPr="00116D28" w:rsidRDefault="00116D28" w:rsidP="00116D28">
      <w:pPr>
        <w:shd w:val="clear" w:color="auto" w:fill="FFFFFF"/>
        <w:spacing w:after="225" w:line="240" w:lineRule="atLeast"/>
        <w:textAlignment w:val="baseline"/>
        <w:outlineLvl w:val="2"/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36"/>
          <w:szCs w:val="36"/>
          <w:lang w:eastAsia="tr-TR"/>
        </w:rPr>
        <w:t>Dikkat edilmesi gereken noktalar:</w:t>
      </w:r>
    </w:p>
    <w:p w:rsidR="00116D28" w:rsidRPr="00116D28" w:rsidRDefault="00116D28" w:rsidP="00116D28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GO komutu diğer T-SQL komutları ile aynı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asatırda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kullanılamaz</w:t>
      </w:r>
    </w:p>
    <w:p w:rsidR="00116D28" w:rsidRPr="00116D28" w:rsidRDefault="00116D28" w:rsidP="00116D28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GO komutundan önce tanımlanan bir değişken GO komutundan sonra kullanılamaz. Çünkü daha önceki kod yığınının sona erdiğini belirtmektedir.</w:t>
      </w:r>
    </w:p>
    <w:p w:rsidR="00116D28" w:rsidRPr="00116D28" w:rsidRDefault="00116D28" w:rsidP="00116D28">
      <w:pPr>
        <w:numPr>
          <w:ilvl w:val="0"/>
          <w:numId w:val="1"/>
        </w:numPr>
        <w:spacing w:after="0" w:line="300" w:lineRule="atLeast"/>
        <w:ind w:left="564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Kodun sonunda GO kullanılmadığı veya tüm sorgu bitmediği sürece komutlar sunucuya gönderilmez.</w:t>
      </w:r>
    </w:p>
    <w:p w:rsidR="00116D28" w:rsidRPr="00116D28" w:rsidRDefault="00116D28" w:rsidP="00116D28">
      <w:pPr>
        <w:shd w:val="clear" w:color="auto" w:fill="FFFFFF"/>
        <w:spacing w:after="225" w:line="240" w:lineRule="atLeast"/>
        <w:textAlignment w:val="baseline"/>
        <w:outlineLvl w:val="0"/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kern w:val="36"/>
          <w:sz w:val="54"/>
          <w:szCs w:val="54"/>
          <w:lang w:eastAsia="tr-TR"/>
        </w:rPr>
        <w:t>GO Komutunun Çok Bilinmeyen Kullanım Yöntemi</w:t>
      </w:r>
    </w:p>
    <w:p w:rsidR="00116D28" w:rsidRPr="00116D28" w:rsidRDefault="00116D28" w:rsidP="00116D28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GO komutu kendisinden önce yazılan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sql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sorgusunu sonlandırıp </w:t>
      </w:r>
      <w:proofErr w:type="gram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servera</w:t>
      </w:r>
      <w:proofErr w:type="gram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gönderir dedik. </w:t>
      </w:r>
      <w:proofErr w:type="gram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Peki</w:t>
      </w:r>
      <w:proofErr w:type="gram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bunu sadece bir </w:t>
      </w:r>
      <w:proofErr w:type="spellStart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kezmi</w:t>
      </w:r>
      <w:proofErr w:type="spellEnd"/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 xml:space="preserve"> yapabilir. GO komutundan sonra bir sayı belirterek birden fazla aynı sorguyu çalıştırabiliriz.</w:t>
      </w:r>
    </w:p>
    <w:p w:rsidR="00116D28" w:rsidRPr="00116D28" w:rsidRDefault="00116D28" w:rsidP="00116D28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Aşağıdaki örnekte görebileceğiniz gibi GO komutu ile önceki sorguyu 10 kez çalıştırarak tablomuza 10 adet insert işlemi yapmış olduk.</w:t>
      </w:r>
    </w:p>
    <w:p w:rsidR="00116D28" w:rsidRPr="00116D28" w:rsidRDefault="00116D28" w:rsidP="00116D28">
      <w:pPr>
        <w:shd w:val="clear" w:color="auto" w:fill="FFFFFF"/>
        <w:spacing w:after="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hyperlink r:id="rId9" w:history="1">
        <w:r w:rsidRPr="00116D28">
          <w:rPr>
            <w:rFonts w:ascii="Helvetica" w:eastAsia="Times New Roman" w:hAnsi="Helvetica" w:cs="Helvetica"/>
            <w:color w:val="0000FF"/>
            <w:sz w:val="15"/>
            <w:szCs w:val="15"/>
            <w:u w:val="single"/>
            <w:bdr w:val="none" w:sz="0" w:space="0" w:color="auto" w:frame="1"/>
            <w:lang w:eastAsia="tr-TR"/>
          </w:rPr>
          <w:t>?</w:t>
        </w:r>
      </w:hyperlink>
    </w:p>
    <w:tbl>
      <w:tblPr>
        <w:tblW w:w="91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715"/>
      </w:tblGrid>
      <w:tr w:rsidR="00116D28" w:rsidRPr="00116D28" w:rsidTr="00116D28">
        <w:trPr>
          <w:tblCellSpacing w:w="0" w:type="dxa"/>
        </w:trPr>
        <w:tc>
          <w:tcPr>
            <w:tcW w:w="0" w:type="auto"/>
            <w:vAlign w:val="center"/>
            <w:hideMark/>
          </w:tcPr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8715" w:type="dxa"/>
            <w:vAlign w:val="center"/>
            <w:hideMark/>
          </w:tcPr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CREATE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TABLE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tablo (</w:t>
            </w:r>
            <w:proofErr w:type="spellStart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deger</w:t>
            </w:r>
            <w:proofErr w:type="spellEnd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BIGINT)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tablo(</w:t>
            </w:r>
            <w:proofErr w:type="spellStart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deger</w:t>
            </w:r>
            <w:proofErr w:type="spellEnd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SELECT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GO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INSERT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INTO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tablo(</w:t>
            </w:r>
            <w:proofErr w:type="spellStart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deger</w:t>
            </w:r>
            <w:proofErr w:type="spellEnd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SELECT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SUM(</w:t>
            </w:r>
            <w:proofErr w:type="spellStart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deger</w:t>
            </w:r>
            <w:proofErr w:type="spellEnd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) FROM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tablo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GO 10</w:t>
            </w:r>
          </w:p>
          <w:p w:rsidR="00116D28" w:rsidRPr="00116D28" w:rsidRDefault="00116D28" w:rsidP="00116D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 </w:t>
            </w:r>
          </w:p>
          <w:p w:rsidR="00116D28" w:rsidRPr="00116D28" w:rsidRDefault="00116D28" w:rsidP="008D10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SELECT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* FROM</w:t>
            </w:r>
            <w:r w:rsidRPr="00116D28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bookmarkStart w:id="0" w:name="_GoBack"/>
            <w:bookmarkEnd w:id="0"/>
            <w:r w:rsidRPr="00116D28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tablo</w:t>
            </w:r>
          </w:p>
        </w:tc>
      </w:tr>
    </w:tbl>
    <w:p w:rsidR="00116D28" w:rsidRPr="00116D28" w:rsidRDefault="00116D28" w:rsidP="00116D28">
      <w:pPr>
        <w:shd w:val="clear" w:color="auto" w:fill="FFFFFF"/>
        <w:spacing w:after="450" w:line="300" w:lineRule="atLeast"/>
        <w:textAlignment w:val="baseline"/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</w:pPr>
      <w:r w:rsidRPr="00116D28">
        <w:rPr>
          <w:rFonts w:ascii="Helvetica" w:eastAsia="Times New Roman" w:hAnsi="Helvetica" w:cs="Helvetica"/>
          <w:color w:val="5E6066"/>
          <w:sz w:val="18"/>
          <w:szCs w:val="18"/>
          <w:lang w:eastAsia="tr-TR"/>
        </w:rPr>
        <w:t>Yukarıdaki sorgu sonucu tablomuzdaki veriler aşağıdaki gibi oldu.</w:t>
      </w:r>
    </w:p>
    <w:tbl>
      <w:tblPr>
        <w:tblW w:w="9120" w:type="dxa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E5EEC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b/>
                <w:bCs/>
                <w:color w:val="5E6066"/>
                <w:sz w:val="18"/>
                <w:szCs w:val="18"/>
                <w:lang w:eastAsia="tr-TR"/>
              </w:rPr>
            </w:pPr>
            <w:proofErr w:type="spellStart"/>
            <w:r w:rsidRPr="00116D28">
              <w:rPr>
                <w:rFonts w:ascii="Helvetica" w:eastAsia="Times New Roman" w:hAnsi="Helvetica" w:cs="Helvetica"/>
                <w:b/>
                <w:bCs/>
                <w:color w:val="5E6066"/>
                <w:sz w:val="18"/>
                <w:szCs w:val="18"/>
                <w:lang w:eastAsia="tr-TR"/>
              </w:rPr>
              <w:lastRenderedPageBreak/>
              <w:t>deger</w:t>
            </w:r>
            <w:proofErr w:type="spellEnd"/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1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1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2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4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8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16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32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64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128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256</w:t>
            </w:r>
          </w:p>
        </w:tc>
      </w:tr>
      <w:tr w:rsidR="00116D28" w:rsidRPr="00116D28" w:rsidTr="00116D28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16D28" w:rsidRPr="00116D28" w:rsidRDefault="00116D28" w:rsidP="00116D28">
            <w:pPr>
              <w:spacing w:after="0" w:line="300" w:lineRule="atLeast"/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</w:pPr>
            <w:r w:rsidRPr="00116D28">
              <w:rPr>
                <w:rFonts w:ascii="Helvetica" w:eastAsia="Times New Roman" w:hAnsi="Helvetica" w:cs="Helvetica"/>
                <w:color w:val="5E6066"/>
                <w:sz w:val="18"/>
                <w:szCs w:val="18"/>
                <w:lang w:eastAsia="tr-TR"/>
              </w:rPr>
              <w:t>512</w:t>
            </w:r>
          </w:p>
        </w:tc>
      </w:tr>
    </w:tbl>
    <w:p w:rsidR="00551E38" w:rsidRDefault="00551E38"/>
    <w:sectPr w:rsidR="00551E3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5E1" w:rsidRDefault="003D05E1" w:rsidP="00116D28">
      <w:pPr>
        <w:spacing w:after="0" w:line="240" w:lineRule="auto"/>
      </w:pPr>
      <w:r>
        <w:separator/>
      </w:r>
    </w:p>
  </w:endnote>
  <w:endnote w:type="continuationSeparator" w:id="0">
    <w:p w:rsidR="003D05E1" w:rsidRDefault="003D05E1" w:rsidP="001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D28" w:rsidRDefault="00116D28">
    <w:pPr>
      <w:pStyle w:val="Altbilgi"/>
    </w:pPr>
    <w:r w:rsidRPr="00116D28">
      <w:t>http://www.yazilimmutfagi.com/10166/veritabani/sql-</w:t>
    </w:r>
    <w:proofErr w:type="gramStart"/>
    <w:r w:rsidRPr="00116D28">
      <w:t>server</w:t>
    </w:r>
    <w:proofErr w:type="gramEnd"/>
    <w:r w:rsidRPr="00116D28">
      <w:t>/go-komutunun-kullanimi-go-komutunu-kullanarak-bir-sorgu-birden-fazla-nasil-calistirilir.aspx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5E1" w:rsidRDefault="003D05E1" w:rsidP="00116D28">
      <w:pPr>
        <w:spacing w:after="0" w:line="240" w:lineRule="auto"/>
      </w:pPr>
      <w:r>
        <w:separator/>
      </w:r>
    </w:p>
  </w:footnote>
  <w:footnote w:type="continuationSeparator" w:id="0">
    <w:p w:rsidR="003D05E1" w:rsidRDefault="003D05E1" w:rsidP="00116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61A35"/>
    <w:multiLevelType w:val="multilevel"/>
    <w:tmpl w:val="3D2C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28"/>
    <w:rsid w:val="00116D28"/>
    <w:rsid w:val="003D05E1"/>
    <w:rsid w:val="00551E38"/>
    <w:rsid w:val="008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16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16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2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16D2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1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16D28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116D28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116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6D28"/>
  </w:style>
  <w:style w:type="paragraph" w:styleId="Altbilgi">
    <w:name w:val="footer"/>
    <w:basedOn w:val="Normal"/>
    <w:link w:val="AltbilgiChar"/>
    <w:uiPriority w:val="99"/>
    <w:unhideWhenUsed/>
    <w:rsid w:val="00116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6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16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116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6D2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16D2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116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16D28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116D28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116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16D28"/>
  </w:style>
  <w:style w:type="paragraph" w:styleId="Altbilgi">
    <w:name w:val="footer"/>
    <w:basedOn w:val="Normal"/>
    <w:link w:val="AltbilgiChar"/>
    <w:uiPriority w:val="99"/>
    <w:unhideWhenUsed/>
    <w:rsid w:val="00116D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1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3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4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4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zilimmutfagi.com/10166/veritabani/sql-server/go-komutunun-kullanimi-go-komutunu-kullanarak-bir-sorgu-birden-fazla-nasil-calistirilir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yazilimmutfagi.com/10166/veritabani/sql-server/go-komutunun-kullanimi-go-komutunu-kullanarak-bir-sorgu-birden-fazla-nasil-calistirilir.asp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.</dc:creator>
  <cp:lastModifiedBy>ak .</cp:lastModifiedBy>
  <cp:revision>2</cp:revision>
  <dcterms:created xsi:type="dcterms:W3CDTF">2014-12-06T19:58:00Z</dcterms:created>
  <dcterms:modified xsi:type="dcterms:W3CDTF">2014-12-06T19:59:00Z</dcterms:modified>
</cp:coreProperties>
</file>