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Scenario: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How does nutrient availability in terms of the C:P ratio affect forest biomass across a range of fire disturbance histories?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 Here, we collected soil samples from 1000 forest plots across a range of varying elevation and topography. Coincidingly, we estimated biomass within each plot at the kg/ha scale to examine the effect of increasing C to P content on biomass post intentional clearing of understory and midstory biomass.   </w:t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8">
    <w:pPr>
      <w:rPr>
        <w:i w:val="1"/>
      </w:rPr>
    </w:pPr>
    <w:r w:rsidDel="00000000" w:rsidR="00000000" w:rsidRPr="00000000">
      <w:rPr>
        <w:rtl w:val="0"/>
      </w:rPr>
      <w:tab/>
      <w:tab/>
      <w:tab/>
      <w:tab/>
      <w:tab/>
      <w:tab/>
      <w:tab/>
      <w:tab/>
      <w:t xml:space="preserve">Team: </w:t>
    </w:r>
    <w:r w:rsidDel="00000000" w:rsidR="00000000" w:rsidRPr="00000000">
      <w:rPr>
        <w:i w:val="1"/>
        <w:rtl w:val="0"/>
      </w:rPr>
      <w:t xml:space="preserve">Hyrule at Stats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