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600" w:after="200"/>
        <w:jc w:val="center"/>
        <w:rPr/>
      </w:pPr>
      <w:r>
        <w:rPr>
          <w:b/>
          <w:color w:val="1A365D"/>
          <w:sz w:val="28"/>
        </w:rPr>
        <w:t>RESEARCH REPORT</w:t>
      </w:r>
    </w:p>
    <w:p>
      <w:pPr>
        <w:pStyle w:val="Normal"/>
        <w:bidi w:val="0"/>
        <w:spacing w:before="0" w:after="400"/>
        <w:jc w:val="center"/>
        <w:rPr/>
      </w:pPr>
      <w:r>
        <w:rPr>
          <w:color w:val="6B2737"/>
        </w:rPr>
        <w:t>________________________________________</w:t>
      </w:r>
    </w:p>
    <w:p>
      <w:pPr>
        <w:pStyle w:val="Normal"/>
        <w:bidi w:val="0"/>
        <w:spacing w:before="800" w:after="200"/>
        <w:jc w:val="center"/>
        <w:rPr/>
      </w:pPr>
      <w:r>
        <w:rPr>
          <w:b/>
          <w:color w:val="1A365D"/>
          <w:sz w:val="48"/>
        </w:rPr>
        <w:t>WASTE-TO-ENERGY TECHNOLOGIES</w:t>
      </w:r>
    </w:p>
    <w:p>
      <w:pPr>
        <w:pStyle w:val="Normal"/>
        <w:bidi w:val="0"/>
        <w:spacing w:before="0" w:after="200"/>
        <w:jc w:val="center"/>
        <w:rPr/>
      </w:pPr>
      <w:r>
        <w:rPr>
          <w:b/>
          <w:color w:val="1A365D"/>
          <w:sz w:val="36"/>
        </w:rPr>
        <w:t>AND SUSTAINABLE WASTE UTILIZATION</w:t>
      </w:r>
    </w:p>
    <w:p>
      <w:pPr>
        <w:pStyle w:val="Normal"/>
        <w:bidi w:val="0"/>
        <w:spacing w:before="400" w:after="1200"/>
        <w:jc w:val="center"/>
        <w:rPr/>
      </w:pPr>
      <w:r>
        <w:rPr>
          <w:i/>
          <w:color w:val="6B2737"/>
          <w:sz w:val="28"/>
        </w:rPr>
        <w:t>A Comprehensive Research Report</w:t>
      </w:r>
    </w:p>
    <w:p>
      <w:pPr>
        <w:pStyle w:val="Normal"/>
        <w:bidi w:val="0"/>
        <w:spacing w:before="0" w:after="1200"/>
        <w:jc w:val="center"/>
        <w:rPr/>
      </w:pPr>
      <w:r>
        <w:rPr>
          <w:color w:val="6B2737"/>
        </w:rPr>
        <w:t>________________________________________</w:t>
      </w:r>
    </w:p>
    <w:p>
      <w:pPr>
        <w:pStyle w:val="Normal"/>
        <w:bidi w:val="0"/>
        <w:spacing w:before="0" w:after="200"/>
        <w:jc w:val="center"/>
        <w:rPr>
          <w:rFonts w:ascii="Times New Roman" w:hAnsi="Times New Roman"/>
          <w:color w:val="1A202C"/>
          <w:sz w:val="24"/>
        </w:rPr>
      </w:pPr>
      <w:r>
        <w:rPr/>
      </w:r>
    </w:p>
    <w:p>
      <w:pPr>
        <w:pStyle w:val="Normal"/>
        <w:bidi w:val="0"/>
        <w:spacing w:before="0" w:after="600"/>
        <w:jc w:val="center"/>
        <w:rPr/>
      </w:pPr>
      <w:r>
        <w:rPr>
          <w:b/>
          <w:color w:val="1A202C"/>
          <w:sz w:val="28"/>
        </w:rPr>
        <w:t>Godwin Ezugwu</w:t>
      </w:r>
    </w:p>
    <w:p>
      <w:pPr>
        <w:pStyle w:val="Normal"/>
        <w:bidi w:val="0"/>
        <w:spacing w:before="0" w:after="100"/>
        <w:jc w:val="center"/>
        <w:rPr>
          <w:rFonts w:ascii="Times New Roman" w:hAnsi="Times New Roman"/>
          <w:color w:val="4A5568"/>
          <w:sz w:val="24"/>
        </w:rPr>
      </w:pPr>
      <w:r>
        <w:rPr/>
      </w:r>
    </w:p>
    <w:p>
      <w:pPr>
        <w:pStyle w:val="Normal"/>
        <w:bidi w:val="0"/>
        <w:spacing w:before="0" w:after="100"/>
        <w:jc w:val="center"/>
        <w:rPr>
          <w:rFonts w:ascii="Times New Roman" w:hAnsi="Times New Roman"/>
          <w:color w:val="4A5568"/>
          <w:sz w:val="24"/>
        </w:rPr>
      </w:pPr>
      <w:r>
        <w:rPr/>
      </w:r>
    </w:p>
    <w:p>
      <w:pPr>
        <w:pStyle w:val="Normal"/>
        <w:bidi w:val="0"/>
        <w:spacing w:before="0" w:after="100"/>
        <w:jc w:val="center"/>
        <w:rPr>
          <w:rFonts w:ascii="Times New Roman" w:hAnsi="Times New Roman"/>
          <w:color w:val="4A5568"/>
          <w:sz w:val="24"/>
        </w:rPr>
      </w:pPr>
      <w:r>
        <w:rPr/>
      </w:r>
    </w:p>
    <w:p>
      <w:pPr>
        <w:sectPr>
          <w:type w:val="nextPage"/>
          <w:pgSz w:w="11906" w:h="16838"/>
          <w:pgMar w:left="1800" w:right="1440" w:gutter="0" w:header="0" w:top="1440" w:footer="0" w:bottom="1440"/>
          <w:pgNumType w:fmt="decimal"/>
          <w:formProt w:val="false"/>
          <w:textDirection w:val="lrTb"/>
          <w:docGrid w:type="default" w:linePitch="100" w:charSpace="0"/>
        </w:sectPr>
        <w:pStyle w:val="Normal"/>
        <w:bidi w:val="0"/>
        <w:spacing w:before="400" w:after="200"/>
        <w:jc w:val="center"/>
        <w:rPr/>
      </w:pPr>
      <w:r>
        <w:rPr>
          <w:color w:val="1A202C"/>
          <w:sz w:val="24"/>
        </w:rPr>
        <w:t>March 2026</w:t>
      </w:r>
    </w:p>
    <w:p>
      <w:pPr>
        <w:pStyle w:val="Normal"/>
        <w:bidi w:val="0"/>
        <w:spacing w:before="480" w:after="480"/>
        <w:jc w:val="center"/>
        <w:rPr/>
      </w:pPr>
      <w:r>
        <w:rPr>
          <w:b/>
          <w:caps/>
          <w:color w:val="1A365D"/>
          <w:sz w:val="32"/>
        </w:rPr>
        <w:t>Abstract</w:t>
      </w:r>
    </w:p>
    <w:p>
      <w:pPr>
        <w:pStyle w:val="Normal"/>
        <w:bidi w:val="0"/>
        <w:spacing w:lineRule="auto" w:line="360" w:before="0" w:after="360"/>
        <w:ind w:firstLine="720"/>
        <w:jc w:val="both"/>
        <w:rPr/>
      </w:pPr>
      <w:r>
        <w:rPr/>
        <w:t>This report provides a comprehensive technical and policy analysis of waste-to-energy (WtE) technologies and their integration within sustainable waste management systems. The research examines how waste materials can be efficiently converted into useful energy forms—electricity, heat, transport fuels, and hydrogen—while simultaneously addressing the challenge of residue valorization in infrastructure and industrial applications. The scope encompasses mature commercial technologies, emerging innovations, and global best practices, with particular attention to engineering performance, environmental sustainability, economic viability, and policy frameworks that enable successful implementation. Key findings demonstrate that modern mass-burn incineration with combined heat and power (CHP) configuration achieves total energy efficiencies of 80-90%, with electricity generation of 500-700 kWh per tonne of municipal solid waste. WtE technologies achieve 70-90% reduction in landfill volume and substantial greenhouse gas benefits compared to uncontrolled landfilling. When integrated with carbon capture and storage (CCS), WtE can achieve carbon-negative performance of -3.14 Mg CO₂ per MWh of electricity. The report develops strategic recommendations for technology deployment, policy enhancement, and investment prioritization across different development contexts.</w:t>
      </w:r>
    </w:p>
    <w:p>
      <w:pPr>
        <w:sectPr>
          <w:type w:val="nextPage"/>
          <w:pgSz w:w="11906" w:h="16838"/>
          <w:pgMar w:left="1800" w:right="1440" w:gutter="0" w:header="0" w:top="1440" w:footer="0" w:bottom="1440"/>
          <w:pgNumType w:fmt="decimal"/>
          <w:formProt w:val="false"/>
          <w:textDirection w:val="lrTb"/>
          <w:docGrid w:type="default" w:linePitch="100" w:charSpace="0"/>
        </w:sectPr>
        <w:pStyle w:val="Normal"/>
        <w:bidi w:val="0"/>
        <w:spacing w:before="360" w:after="200"/>
        <w:rPr/>
      </w:pPr>
      <w:r>
        <w:rPr>
          <w:b/>
        </w:rPr>
        <w:t>Keywords:</w:t>
      </w:r>
      <w:r>
        <w:rPr>
          <w:i/>
        </w:rPr>
        <w:t>Waste-to-Energy, Sustainable Waste Management, Incineration, Gasification, Anaerobic Digestion, Carbon Capture, Circular Economy, Renewable Energy</w:t>
      </w:r>
    </w:p>
    <w:p>
      <w:pPr>
        <w:pStyle w:val="Normal"/>
        <w:bidi w:val="0"/>
        <w:spacing w:before="480" w:after="480"/>
        <w:jc w:val="center"/>
        <w:rPr/>
      </w:pPr>
      <w:r>
        <w:rPr>
          <w:b/>
          <w:caps/>
          <w:color w:val="1A365D"/>
          <w:sz w:val="32"/>
        </w:rPr>
        <w:t>Acknowledgments</w:t>
      </w:r>
    </w:p>
    <w:p>
      <w:pPr>
        <w:sectPr>
          <w:type w:val="nextPage"/>
          <w:pgSz w:w="11906" w:h="16838"/>
          <w:pgMar w:left="1800" w:right="1440" w:gutter="0" w:header="0" w:top="1440" w:footer="0" w:bottom="1440"/>
          <w:pgNumType w:fmt="decimal"/>
          <w:formProt w:val="false"/>
          <w:textDirection w:val="lrTb"/>
          <w:docGrid w:type="default" w:linePitch="100" w:charSpace="0"/>
        </w:sectPr>
        <w:pStyle w:val="Normal"/>
        <w:bidi w:val="0"/>
        <w:spacing w:lineRule="auto" w:line="360" w:before="0" w:after="360"/>
        <w:ind w:firstLine="720"/>
        <w:jc w:val="both"/>
        <w:rPr/>
      </w:pPr>
      <w:r>
        <w:rPr/>
        <w:t>The completion of this comprehensive research report would not have been possible without the support and contributions of numerous individuals and organizations. The author wishes to express sincere gratitude to all researchers, engineers, and policymakers whose work in waste-to-energy technologies has provided the foundation for this analysis. Special appreciation is extended to the international organizations and research institutions whose publications and data have been instrumental in developing this report, including the International Energy Agency (IEA), the United Nations Framework Convention on Climate Change (UNFCCC), and various academic institutions worldwide. The author also acknowledges the valuable insights gained from case studies in Sweden, Denmark, Germany, Singapore, and other leading nations in waste-to-energy implementation. Finally, gratitude is expressed to all those working tirelessly in the waste management sector whose efforts continue to advance sustainable practices and environmental protection globally.</w:t>
      </w:r>
    </w:p>
    <w:p>
      <w:pPr>
        <w:pStyle w:val="Normal"/>
        <w:bidi w:val="0"/>
        <w:spacing w:before="480" w:after="480"/>
        <w:jc w:val="center"/>
        <w:rPr/>
      </w:pPr>
      <w:r>
        <w:rPr>
          <w:b/>
          <w:caps/>
          <w:color w:val="1A365D"/>
          <w:sz w:val="32"/>
        </w:rPr>
        <w:t>Table of Contents</w:t>
      </w:r>
    </w:p>
    <w:p>
      <w:pPr>
        <w:pStyle w:val="Normal"/>
        <w:bidi w:val="0"/>
        <w:spacing w:before="0" w:after="300"/>
        <w:rPr/>
      </w:pPr>
      <w:r>
        <w:rPr>
          <w:i/>
          <w:color w:val="718096"/>
          <w:sz w:val="20"/>
        </w:rPr>
        <w:t>(Right-click and select "Update Field" to refresh page numbers)</w:t>
      </w:r>
    </w:p>
    <w:sdt>
      <w:sdtPr>
        <w:docPartObj>
          <w:docPartGallery w:val="Table of Contents"/>
          <w:docPartUnique w:val="true"/>
        </w:docPartObj>
      </w:sdtPr>
      <w:sdtContent>
        <w:p>
          <w:pPr>
            <w:pStyle w:val="Normal"/>
            <w:bidi w:val="0"/>
            <w:spacing w:lineRule="auto" w:line="360" w:before="0" w:after="200"/>
            <w:jc w:val="both"/>
            <w:rPr>
              <w:rFonts w:ascii="Times New Roman" w:hAnsi="Times New Roman" w:eastAsia="Times New Roman"/>
              <w:color w:val="1A202C"/>
              <w:sz w:val="24"/>
            </w:rPr>
          </w:pPr>
          <w:r>
            <w:fldChar w:fldCharType="begin"/>
          </w:r>
          <w:r>
            <w:rPr>
              <w:sz w:val="24"/>
              <w:rFonts w:eastAsia="Times New Roman"/>
              <w:color w:val="1A202C"/>
            </w:rPr>
            <w:instrText xml:space="preserve"> TOC \z \o "1-4" \u \h</w:instrText>
          </w:r>
          <w:r>
            <w:rPr>
              <w:sz w:val="24"/>
              <w:rFonts w:eastAsia="Times New Roman"/>
              <w:color w:val="1A202C"/>
            </w:rPr>
            <w:fldChar w:fldCharType="separate"/>
          </w:r>
          <w:r>
            <w:rPr>
              <w:rFonts w:eastAsia="Times New Roman"/>
              <w:color w:val="1A202C"/>
              <w:sz w:val="24"/>
            </w:rPr>
          </w:r>
        </w:p>
        <w:p>
          <w:pPr>
            <w:pStyle w:val="Contents1"/>
            <w:bidi w:val="0"/>
            <w:spacing w:before="120" w:after="60"/>
            <w:rPr/>
          </w:pPr>
          <w:r>
            <w:rPr/>
            <w:t>1. Executive Summary</w:t>
            <w:tab/>
            <w:t>1</w:t>
          </w:r>
        </w:p>
        <w:p>
          <w:pPr>
            <w:pStyle w:val="Contents2"/>
            <w:bidi w:val="0"/>
            <w:spacing w:before="60" w:after="60"/>
            <w:ind w:left="360" w:hanging="0"/>
            <w:rPr/>
          </w:pPr>
          <w:r>
            <w:rPr/>
            <w:t>1.1 Research Scope and Objectives</w:t>
            <w:tab/>
            <w:t>1</w:t>
          </w:r>
        </w:p>
        <w:p>
          <w:pPr>
            <w:pStyle w:val="Contents2"/>
            <w:bidi w:val="0"/>
            <w:spacing w:before="60" w:after="60"/>
            <w:ind w:left="360" w:hanging="0"/>
            <w:rPr/>
          </w:pPr>
          <w:r>
            <w:rPr/>
            <w:t>1.2 Key Findings Overview</w:t>
            <w:tab/>
            <w:t>2</w:t>
          </w:r>
        </w:p>
        <w:p>
          <w:pPr>
            <w:pStyle w:val="Contents2"/>
            <w:bidi w:val="0"/>
            <w:spacing w:before="60" w:after="60"/>
            <w:ind w:left="360" w:hanging="0"/>
            <w:rPr/>
          </w:pPr>
          <w:r>
            <w:rPr/>
            <w:t>1.3 Policy and Investment Implications</w:t>
            <w:tab/>
            <w:t>3</w:t>
          </w:r>
        </w:p>
        <w:p>
          <w:pPr>
            <w:pStyle w:val="Contents1"/>
            <w:bidi w:val="0"/>
            <w:spacing w:before="120" w:after="60"/>
            <w:rPr/>
          </w:pPr>
          <w:r>
            <w:rPr/>
            <w:t>2. Global Waste Generation and Management Context</w:t>
            <w:tab/>
            <w:t>4</w:t>
          </w:r>
        </w:p>
        <w:p>
          <w:pPr>
            <w:pStyle w:val="Contents2"/>
            <w:bidi w:val="0"/>
            <w:spacing w:before="60" w:after="60"/>
            <w:ind w:left="360" w:hanging="0"/>
            <w:rPr/>
          </w:pPr>
          <w:r>
            <w:rPr/>
            <w:t>2.1 Global Waste Generation Trends</w:t>
            <w:tab/>
            <w:t>4</w:t>
          </w:r>
        </w:p>
        <w:p>
          <w:pPr>
            <w:pStyle w:val="Contents2"/>
            <w:bidi w:val="0"/>
            <w:spacing w:before="60" w:after="60"/>
            <w:ind w:left="360" w:hanging="0"/>
            <w:rPr/>
          </w:pPr>
          <w:r>
            <w:rPr/>
            <w:t>2.2 Waste Classification Systems</w:t>
            <w:tab/>
            <w:t>6</w:t>
          </w:r>
        </w:p>
        <w:p>
          <w:pPr>
            <w:pStyle w:val="Contents2"/>
            <w:bidi w:val="0"/>
            <w:spacing w:before="60" w:after="60"/>
            <w:ind w:left="360" w:hanging="0"/>
            <w:rPr/>
          </w:pPr>
          <w:r>
            <w:rPr/>
            <w:t>2.3 Environmental Impacts of Unmanaged Waste</w:t>
            <w:tab/>
            <w:t>9</w:t>
          </w:r>
        </w:p>
        <w:p>
          <w:pPr>
            <w:pStyle w:val="Contents2"/>
            <w:bidi w:val="0"/>
            <w:spacing w:before="60" w:after="60"/>
            <w:ind w:left="360" w:hanging="0"/>
            <w:rPr/>
          </w:pPr>
          <w:r>
            <w:rPr/>
            <w:t>2.4 Limitations of Conventional Waste Management</w:t>
            <w:tab/>
            <w:t>11</w:t>
          </w:r>
        </w:p>
        <w:p>
          <w:pPr>
            <w:pStyle w:val="Contents1"/>
            <w:bidi w:val="0"/>
            <w:spacing w:before="120" w:after="60"/>
            <w:rPr/>
          </w:pPr>
          <w:r>
            <w:rPr/>
            <w:t>3. Waste-to-Energy Technology Portfolio</w:t>
            <w:tab/>
            <w:t>13</w:t>
          </w:r>
        </w:p>
        <w:p>
          <w:pPr>
            <w:pStyle w:val="Contents2"/>
            <w:bidi w:val="0"/>
            <w:spacing w:before="60" w:after="60"/>
            <w:ind w:left="360" w:hanging="0"/>
            <w:rPr/>
          </w:pPr>
          <w:r>
            <w:rPr/>
            <w:t>3.1 Thermal Conversion Technologies</w:t>
            <w:tab/>
            <w:t>13</w:t>
          </w:r>
        </w:p>
        <w:p>
          <w:pPr>
            <w:pStyle w:val="Contents2"/>
            <w:bidi w:val="0"/>
            <w:spacing w:before="60" w:after="60"/>
            <w:ind w:left="360" w:hanging="0"/>
            <w:rPr/>
          </w:pPr>
          <w:r>
            <w:rPr/>
            <w:t>3.2 Biological Conversion Technologies</w:t>
            <w:tab/>
            <w:t>25</w:t>
          </w:r>
        </w:p>
        <w:p>
          <w:pPr>
            <w:pStyle w:val="Contents2"/>
            <w:bidi w:val="0"/>
            <w:spacing w:before="60" w:after="60"/>
            <w:ind w:left="360" w:hanging="0"/>
            <w:rPr/>
          </w:pPr>
          <w:r>
            <w:rPr/>
            <w:t>3.3 Refuse-Derived Fuel (RDF) and Solid Recovered Fuel (SRF)</w:t>
            <w:tab/>
            <w:t>30</w:t>
          </w:r>
        </w:p>
        <w:p>
          <w:pPr>
            <w:pStyle w:val="Contents1"/>
            <w:bidi w:val="0"/>
            <w:spacing w:before="120" w:after="60"/>
            <w:rPr/>
          </w:pPr>
          <w:r>
            <w:rPr/>
            <w:t>4. Comparative Technology Assessment</w:t>
            <w:tab/>
            <w:t>33</w:t>
          </w:r>
        </w:p>
        <w:p>
          <w:pPr>
            <w:pStyle w:val="Contents2"/>
            <w:bidi w:val="0"/>
            <w:spacing w:before="60" w:after="60"/>
            <w:ind w:left="360" w:hanging="0"/>
            <w:rPr/>
          </w:pPr>
          <w:r>
            <w:rPr/>
            <w:t>4.1 Energy Output and Conversion Efficiency</w:t>
            <w:tab/>
            <w:t>33</w:t>
          </w:r>
        </w:p>
        <w:p>
          <w:pPr>
            <w:pStyle w:val="Contents2"/>
            <w:bidi w:val="0"/>
            <w:spacing w:before="60" w:after="60"/>
            <w:ind w:left="360" w:hanging="0"/>
            <w:rPr/>
          </w:pPr>
          <w:r>
            <w:rPr/>
            <w:t>4.2 Environmental Performance Indicators</w:t>
            <w:tab/>
            <w:t>35</w:t>
          </w:r>
        </w:p>
        <w:p>
          <w:pPr>
            <w:pStyle w:val="Contents2"/>
            <w:bidi w:val="0"/>
            <w:spacing w:before="60" w:after="60"/>
            <w:ind w:left="360" w:hanging="0"/>
            <w:rPr/>
          </w:pPr>
          <w:r>
            <w:rPr/>
            <w:t>4.3 Economic Feasibility Analysis</w:t>
            <w:tab/>
            <w:t>37</w:t>
          </w:r>
        </w:p>
        <w:p>
          <w:pPr>
            <w:pStyle w:val="Contents2"/>
            <w:bidi w:val="0"/>
            <w:spacing w:before="60" w:after="60"/>
            <w:ind w:left="360" w:hanging="0"/>
            <w:rPr/>
          </w:pPr>
          <w:r>
            <w:rPr/>
            <w:t>4.4 Technology Selection Framework</w:t>
            <w:tab/>
            <w:t>40</w:t>
          </w:r>
        </w:p>
        <w:p>
          <w:pPr>
            <w:pStyle w:val="Contents1"/>
            <w:bidi w:val="0"/>
            <w:spacing w:before="120" w:after="60"/>
            <w:rPr/>
          </w:pPr>
          <w:r>
            <w:rPr/>
            <w:t>5. Waste Residue Valorization and Circular Economy Integration</w:t>
            <w:tab/>
            <w:t>42</w:t>
          </w:r>
        </w:p>
        <w:p>
          <w:pPr>
            <w:pStyle w:val="Contents1"/>
            <w:bidi w:val="0"/>
            <w:spacing w:before="120" w:after="60"/>
            <w:rPr/>
          </w:pPr>
          <w:r>
            <w:rPr/>
            <w:t>6. Environmental Impact and Sustainability Assessment</w:t>
            <w:tab/>
            <w:t>49</w:t>
          </w:r>
        </w:p>
        <w:p>
          <w:pPr>
            <w:pStyle w:val="Contents1"/>
            <w:bidi w:val="0"/>
            <w:spacing w:before="120" w:after="60"/>
            <w:rPr/>
          </w:pPr>
          <w:r>
            <w:rPr/>
            <w:t>7. Economic and Market Analysis</w:t>
            <w:tab/>
            <w:t>56</w:t>
          </w:r>
        </w:p>
        <w:p>
          <w:pPr>
            <w:pStyle w:val="Contents1"/>
            <w:bidi w:val="0"/>
            <w:spacing w:before="120" w:after="60"/>
            <w:rPr/>
          </w:pPr>
          <w:r>
            <w:rPr/>
            <w:t>8. Policy, Regulatory, and Institutional Framework</w:t>
            <w:tab/>
            <w:t>61</w:t>
          </w:r>
        </w:p>
        <w:p>
          <w:pPr>
            <w:pStyle w:val="Contents1"/>
            <w:bidi w:val="0"/>
            <w:spacing w:before="120" w:after="60"/>
            <w:rPr/>
          </w:pPr>
          <w:r>
            <w:rPr/>
            <w:t>9. Global Case Studies</w:t>
            <w:tab/>
            <w:t>68</w:t>
          </w:r>
        </w:p>
        <w:p>
          <w:pPr>
            <w:pStyle w:val="Contents1"/>
            <w:bidi w:val="0"/>
            <w:spacing w:before="120" w:after="60"/>
            <w:rPr/>
          </w:pPr>
          <w:r>
            <w:rPr/>
            <w:t>References</w:t>
            <w:tab/>
            <w:t>71</w:t>
          </w:r>
          <w:r>
            <w:rPr/>
            <w:fldChar w:fldCharType="end"/>
          </w:r>
        </w:p>
      </w:sdtContent>
    </w:sdt>
    <w:p>
      <w:pPr>
        <w:sectPr>
          <w:type w:val="nextPage"/>
          <w:pgSz w:w="11906" w:h="16838"/>
          <w:pgMar w:left="1800" w:right="1440" w:gutter="0" w:header="0" w:top="1440" w:footer="0" w:bottom="1440"/>
          <w:pgNumType w:fmt="decimal"/>
          <w:formProt w:val="false"/>
          <w:textDirection w:val="lrTb"/>
          <w:docGrid w:type="default" w:linePitch="100" w:charSpace="0"/>
        </w:sectPr>
        <w:pStyle w:val="Normal"/>
        <w:bidi w:val="0"/>
        <w:spacing w:lineRule="auto" w:line="360" w:before="0" w:after="200"/>
        <w:jc w:val="both"/>
        <w:rPr>
          <w:rFonts w:ascii="Times New Roman" w:hAnsi="Times New Roman" w:eastAsia="Times New Roman"/>
          <w:color w:val="1A202C"/>
          <w:sz w:val="24"/>
        </w:rPr>
      </w:pPr>
      <w:r>
        <w:rPr>
          <w:rFonts w:eastAsia="Times New Roman"/>
          <w:color w:val="1A202C"/>
          <w:sz w:val="24"/>
        </w:rPr>
      </w:r>
    </w:p>
    <w:p>
      <w:pPr>
        <w:pStyle w:val="Normal"/>
        <w:bidi w:val="0"/>
        <w:spacing w:before="480" w:after="480"/>
        <w:jc w:val="center"/>
        <w:rPr/>
      </w:pPr>
      <w:r>
        <w:rPr>
          <w:b/>
          <w:caps/>
          <w:color w:val="1A365D"/>
          <w:sz w:val="32"/>
        </w:rPr>
        <w:t>List of Tables</w:t>
      </w:r>
    </w:p>
    <w:p>
      <w:pPr>
        <w:pStyle w:val="Normal"/>
        <w:bidi w:val="0"/>
        <w:spacing w:before="80" w:after="80"/>
        <w:ind w:left="360" w:hanging="0"/>
        <w:rPr/>
      </w:pPr>
      <w:r>
        <w:rPr>
          <w:sz w:val="22"/>
        </w:rPr>
        <w:t>Table 1: Regional waste generation characteristics and management challenges</w:t>
      </w:r>
    </w:p>
    <w:p>
      <w:pPr>
        <w:pStyle w:val="Normal"/>
        <w:bidi w:val="0"/>
        <w:spacing w:before="80" w:after="80"/>
        <w:ind w:left="360" w:hanging="0"/>
        <w:rPr/>
      </w:pPr>
      <w:r>
        <w:rPr>
          <w:sz w:val="22"/>
        </w:rPr>
        <w:t>Table 2: Energy recovery configurations and performance characteristics</w:t>
      </w:r>
    </w:p>
    <w:p>
      <w:pPr>
        <w:pStyle w:val="Normal"/>
        <w:bidi w:val="0"/>
        <w:spacing w:before="80" w:after="80"/>
        <w:ind w:left="360" w:hanging="0"/>
        <w:rPr/>
      </w:pPr>
      <w:r>
        <w:rPr>
          <w:sz w:val="22"/>
        </w:rPr>
        <w:t>Table 3: Emission standards and achieved performance for European WtE plants</w:t>
      </w:r>
    </w:p>
    <w:p>
      <w:pPr>
        <w:pStyle w:val="Normal"/>
        <w:bidi w:val="0"/>
        <w:spacing w:before="80" w:after="80"/>
        <w:ind w:left="360" w:hanging="0"/>
        <w:rPr/>
      </w:pPr>
      <w:r>
        <w:rPr>
          <w:sz w:val="22"/>
        </w:rPr>
        <w:t>Table 4: Representative global WtE incineration facilities</w:t>
      </w:r>
    </w:p>
    <w:p>
      <w:pPr>
        <w:pStyle w:val="Normal"/>
        <w:bidi w:val="0"/>
        <w:spacing w:before="80" w:after="80"/>
        <w:ind w:left="360" w:hanging="0"/>
        <w:rPr/>
      </w:pPr>
      <w:r>
        <w:rPr>
          <w:sz w:val="22"/>
        </w:rPr>
        <w:t>Table 5: Gasification reactor technologies and waste applicability</w:t>
      </w:r>
    </w:p>
    <w:p>
      <w:pPr>
        <w:pStyle w:val="Normal"/>
        <w:bidi w:val="0"/>
        <w:spacing w:before="80" w:after="80"/>
        <w:ind w:left="360" w:hanging="0"/>
        <w:rPr/>
      </w:pPr>
      <w:r>
        <w:rPr>
          <w:sz w:val="22"/>
        </w:rPr>
        <w:t>Table 6: Biogas upgrading technology comparison</w:t>
      </w:r>
    </w:p>
    <w:p>
      <w:pPr>
        <w:pStyle w:val="Normal"/>
        <w:bidi w:val="0"/>
        <w:spacing w:before="80" w:after="80"/>
        <w:ind w:left="360" w:hanging="0"/>
        <w:rPr/>
      </w:pPr>
      <w:r>
        <w:rPr>
          <w:sz w:val="22"/>
        </w:rPr>
        <w:t>Table 7: Temperature regime comparison for anaerobic digestion</w:t>
      </w:r>
    </w:p>
    <w:p>
      <w:pPr>
        <w:pStyle w:val="Normal"/>
        <w:bidi w:val="0"/>
        <w:spacing w:before="80" w:after="80"/>
        <w:ind w:left="360" w:hanging="0"/>
        <w:rPr/>
      </w:pPr>
      <w:r>
        <w:rPr>
          <w:sz w:val="22"/>
        </w:rPr>
        <w:t>Table 8: Digestate nutrient recovery technologies</w:t>
      </w:r>
    </w:p>
    <w:p>
      <w:pPr>
        <w:pStyle w:val="Normal"/>
        <w:bidi w:val="0"/>
        <w:spacing w:before="80" w:after="80"/>
        <w:ind w:left="360" w:hanging="0"/>
        <w:rPr/>
      </w:pPr>
      <w:r>
        <w:rPr>
          <w:sz w:val="22"/>
        </w:rPr>
        <w:t>Table 9: Landfill gas energy conversion technologies</w:t>
      </w:r>
    </w:p>
    <w:p>
      <w:pPr>
        <w:pStyle w:val="Normal"/>
        <w:bidi w:val="0"/>
        <w:spacing w:before="80" w:after="80"/>
        <w:ind w:left="360" w:hanging="0"/>
        <w:rPr/>
      </w:pPr>
      <w:r>
        <w:rPr>
          <w:sz w:val="22"/>
        </w:rPr>
        <w:t>Table 10: European SRF quality classification (EN 15359)</w:t>
      </w:r>
    </w:p>
    <w:p>
      <w:pPr>
        <w:pStyle w:val="Normal"/>
        <w:bidi w:val="0"/>
        <w:spacing w:before="80" w:after="80"/>
        <w:ind w:left="360" w:hanging="0"/>
        <w:rPr/>
      </w:pPr>
      <w:r>
        <w:rPr>
          <w:sz w:val="22"/>
        </w:rPr>
        <w:t>Table 11: Electricity generation potential by WtE technology</w:t>
      </w:r>
    </w:p>
    <w:p>
      <w:pPr>
        <w:pStyle w:val="Normal"/>
        <w:bidi w:val="0"/>
        <w:spacing w:before="80" w:after="80"/>
        <w:ind w:left="360" w:hanging="0"/>
        <w:rPr/>
      </w:pPr>
      <w:r>
        <w:rPr>
          <w:sz w:val="22"/>
        </w:rPr>
        <w:t>Table 12: GHG emissions comparison by waste management pathway</w:t>
      </w:r>
    </w:p>
    <w:p>
      <w:pPr>
        <w:pStyle w:val="Normal"/>
        <w:bidi w:val="0"/>
        <w:spacing w:before="80" w:after="80"/>
        <w:ind w:left="360" w:hanging="0"/>
        <w:rPr/>
      </w:pPr>
      <w:r>
        <w:rPr>
          <w:sz w:val="22"/>
        </w:rPr>
        <w:t>Table 13: WtE residue streams and management approaches</w:t>
      </w:r>
    </w:p>
    <w:p>
      <w:pPr>
        <w:pStyle w:val="Normal"/>
        <w:bidi w:val="0"/>
        <w:spacing w:before="80" w:after="80"/>
        <w:ind w:left="360" w:hanging="0"/>
        <w:rPr/>
      </w:pPr>
      <w:r>
        <w:rPr>
          <w:sz w:val="22"/>
        </w:rPr>
        <w:t>Table 14: Capital cost ranges for WtE technologies</w:t>
      </w:r>
    </w:p>
    <w:p>
      <w:pPr>
        <w:pStyle w:val="Normal"/>
        <w:bidi w:val="0"/>
        <w:spacing w:before="80" w:after="80"/>
        <w:ind w:left="360" w:hanging="0"/>
        <w:rPr/>
      </w:pPr>
      <w:r>
        <w:rPr>
          <w:sz w:val="22"/>
        </w:rPr>
        <w:t>Table 15: WtE revenue stream characteristics</w:t>
      </w:r>
    </w:p>
    <w:p>
      <w:pPr>
        <w:pStyle w:val="Normal"/>
        <w:bidi w:val="0"/>
        <w:spacing w:before="80" w:after="80"/>
        <w:ind w:left="360" w:hanging="0"/>
        <w:rPr/>
      </w:pPr>
      <w:r>
        <w:rPr>
          <w:sz w:val="22"/>
        </w:rPr>
        <w:t>Table 16: Waste-technology matching guidance</w:t>
      </w:r>
    </w:p>
    <w:p>
      <w:pPr>
        <w:pStyle w:val="Normal"/>
        <w:bidi w:val="0"/>
        <w:spacing w:before="80" w:after="80"/>
        <w:ind w:left="360" w:hanging="0"/>
        <w:rPr/>
      </w:pPr>
      <w:r>
        <w:rPr>
          <w:sz w:val="22"/>
        </w:rPr>
        <w:t>Table 17: Illustrative net GHG balance by WtE pathway</w:t>
      </w:r>
    </w:p>
    <w:p>
      <w:pPr>
        <w:pStyle w:val="Normal"/>
        <w:bidi w:val="0"/>
        <w:spacing w:before="80" w:after="80"/>
        <w:ind w:left="360" w:hanging="0"/>
        <w:rPr/>
      </w:pPr>
      <w:r>
        <w:rPr>
          <w:sz w:val="22"/>
        </w:rPr>
        <w:t>Table 18: Regional WtE market characteristics</w:t>
      </w:r>
    </w:p>
    <w:p>
      <w:pPr>
        <w:sectPr>
          <w:type w:val="nextPage"/>
          <w:pgSz w:w="11906" w:h="16838"/>
          <w:pgMar w:left="1800" w:right="1440" w:gutter="0" w:header="0" w:top="1440" w:footer="0" w:bottom="1440"/>
          <w:pgNumType w:fmt="decimal"/>
          <w:formProt w:val="false"/>
          <w:textDirection w:val="lrTb"/>
          <w:docGrid w:type="default" w:linePitch="100" w:charSpace="0"/>
        </w:sectPr>
        <w:pStyle w:val="Normal"/>
        <w:bidi w:val="0"/>
        <w:spacing w:before="80" w:after="80"/>
        <w:ind w:left="360" w:hanging="0"/>
        <w:rPr/>
      </w:pPr>
      <w:r>
        <w:rPr>
          <w:sz w:val="22"/>
        </w:rPr>
        <w:t>Table 19: Waste management option cost comparison</w:t>
      </w:r>
    </w:p>
    <w:p>
      <w:pPr>
        <w:pStyle w:val="Heading1"/>
        <w:bidi w:val="0"/>
        <w:rPr/>
      </w:pPr>
      <w:r>
        <w:rPr/>
        <w:t>CHAPTER 1: EXECUTIVE SUMMARY</w:t>
      </w:r>
    </w:p>
    <w:p>
      <w:pPr>
        <w:pStyle w:val="Heading2"/>
        <w:keepNext w:val="true"/>
        <w:keepLines/>
        <w:bidi w:val="0"/>
        <w:spacing w:before="360" w:after="160"/>
        <w:rPr/>
      </w:pPr>
      <w:r>
        <w:rPr/>
        <w:t>1.1 Research Scope and Objectives</w:t>
      </w:r>
    </w:p>
    <w:p>
      <w:pPr>
        <w:pStyle w:val="Normal"/>
        <w:bidi w:val="0"/>
        <w:spacing w:lineRule="auto" w:line="360" w:before="0" w:after="200"/>
        <w:ind w:firstLine="720"/>
        <w:jc w:val="both"/>
        <w:rPr/>
      </w:pPr>
      <w:r>
        <w:rPr/>
        <w:t>This report provides a comprehensive technical and policy analysis of waste-to-energy (WtE) technologies and their integration within sustainable waste management systems. The research examines how waste materials can be efficiently converted into useful energy forms—electricity, heat, transport fuels, and hydrogen—while simultaneously addressing the challenge of residue valorization in infrastructure and industrial applications. The scope encompasses mature commercial technologies, emerging innovations, and global best practices, with particular attention to engineering performance, environmental sustainability, economic viability, and policy frameworks that enable successful implementation.</w:t>
      </w:r>
    </w:p>
    <w:p>
      <w:pPr>
        <w:pStyle w:val="Normal"/>
        <w:bidi w:val="0"/>
        <w:spacing w:lineRule="auto" w:line="360" w:before="0" w:after="200"/>
        <w:ind w:firstLine="720"/>
        <w:jc w:val="both"/>
        <w:rPr/>
      </w:pPr>
      <w:r>
        <w:rPr/>
        <w:t>The primary objectives are to: (1) characterize the global waste generation context and limitations of conventional management approaches; (2) provide detailed technical analysis of WtE technology options with comparative assessment of performance parameters; (3) evaluate environmental impacts through life cycle and greenhouse gas accounting methodologies; (4) examine economic structures and market development patterns; (5) present global case studies demonstrating successful implementation; and (6) develop strategic recommendations for technology deployment, policy enhancement, and investment prioritization.</w:t>
      </w:r>
    </w:p>
    <w:p>
      <w:pPr>
        <w:pStyle w:val="Heading2"/>
        <w:keepNext w:val="true"/>
        <w:keepLines/>
        <w:bidi w:val="0"/>
        <w:spacing w:before="360" w:after="160"/>
        <w:rPr/>
      </w:pPr>
      <w:r>
        <w:rPr/>
        <w:t>1.2 Key Findings Overview</w:t>
      </w:r>
    </w:p>
    <w:p>
      <w:pPr>
        <w:pStyle w:val="Heading3"/>
        <w:keepNext w:val="true"/>
        <w:keepLines/>
        <w:bidi w:val="0"/>
        <w:spacing w:before="280" w:after="120"/>
        <w:rPr/>
      </w:pPr>
      <w:r>
        <w:rPr/>
        <w:t>Technology Performance</w:t>
      </w:r>
    </w:p>
    <w:p>
      <w:pPr>
        <w:pStyle w:val="Normal"/>
        <w:bidi w:val="0"/>
        <w:spacing w:lineRule="auto" w:line="360" w:before="0" w:after="200"/>
        <w:ind w:firstLine="720"/>
        <w:jc w:val="both"/>
        <w:rPr/>
      </w:pPr>
      <w:r>
        <w:rPr/>
        <w:t>Modern mass-burn incineration with combined heat and power (CHP) configuration achieves total energy efficiencies of 80-90%, with electricity generation of 500-700 kWh per tonne of municipal solid waste (MSW) and substantial additional heat output for district heating or industrial applications. Advanced plants in Sweden and Denmark demonstrate net electrical efficiencies of 25-30% and availability factors exceeding 90%. Gasification and pyrolysis offer theoretical efficiency advantages and product flexibility, with syngas-based combined cycle systems potentially achieving electrical efficiencies of 35-45%, though commercial deployment remains more limited due to technical complexity and feedstock variability challenges.</w:t>
      </w:r>
    </w:p>
    <w:p>
      <w:pPr>
        <w:pStyle w:val="Heading3"/>
        <w:keepNext w:val="true"/>
        <w:keepLines/>
        <w:bidi w:val="0"/>
        <w:spacing w:before="280" w:after="120"/>
        <w:rPr/>
      </w:pPr>
      <w:r>
        <w:rPr/>
        <w:t>Environmental Performance</w:t>
      </w:r>
    </w:p>
    <w:p>
      <w:pPr>
        <w:pStyle w:val="Normal"/>
        <w:bidi w:val="0"/>
        <w:spacing w:lineRule="auto" w:line="360" w:before="0" w:after="200"/>
        <w:ind w:firstLine="720"/>
        <w:jc w:val="both"/>
        <w:rPr/>
      </w:pPr>
      <w:r>
        <w:rPr/>
        <w:t>WtE technologies achieve 70-90% reduction in landfill volume and substantial greenhouse gas benefits compared to uncontrolled landfilling. Comparative analysis indicates WtE without carbon capture produces 0.374 Mg CO₂-equivalent per tonne of MSW versus 1.257 Mg CO₂-equivalent for landfill without gas recovery—a 70% reduction in direct emissions. When integrated with carbon capture and storage (CCS), WtE can achieve carbon-negative performance of -3.14 Mg CO₂ per MWh of electricity, with biogenic carbon removal creating net atmospheric CO₂ withdrawal. Modern emissions control systems achieve dioxin emissions below 0.1 ng TEQ/Nm³, representing &gt;99% reduction from uncontrolled levels and performance comparable to or better than fossil fuel power plants.</w:t>
      </w:r>
    </w:p>
    <w:p>
      <w:pPr>
        <w:pStyle w:val="Heading3"/>
        <w:keepNext w:val="true"/>
        <w:keepLines/>
        <w:bidi w:val="0"/>
        <w:spacing w:before="280" w:after="120"/>
        <w:rPr/>
      </w:pPr>
      <w:r>
        <w:rPr/>
        <w:t>Residue Valorization</w:t>
      </w:r>
    </w:p>
    <w:p>
      <w:pPr>
        <w:pStyle w:val="Normal"/>
        <w:bidi w:val="0"/>
        <w:spacing w:lineRule="auto" w:line="360" w:before="0" w:after="200"/>
        <w:ind w:firstLine="720"/>
        <w:jc w:val="both"/>
        <w:rPr/>
      </w:pPr>
      <w:r>
        <w:rPr/>
        <w:t>Incineration bottom ash (IBA) utilization in road construction has achieved commercial scale in multiple jurisdictions. Singapore’s NEA processing facility transforms 500,000 tonnes of IBA annually into construction aggregates, achieving landfill cost avoidance of SGD 50-75 per tonne while producing saleable materials. Swedish granulated slag achieves metal recovery rates of 10-12% and construction application for 70% of processed material. These practices demonstrate the feasibility of near-complete material utilization within circular economy frameworks.</w:t>
      </w:r>
    </w:p>
    <w:p>
      <w:pPr>
        <w:pStyle w:val="Heading3"/>
        <w:keepNext w:val="true"/>
        <w:keepLines/>
        <w:bidi w:val="0"/>
        <w:spacing w:before="280" w:after="120"/>
        <w:rPr/>
      </w:pPr>
      <w:r>
        <w:rPr/>
        <w:t>Economic Viability</w:t>
      </w:r>
    </w:p>
    <w:p>
      <w:pPr>
        <w:pStyle w:val="Normal"/>
        <w:bidi w:val="0"/>
        <w:spacing w:lineRule="auto" w:line="360" w:before="0" w:after="200"/>
        <w:ind w:firstLine="720"/>
        <w:jc w:val="both"/>
        <w:rPr/>
      </w:pPr>
      <w:r>
        <w:rPr/>
        <w:t>Capital costs for mass-burn incineration range from $400-700 per tonne of annual capacity, with levelized costs of energy competitive with mid-range renewables when gate fees are included. Markets with high landfill costs or carbon pricing, such as Singapore and Northern Europe, achieve positive returns on WtE investment, while regions with abundant low-cost landfill capacity face greater economic challenges.</w:t>
      </w:r>
    </w:p>
    <w:p>
      <w:pPr>
        <w:pStyle w:val="Heading2"/>
        <w:keepNext w:val="true"/>
        <w:keepLines/>
        <w:bidi w:val="0"/>
        <w:spacing w:before="360" w:after="160"/>
        <w:rPr/>
      </w:pPr>
      <w:r>
        <w:rPr/>
        <w:t>1.3 Policy and Investment Implications</w:t>
      </w:r>
    </w:p>
    <w:p>
      <w:pPr>
        <w:pStyle w:val="Normal"/>
        <w:bidi w:val="0"/>
        <w:spacing w:lineRule="auto" w:line="360" w:before="0" w:after="200"/>
        <w:ind w:firstLine="720"/>
        <w:jc w:val="both"/>
        <w:rPr/>
      </w:pPr>
      <w:r>
        <w:rPr/>
        <w:t>Successful WtE deployment requires integrated policy frameworks that coordinate waste hierarchy implementation, energy market access, and residue management regulations. Key enabling conditions include: landfill diversion targets or bans that create waste supply security; renewable energy support mechanisms recognizing biogenic energy content; carbon pricing or emissions trading that values avoided methane emissions and fossil fuel displacement; and technical standards for residue utilization that enable market development for construction materials.</w:t>
      </w:r>
    </w:p>
    <w:p>
      <w:pPr>
        <w:pStyle w:val="Normal"/>
        <w:bidi w:val="0"/>
        <w:spacing w:lineRule="auto" w:line="360" w:before="0" w:after="200"/>
        <w:ind w:firstLine="720"/>
        <w:jc w:val="both"/>
        <w:rPr/>
      </w:pPr>
      <w:r>
        <w:rPr/>
        <w:t>Investment priorities should differentiate by development context: grate incineration with CHP for rapidly urbanizing economies with district heating infrastructure; anaerobic digestion with biogas upgrading for agricultural and organic waste-rich regions; and advanced thermal conversion with CCS readiness for developed economies pursuing deep decarbonization. Emerging technologies including waste-to-hydrogen pathways and AI-optimized smart systems warrant continued research and demonstration support.</w:t>
      </w:r>
    </w:p>
    <w:p>
      <w:pPr>
        <w:pStyle w:val="Heading1"/>
        <w:keepNext w:val="true"/>
        <w:keepLines/>
        <w:bidi w:val="0"/>
        <w:spacing w:lineRule="auto" w:line="240" w:before="480" w:after="240"/>
        <w:jc w:val="center"/>
        <w:rPr/>
      </w:pPr>
      <w:r>
        <w:rPr/>
        <w:t>CHAPTER 2: GLOBAL WASTE GENERATION AND MANAGEMENT CONTEXT</w:t>
      </w:r>
    </w:p>
    <w:p>
      <w:pPr>
        <w:pStyle w:val="Heading2"/>
        <w:keepNext w:val="true"/>
        <w:keepLines/>
        <w:bidi w:val="0"/>
        <w:spacing w:before="360" w:after="160"/>
        <w:rPr/>
      </w:pPr>
      <w:r>
        <w:rPr/>
        <w:t>2.1 Global Waste Generation Trends</w:t>
      </w:r>
    </w:p>
    <w:p>
      <w:pPr>
        <w:pStyle w:val="Heading3"/>
        <w:keepNext w:val="true"/>
        <w:keepLines/>
        <w:bidi w:val="0"/>
        <w:spacing w:before="280" w:after="120"/>
        <w:rPr/>
      </w:pPr>
      <w:r>
        <w:rPr/>
        <w:t>2.1.1 Municipal Solid Waste Volumes and Projections</w:t>
      </w:r>
    </w:p>
    <w:p>
      <w:pPr>
        <w:pStyle w:val="Normal"/>
        <w:bidi w:val="0"/>
        <w:spacing w:lineRule="auto" w:line="360" w:before="0" w:after="200"/>
        <w:ind w:firstLine="720"/>
        <w:jc w:val="both"/>
        <w:rPr/>
      </w:pPr>
      <w:r>
        <w:rPr/>
        <w:t>Global municipal solid waste generation has reached approximately 2.3 billion tonnes annually, with projections indicating 3.4 billion tonnes by 2050 under business-as-usual scenarios. This growth trajectory reflects continued urbanization, rising consumption, and expanding middle-class populations in emerging economies. Per capita waste generation varies dramatically, from 0.5-1.0 kg/day in low-income countries to 1.5-2.5 kg/day in high-income OECD members, with waste composition shifting toward higher packaging and electronic waste content as incomes rise.</w:t>
      </w:r>
    </w:p>
    <w:p>
      <w:pPr>
        <w:pStyle w:val="Normal"/>
        <w:bidi w:val="0"/>
        <w:spacing w:lineRule="auto" w:line="360" w:before="0" w:after="200"/>
        <w:ind w:firstLine="720"/>
        <w:jc w:val="both"/>
        <w:rPr/>
      </w:pPr>
      <w:r>
        <w:rPr/>
        <w:t>The regional distribution of waste generation is increasingly concentrated in Asia, which currently accounts for approximately 45% of global MSW and is projected to reach 55% by 2030. China alone generates over 300 million tonnes annually, with urban areas experiencing 8-10% annual growth rates that have driven massive WtE infrastructure investment. Sub-Saharan Africa and South Asia, while currently lower in absolute volumes, face the most rapid relative growth and the greatest infrastructure deficits for safe waste management.</w:t>
      </w:r>
    </w:p>
    <w:p>
      <w:pPr>
        <w:pStyle w:val="Heading3"/>
        <w:keepNext w:val="true"/>
        <w:keepLines/>
        <w:bidi w:val="0"/>
        <w:spacing w:before="280" w:after="120"/>
        <w:rPr/>
      </w:pPr>
      <w:r>
        <w:rPr/>
        <w:t>2.1.2 Regional Variations in Waste Generation</w:t>
      </w:r>
    </w:p>
    <w:tbl>
      <w:tblPr>
        <w:tblW w:w="5000" w:type="pct"/>
        <w:jc w:val="left"/>
        <w:tblInd w:w="0" w:type="dxa"/>
        <w:tblLayout w:type="fixed"/>
        <w:tblCellMar>
          <w:top w:w="80" w:type="dxa"/>
          <w:left w:w="100" w:type="dxa"/>
          <w:bottom w:w="80" w:type="dxa"/>
          <w:right w:w="100" w:type="dxa"/>
        </w:tblCellMar>
      </w:tblPr>
      <w:tblGrid>
        <w:gridCol w:w="1733"/>
        <w:gridCol w:w="1560"/>
        <w:gridCol w:w="1386"/>
        <w:gridCol w:w="1733"/>
        <w:gridCol w:w="2254"/>
      </w:tblGrid>
      <w:tr>
        <w:trPr>
          <w:tblHeader w:val="true"/>
        </w:trPr>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Region</w:t>
            </w:r>
          </w:p>
        </w:tc>
        <w:tc>
          <w:tcPr>
            <w:tcW w:w="156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Annual MSW (Mt)</w:t>
            </w:r>
          </w:p>
        </w:tc>
        <w:tc>
          <w:tcPr>
            <w:tcW w:w="138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Per Capita (kg/day)</w:t>
            </w:r>
          </w:p>
        </w:tc>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Growth Trend</w:t>
            </w:r>
          </w:p>
        </w:tc>
        <w:tc>
          <w:tcPr>
            <w:tcW w:w="2254"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Primary Challenge</w:t>
            </w:r>
          </w:p>
        </w:tc>
      </w:tr>
      <w:tr>
        <w:trPr/>
        <w:tc>
          <w:tcPr>
            <w:tcW w:w="173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East Asia &amp; Pacific</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650</w:t>
            </w:r>
          </w:p>
        </w:tc>
        <w:tc>
          <w:tcPr>
            <w:tcW w:w="138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0.9-1.8</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Rapid (+5-8%)</w:t>
            </w:r>
          </w:p>
        </w:tc>
        <w:tc>
          <w:tcPr>
            <w:tcW w:w="225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Infrastructure scaling</w:t>
            </w:r>
          </w:p>
        </w:tc>
      </w:tr>
      <w:tr>
        <w:trPr/>
        <w:tc>
          <w:tcPr>
            <w:tcW w:w="173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Europe &amp; Central Asia</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450</w:t>
            </w:r>
          </w:p>
        </w:tc>
        <w:tc>
          <w:tcPr>
            <w:tcW w:w="138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1.4-2.0</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Stable/declining</w:t>
            </w:r>
          </w:p>
        </w:tc>
        <w:tc>
          <w:tcPr>
            <w:tcW w:w="225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Circular economy transition</w:t>
            </w:r>
          </w:p>
        </w:tc>
      </w:tr>
      <w:tr>
        <w:trPr/>
        <w:tc>
          <w:tcPr>
            <w:tcW w:w="173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North America</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350</w:t>
            </w:r>
          </w:p>
        </w:tc>
        <w:tc>
          <w:tcPr>
            <w:tcW w:w="138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2.0-2.3</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Stable</w:t>
            </w:r>
          </w:p>
        </w:tc>
        <w:tc>
          <w:tcPr>
            <w:tcW w:w="225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Recycling optimization</w:t>
            </w:r>
          </w:p>
        </w:tc>
      </w:tr>
      <w:tr>
        <w:trPr/>
        <w:tc>
          <w:tcPr>
            <w:tcW w:w="173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South Asia</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250</w:t>
            </w:r>
          </w:p>
        </w:tc>
        <w:tc>
          <w:tcPr>
            <w:tcW w:w="138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0.5-0.8</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Very rapid (+6-10%)</w:t>
            </w:r>
          </w:p>
        </w:tc>
        <w:tc>
          <w:tcPr>
            <w:tcW w:w="225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Open dumping</w:t>
            </w:r>
          </w:p>
        </w:tc>
      </w:tr>
      <w:tr>
        <w:trPr/>
        <w:tc>
          <w:tcPr>
            <w:tcW w:w="173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Middle East &amp; N. Africa</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120</w:t>
            </w:r>
          </w:p>
        </w:tc>
        <w:tc>
          <w:tcPr>
            <w:tcW w:w="138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1.0-1.6</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Rapid</w:t>
            </w:r>
          </w:p>
        </w:tc>
        <w:tc>
          <w:tcPr>
            <w:tcW w:w="225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Arid climate constraints</w:t>
            </w:r>
          </w:p>
        </w:tc>
      </w:tr>
      <w:tr>
        <w:trPr/>
        <w:tc>
          <w:tcPr>
            <w:tcW w:w="173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Sub-Saharan Africa</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180</w:t>
            </w:r>
          </w:p>
        </w:tc>
        <w:tc>
          <w:tcPr>
            <w:tcW w:w="138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0.4-0.7</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Very rapid (+7-12%)</w:t>
            </w:r>
          </w:p>
        </w:tc>
        <w:tc>
          <w:tcPr>
            <w:tcW w:w="225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Minimal infrastructure</w:t>
            </w:r>
          </w:p>
        </w:tc>
      </w:tr>
      <w:tr>
        <w:trPr/>
        <w:tc>
          <w:tcPr>
            <w:tcW w:w="1733"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Latin America &amp; Caribbean</w:t>
            </w:r>
          </w:p>
        </w:tc>
        <w:tc>
          <w:tcPr>
            <w:tcW w:w="156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280</w:t>
            </w:r>
          </w:p>
        </w:tc>
        <w:tc>
          <w:tcPr>
            <w:tcW w:w="1386"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1.0-1.5</w:t>
            </w:r>
          </w:p>
        </w:tc>
        <w:tc>
          <w:tcPr>
            <w:tcW w:w="173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Moderate (+2-4%)</w:t>
            </w:r>
          </w:p>
        </w:tc>
        <w:tc>
          <w:tcPr>
            <w:tcW w:w="2254"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Uneven development</w:t>
            </w:r>
          </w:p>
        </w:tc>
      </w:tr>
    </w:tbl>
    <w:p>
      <w:pPr>
        <w:pStyle w:val="Caption"/>
        <w:keepLines/>
        <w:bidi w:val="0"/>
        <w:spacing w:before="120" w:after="240"/>
        <w:jc w:val="center"/>
        <w:rPr/>
      </w:pPr>
      <w:r>
        <w:rPr/>
        <w:t>Table 1: Regional waste generation characteristics and management challenges</w:t>
      </w:r>
    </w:p>
    <w:p>
      <w:pPr>
        <w:pStyle w:val="Heading3"/>
        <w:keepNext w:val="true"/>
        <w:keepLines/>
        <w:bidi w:val="0"/>
        <w:spacing w:before="280" w:after="120"/>
        <w:rPr/>
      </w:pPr>
      <w:r>
        <w:rPr/>
        <w:t>2.1.3 Waste Composition by Income Level and Geography</w:t>
      </w:r>
    </w:p>
    <w:p>
      <w:pPr>
        <w:pStyle w:val="Normal"/>
        <w:bidi w:val="0"/>
        <w:spacing w:lineRule="auto" w:line="360" w:before="0" w:after="200"/>
        <w:ind w:firstLine="720"/>
        <w:jc w:val="both"/>
        <w:rPr/>
      </w:pPr>
      <w:r>
        <w:rPr/>
        <w:t>Waste composition fundamentally determines treatment technology suitability and energy recovery potential. Low-income country waste typically contains 60-80% organic matter, 5-15% recyclables, and &lt;5% plastics, with high moisture content (50-70%) and low calorific value (5-9 MJ/kg as-received) that complicates thermal processing. High-income country waste exhibits 30-50% organic content, 20-35% recyclables, and 10-20% plastics, with lower moisture (20-40%) and higher calorific value (10-15 MJ/kg) enabling efficient energy recovery.</w:t>
      </w:r>
    </w:p>
    <w:p>
      <w:pPr>
        <w:pStyle w:val="Normal"/>
        <w:bidi w:val="0"/>
        <w:spacing w:lineRule="auto" w:line="360" w:before="0" w:after="200"/>
        <w:ind w:firstLine="720"/>
        <w:jc w:val="both"/>
        <w:rPr/>
      </w:pPr>
      <w:r>
        <w:rPr/>
        <w:t>The plastic waste crisis has emerged as a defining challenge, with annual global generation exceeding 400 million tonnes and &lt;10% effectively recycled. Plastic accumulation in waste streams increases calorific value but creates emissions control challenges due to chlorine content (PVC) and potential for incomplete combustion products. The heterogeneous distribution of plastic waste—concentrated in packaging, textiles, and durable goods—requires sophisticated sorting and preprocessing for optimal WtE integration.</w:t>
      </w:r>
    </w:p>
    <w:p>
      <w:pPr>
        <w:pStyle w:val="Heading2"/>
        <w:keepNext w:val="true"/>
        <w:keepLines/>
        <w:bidi w:val="0"/>
        <w:spacing w:before="360" w:after="160"/>
        <w:rPr/>
      </w:pPr>
      <w:r>
        <w:rPr/>
        <w:t>2.2 Waste Classification Systems</w:t>
      </w:r>
    </w:p>
    <w:p>
      <w:pPr>
        <w:pStyle w:val="Heading3"/>
        <w:keepNext w:val="true"/>
        <w:keepLines/>
        <w:bidi w:val="0"/>
        <w:spacing w:before="280" w:after="120"/>
        <w:rPr/>
      </w:pPr>
      <w:r>
        <w:rPr/>
        <w:t>2.2.1 Municipal Solid Waste (MSW)</w:t>
      </w:r>
    </w:p>
    <w:p>
      <w:pPr>
        <w:pStyle w:val="Normal"/>
        <w:bidi w:val="0"/>
        <w:spacing w:lineRule="auto" w:line="360" w:before="0" w:after="200"/>
        <w:ind w:firstLine="720"/>
        <w:jc w:val="both"/>
        <w:rPr/>
      </w:pPr>
      <w:r>
        <w:rPr/>
        <w:t>Municipal solid waste encompasses residential, commercial, and institutional waste streams collected by or on behalf of municipal authorities. Standard classification frameworks distinguish putrescible organics (food waste, yard waste, wood), paper and cardboard, plastics, metals, glass, textiles, and miscellaneous inert materials. The relative proportions of these fractions determine WtE technology selection, with high-organic streams favoring anaerobic digestion and high-calorific streams suitable for thermal conversion.</w:t>
      </w:r>
    </w:p>
    <w:p>
      <w:pPr>
        <w:pStyle w:val="Normal"/>
        <w:bidi w:val="0"/>
        <w:spacing w:lineRule="auto" w:line="360" w:before="0" w:after="200"/>
        <w:ind w:firstLine="720"/>
        <w:jc w:val="both"/>
        <w:rPr/>
      </w:pPr>
      <w:r>
        <w:rPr/>
        <w:t>MSW heterogeneity presents operational challenges for WtE facilities, requiring either preprocessing for fuel homogenization (RDF/SRF production) or robust combustion control systems capable of accommodating variable feedstock. Modern mass-burn incinerators address this through moving grate designs with zone-controlled air distribution, while gasification and pyrolysis systems typically require more intensive preprocessing to achieve feedstock specifications.</w:t>
      </w:r>
    </w:p>
    <w:p>
      <w:pPr>
        <w:pStyle w:val="Heading3"/>
        <w:keepNext w:val="true"/>
        <w:keepLines/>
        <w:bidi w:val="0"/>
        <w:spacing w:before="280" w:after="120"/>
        <w:rPr/>
      </w:pPr>
      <w:r>
        <w:rPr/>
        <w:t>2.2.2 Industrial and Commercial Waste</w:t>
      </w:r>
    </w:p>
    <w:p>
      <w:pPr>
        <w:pStyle w:val="Normal"/>
        <w:bidi w:val="0"/>
        <w:spacing w:lineRule="auto" w:line="360" w:before="0" w:after="200"/>
        <w:ind w:firstLine="720"/>
        <w:jc w:val="both"/>
        <w:rPr/>
      </w:pPr>
      <w:r>
        <w:rPr/>
        <w:t>Industrial waste streams exhibit extreme diversity, from relatively homogeneous process residues (paper mill sludge, food processing waste) to complex hazardous mixtures requiring specialized treatment. Commercial waste—retail, hospitality, office—resembles MSW in composition but often with higher cardboard and lower residential organic content. Industrial non-hazardous waste suitable for WtE includes packaging materials, off-specification products, and organic residues with sufficient calorific value for energy recovery.</w:t>
      </w:r>
    </w:p>
    <w:p>
      <w:pPr>
        <w:pStyle w:val="Heading3"/>
        <w:keepNext w:val="true"/>
        <w:keepLines/>
        <w:bidi w:val="0"/>
        <w:spacing w:before="280" w:after="120"/>
        <w:rPr/>
      </w:pPr>
      <w:r>
        <w:rPr/>
        <w:t>2.2.3 Agricultural and Organic Waste</w:t>
      </w:r>
    </w:p>
    <w:p>
      <w:pPr>
        <w:pStyle w:val="Normal"/>
        <w:bidi w:val="0"/>
        <w:spacing w:lineRule="auto" w:line="360" w:before="0" w:after="200"/>
        <w:ind w:firstLine="720"/>
        <w:jc w:val="both"/>
        <w:rPr/>
      </w:pPr>
      <w:r>
        <w:rPr/>
        <w:t>Agricultural waste generation exceeds 5 billion tonnes annually globally, including crop residues, animal manure, and food processing byproducts. These materials are characterized by high moisture content, variable seasonal availability, and dispersed geographic distribution that complicates centralized processing. Anaerobic digestion has emerged as the preferred WtE pathway for agricultural organics, with biogas yields of 20-400 m³ per tonne of volatile solids depending on feedstock composition and process conditions.</w:t>
      </w:r>
    </w:p>
    <w:p>
      <w:pPr>
        <w:pStyle w:val="Heading3"/>
        <w:keepNext w:val="true"/>
        <w:keepLines/>
        <w:bidi w:val="0"/>
        <w:spacing w:before="280" w:after="120"/>
        <w:rPr/>
      </w:pPr>
      <w:r>
        <w:rPr/>
        <w:t>2.2.4 Hazardous and Special Waste Streams</w:t>
      </w:r>
    </w:p>
    <w:p>
      <w:pPr>
        <w:pStyle w:val="Normal"/>
        <w:bidi w:val="0"/>
        <w:spacing w:lineRule="auto" w:line="360" w:before="0" w:after="200"/>
        <w:ind w:firstLine="720"/>
        <w:jc w:val="both"/>
        <w:rPr/>
      </w:pPr>
      <w:r>
        <w:rPr/>
        <w:t>Hazardous wastes require specialized WtE approaches due to toxic constituents and stringent regulatory controls. Medical waste incineration operates at &gt;1,100°C with 2-second residence times to ensure complete destruction of pathogens and pharmaceuticals. Chemical waste gasification or plasma arc processing achieves &gt;99.99% destruction removal efficiency for persistent organic pollutants. These applications command premium disposal fees ($500-5,000 per tonne) that justify higher technology costs.</w:t>
      </w:r>
    </w:p>
    <w:p>
      <w:pPr>
        <w:pStyle w:val="Heading3"/>
        <w:keepNext w:val="true"/>
        <w:keepLines/>
        <w:bidi w:val="0"/>
        <w:spacing w:before="280" w:after="120"/>
        <w:rPr/>
      </w:pPr>
      <w:r>
        <w:rPr/>
        <w:t>2.2.5 Electronic and Electrical Waste (WEEE)</w:t>
      </w:r>
    </w:p>
    <w:p>
      <w:pPr>
        <w:pStyle w:val="Normal"/>
        <w:bidi w:val="0"/>
        <w:spacing w:lineRule="auto" w:line="360" w:before="0" w:after="200"/>
        <w:ind w:firstLine="720"/>
        <w:jc w:val="both"/>
        <w:rPr/>
      </w:pPr>
      <w:r>
        <w:rPr/>
        <w:t>Waste electrical and electronic equipment presents unique challenges due to complex material mixtures, hazardous constituents (lead, mercury, cadmium, brominated flame retardants), and high resource value in precious and base metals. Global WEEE generation exceeds 50 million tonnes annually, with growth rates of 3-5% exceeding general waste trends due to product obsolescence acceleration.</w:t>
      </w:r>
    </w:p>
    <w:p>
      <w:pPr>
        <w:pStyle w:val="Heading2"/>
        <w:keepNext w:val="true"/>
        <w:keepLines/>
        <w:bidi w:val="0"/>
        <w:spacing w:before="360" w:after="160"/>
        <w:rPr/>
      </w:pPr>
      <w:r>
        <w:rPr/>
        <w:t>2.3 Environmental Impacts of Unmanaged Waste</w:t>
      </w:r>
    </w:p>
    <w:p>
      <w:pPr>
        <w:pStyle w:val="Heading3"/>
        <w:keepNext w:val="true"/>
        <w:keepLines/>
        <w:bidi w:val="0"/>
        <w:spacing w:before="280" w:after="120"/>
        <w:rPr/>
      </w:pPr>
      <w:r>
        <w:rPr/>
        <w:t>2.3.1 Greenhouse Gas Emissions from Landfills</w:t>
      </w:r>
    </w:p>
    <w:p>
      <w:pPr>
        <w:pStyle w:val="Normal"/>
        <w:bidi w:val="0"/>
        <w:spacing w:lineRule="auto" w:line="360" w:before="0" w:after="200"/>
        <w:ind w:firstLine="720"/>
        <w:jc w:val="both"/>
        <w:rPr/>
      </w:pPr>
      <w:r>
        <w:rPr/>
        <w:t>Uncontrolled landfilling of organic waste generates methane (CH₄) through anaerobic decomposition, with global warming potential 28-36 times that of CO₂ over 100-year horizons and 84-87 times over 20 years. Global landfill methane emissions are estimated at 500-800 million tonnes CO₂-equivalent annually, representing 5-10% of total anthropogenic methane. Even modern sanitary landfills with gas collection achieve only 60-85% capture efficiency, with fugitive emissions and post-closure releases contributing substantial climate forcing.</w:t>
      </w:r>
    </w:p>
    <w:p>
      <w:pPr>
        <w:pStyle w:val="Heading3"/>
        <w:keepNext w:val="true"/>
        <w:keepLines/>
        <w:bidi w:val="0"/>
        <w:spacing w:before="280" w:after="120"/>
        <w:rPr/>
      </w:pPr>
      <w:r>
        <w:rPr/>
        <w:t>2.3.2 Soil and Water Contamination</w:t>
      </w:r>
    </w:p>
    <w:p>
      <w:pPr>
        <w:pStyle w:val="Normal"/>
        <w:bidi w:val="0"/>
        <w:spacing w:lineRule="auto" w:line="360" w:before="0" w:after="200"/>
        <w:ind w:firstLine="720"/>
        <w:jc w:val="both"/>
        <w:rPr/>
      </w:pPr>
      <w:r>
        <w:rPr/>
        <w:t>Leachate from uncontrolled waste disposal creates severe groundwater and surface water contamination, with typical leachate containing elevated concentrations of dissolved organic carbon (5,000-50,000 mg/L), ammonia nitrogen (500-2,000 mg/L), heavy metals, and emerging contaminants including pharmaceuticals and per- and polyfluoroalkyl substances (PFAS). The plume migration from historic landfills can extend kilometers from source, with remediation costs exceeding $10-50 million for major contaminated sites.</w:t>
      </w:r>
    </w:p>
    <w:p>
      <w:pPr>
        <w:pStyle w:val="Heading3"/>
        <w:keepNext w:val="true"/>
        <w:keepLines/>
        <w:bidi w:val="0"/>
        <w:spacing w:before="280" w:after="120"/>
        <w:rPr/>
      </w:pPr>
      <w:r>
        <w:rPr/>
        <w:t>2.3.3 Public Health Consequences</w:t>
      </w:r>
    </w:p>
    <w:p>
      <w:pPr>
        <w:pStyle w:val="Normal"/>
        <w:bidi w:val="0"/>
        <w:spacing w:lineRule="auto" w:line="360" w:before="0" w:after="200"/>
        <w:ind w:firstLine="720"/>
        <w:jc w:val="both"/>
        <w:rPr/>
      </w:pPr>
      <w:r>
        <w:rPr/>
        <w:t>The disease burden from inadequate waste management is concentrated in low-income urban areas, with diarrheal disease, respiratory infection, and vector-borne illness linked to waste exposure. The 2016 Zika virus outbreak highlighted connections between inadequate waste collection, plastic container proliferation, and mosquito breeding habitat. Climate change exacerbates these risks through extreme precipitation events that overwhelm drainage and waste infrastructure, creating compound flooding and contamination events.</w:t>
      </w:r>
    </w:p>
    <w:p>
      <w:pPr>
        <w:pStyle w:val="Heading2"/>
        <w:keepNext w:val="true"/>
        <w:keepLines/>
        <w:bidi w:val="0"/>
        <w:spacing w:before="360" w:after="160"/>
        <w:rPr/>
      </w:pPr>
      <w:r>
        <w:rPr/>
        <w:t>2.4 Limitations of Conventional Waste Management</w:t>
      </w:r>
    </w:p>
    <w:p>
      <w:pPr>
        <w:pStyle w:val="Heading3"/>
        <w:keepNext w:val="true"/>
        <w:keepLines/>
        <w:bidi w:val="0"/>
        <w:spacing w:before="280" w:after="120"/>
        <w:rPr/>
      </w:pPr>
      <w:r>
        <w:rPr/>
        <w:t>2.4.1 Landfill Capacity Constraints</w:t>
      </w:r>
    </w:p>
    <w:p>
      <w:pPr>
        <w:pStyle w:val="Normal"/>
        <w:bidi w:val="0"/>
        <w:spacing w:lineRule="auto" w:line="360" w:before="0" w:after="200"/>
        <w:ind w:firstLine="720"/>
        <w:jc w:val="both"/>
        <w:rPr/>
      </w:pPr>
      <w:r>
        <w:rPr/>
        <w:t>Landfill capacity exhaustion has emerged as a critical constraint in densely populated regions, with zero available capacity projected within 5-10 years for major metropolitan areas including London, São Paulo, Jakarta, and Mumbai. The siting of new landfills faces intense community opposition, regulatory complexity, and increasing environmental standards that extend development timelines to 10-20 years and costs to $100-500 million for major facilities.</w:t>
      </w:r>
    </w:p>
    <w:p>
      <w:pPr>
        <w:pStyle w:val="Heading3"/>
        <w:keepNext w:val="true"/>
        <w:keepLines/>
        <w:bidi w:val="0"/>
        <w:spacing w:before="280" w:after="120"/>
        <w:rPr/>
      </w:pPr>
      <w:r>
        <w:rPr/>
        <w:t>2.4.2 Inefficiency of Recycling Systems</w:t>
      </w:r>
    </w:p>
    <w:p>
      <w:pPr>
        <w:pStyle w:val="Normal"/>
        <w:bidi w:val="0"/>
        <w:spacing w:lineRule="auto" w:line="360" w:before="0" w:after="200"/>
        <w:ind w:firstLine="720"/>
        <w:jc w:val="both"/>
        <w:rPr/>
      </w:pPr>
      <w:r>
        <w:rPr/>
        <w:t>Global recycling performance remains far below theoretical potential, with &lt;20% of plastics actually recycled despite &gt;40% collection rates in many jurisdictions. The "recycling crisis" triggered by China’s National Sword policy (2018) exposed systemic weaknesses: contaminated and mixed materials, volatile commodity markets, and limited domestic processing capacity in exporting countries.</w:t>
      </w:r>
    </w:p>
    <w:p>
      <w:pPr>
        <w:pStyle w:val="Heading3"/>
        <w:keepNext w:val="true"/>
        <w:keepLines/>
        <w:bidi w:val="0"/>
        <w:spacing w:before="280" w:after="120"/>
        <w:rPr/>
      </w:pPr>
      <w:r>
        <w:rPr/>
        <w:t>2.4.3 Economic and Environmental Costs of Open Dumping</w:t>
      </w:r>
    </w:p>
    <w:p>
      <w:pPr>
        <w:pStyle w:val="Normal"/>
        <w:bidi w:val="0"/>
        <w:spacing w:lineRule="auto" w:line="360" w:before="0" w:after="200"/>
        <w:ind w:firstLine="720"/>
        <w:jc w:val="both"/>
        <w:rPr/>
      </w:pPr>
      <w:r>
        <w:rPr/>
        <w:t>Open dumping and uncontrolled burning remain the dominant waste management practice for &gt;2 billion people, with estimated costs of $375 billion annually in environmental degradation, health impacts, and lost resource value. The informal waste sector—15-20 million workers globally—provides essential collection and recycling services but operates without social protection or safety standards, with life expectancy 10-15 years below national averages in some contexts.</w:t>
      </w:r>
    </w:p>
    <w:p>
      <w:pPr>
        <w:pStyle w:val="Heading1"/>
        <w:keepNext w:val="true"/>
        <w:keepLines/>
        <w:bidi w:val="0"/>
        <w:spacing w:lineRule="auto" w:line="240" w:before="480" w:after="240"/>
        <w:jc w:val="center"/>
        <w:rPr/>
      </w:pPr>
      <w:r>
        <w:rPr/>
        <w:t>CHAPTER 3: WASTE-TO-ENERGY TECHNOLOGY PORTFOLIO</w:t>
      </w:r>
    </w:p>
    <w:p>
      <w:pPr>
        <w:pStyle w:val="Heading2"/>
        <w:keepNext w:val="true"/>
        <w:keepLines/>
        <w:bidi w:val="0"/>
        <w:spacing w:before="360" w:after="160"/>
        <w:rPr/>
      </w:pPr>
      <w:r>
        <w:rPr/>
        <w:t>3.1 Thermal Conversion Technologies</w:t>
      </w:r>
    </w:p>
    <w:p>
      <w:pPr>
        <w:pStyle w:val="Heading3"/>
        <w:keepNext w:val="true"/>
        <w:keepLines/>
        <w:bidi w:val="0"/>
        <w:spacing w:before="280" w:after="120"/>
        <w:rPr/>
      </w:pPr>
      <w:r>
        <w:rPr/>
        <w:t>3.1.1 Incineration (Mass Burn and RDF Co-firing)</w:t>
      </w:r>
    </w:p>
    <w:p>
      <w:pPr>
        <w:pStyle w:val="Heading4"/>
        <w:keepNext w:val="true"/>
        <w:keepLines/>
        <w:bidi w:val="0"/>
        <w:spacing w:before="200" w:after="80"/>
        <w:rPr/>
      </w:pPr>
      <w:r>
        <w:rPr/>
        <w:t>Combustion Process Engineering</w:t>
      </w:r>
    </w:p>
    <w:p>
      <w:pPr>
        <w:pStyle w:val="Normal"/>
        <w:bidi w:val="0"/>
        <w:spacing w:lineRule="auto" w:line="360" w:before="0" w:after="200"/>
        <w:ind w:firstLine="720"/>
        <w:jc w:val="both"/>
        <w:rPr/>
      </w:pPr>
      <w:r>
        <w:rPr/>
        <w:t>Modern waste incineration employs controlled combustion at 850-1,100°C with &gt;2 seconds residence time to ensure complete oxidation of organic constituents and destruction of pathogens and toxic organic compounds. The moving grate incinerator dominates global deployment, with continuous waste feeding, progressive transport through drying, combustion, and burnout zones, and automatic ash discharge enabling &gt;90% availability with minimal preprocessing.</w:t>
      </w:r>
    </w:p>
    <w:p>
      <w:pPr>
        <w:pStyle w:val="Normal"/>
        <w:bidi w:val="0"/>
        <w:spacing w:lineRule="auto" w:line="360" w:before="0" w:after="200"/>
        <w:ind w:firstLine="720"/>
        <w:jc w:val="both"/>
        <w:rPr/>
      </w:pPr>
      <w:r>
        <w:rPr/>
        <w:t>The thermochemical processes within the combustion chamber involve sequential stages: drying (moisture evaporation at 100-150°C), devolatilization (thermal decomposition releasing combustible gases at 200-600°C), char combustion (solid carbon oxidation at 600-900°C), and final burnout (complete oxidation of residual carbon). The exothermic heat release from these reactions sustains autothermal operation for waste with net calorific value &gt;6 MJ/kg as-received, with auxiliary fuel firing required for lower heating value materials or startup/shutdown conditions.</w:t>
      </w:r>
    </w:p>
    <w:p>
      <w:pPr>
        <w:pStyle w:val="Heading4"/>
        <w:keepNext w:val="true"/>
        <w:keepLines/>
        <w:bidi w:val="0"/>
        <w:spacing w:before="200" w:after="80"/>
        <w:rPr/>
      </w:pPr>
      <w:r>
        <w:rPr/>
        <w:t>Energy Recovery Systems (Steam Turbine, CHP)</w:t>
      </w:r>
    </w:p>
    <w:p>
      <w:pPr>
        <w:pStyle w:val="Normal"/>
        <w:bidi w:val="0"/>
        <w:spacing w:lineRule="auto" w:line="360" w:before="0" w:after="200"/>
        <w:ind w:firstLine="720"/>
        <w:jc w:val="both"/>
        <w:rPr/>
      </w:pPr>
      <w:r>
        <w:rPr/>
        <w:t>Energy recovery from incineration utilizes waste heat boilers integrated with the combustion chamber to generate superheated steam for turbine-generator sets or direct thermal utilization. Steam parameters are constrained by flue gas corrosiveness: 400-500°C and 40-80 bar represents typical practice, though advanced plants achieve 520°C and 100 bar with specialized corrosion-resistant materials. The moderate steam conditions limit electrical efficiency to 20-30% for condensing cycles, but enable long boiler tube lifetime (&gt;100,000 hours) with acceptable maintenance.</w:t>
      </w:r>
    </w:p>
    <w:p>
      <w:pPr>
        <w:pStyle w:val="Normal"/>
        <w:bidi w:val="0"/>
        <w:spacing w:lineRule="auto" w:line="360" w:before="0" w:after="200"/>
        <w:ind w:firstLine="720"/>
        <w:jc w:val="both"/>
        <w:rPr/>
      </w:pPr>
      <w:r>
        <w:rPr/>
        <w:t>Combined heat and power (CHP) configuration dramatically improves overall energy efficiency, with district heating supply achieving total energy utilization of 80-90%. The Swedish and Danish experience demonstrates optimal CHP performance: low-pressure steam extraction at 2-10 bar for district heating networks (supply/return temperatures 80-120°C/40-60°C), with remaining steam expanding to condensing pressure for maximum electricity generation.</w:t>
      </w:r>
    </w:p>
    <w:tbl>
      <w:tblPr>
        <w:tblW w:w="5000" w:type="pct"/>
        <w:jc w:val="left"/>
        <w:tblInd w:w="0" w:type="dxa"/>
        <w:tblLayout w:type="fixed"/>
        <w:tblCellMar>
          <w:top w:w="80" w:type="dxa"/>
          <w:left w:w="100" w:type="dxa"/>
          <w:bottom w:w="80" w:type="dxa"/>
          <w:right w:w="100" w:type="dxa"/>
        </w:tblCellMar>
      </w:tblPr>
      <w:tblGrid>
        <w:gridCol w:w="2426"/>
        <w:gridCol w:w="1560"/>
        <w:gridCol w:w="1560"/>
        <w:gridCol w:w="1560"/>
        <w:gridCol w:w="1560"/>
      </w:tblGrid>
      <w:tr>
        <w:trPr>
          <w:tblHeader w:val="true"/>
        </w:trPr>
        <w:tc>
          <w:tcPr>
            <w:tcW w:w="242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Configuration</w:t>
            </w:r>
          </w:p>
        </w:tc>
        <w:tc>
          <w:tcPr>
            <w:tcW w:w="156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Electrical Eff.</w:t>
            </w:r>
          </w:p>
        </w:tc>
        <w:tc>
          <w:tcPr>
            <w:tcW w:w="156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Thermal Eff.</w:t>
            </w:r>
          </w:p>
        </w:tc>
        <w:tc>
          <w:tcPr>
            <w:tcW w:w="156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Total Eff.</w:t>
            </w:r>
          </w:p>
        </w:tc>
        <w:tc>
          <w:tcPr>
            <w:tcW w:w="156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Application</w:t>
            </w:r>
          </w:p>
        </w:tc>
      </w:tr>
      <w:tr>
        <w:trPr/>
        <w:tc>
          <w:tcPr>
            <w:tcW w:w="242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Condensing steam cycle</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22-28%</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22-28%</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Power-only</w:t>
            </w:r>
          </w:p>
        </w:tc>
      </w:tr>
      <w:tr>
        <w:trPr/>
        <w:tc>
          <w:tcPr>
            <w:tcW w:w="242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CHP with district heating</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18-25%</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55-70%</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80-90%</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Urban heating networks</w:t>
            </w:r>
          </w:p>
        </w:tc>
      </w:tr>
      <w:tr>
        <w:trPr/>
        <w:tc>
          <w:tcPr>
            <w:tcW w:w="242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CHP with industrial steam</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15-22%</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60-75%</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80-90%</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Industrial parks</w:t>
            </w:r>
          </w:p>
        </w:tc>
      </w:tr>
      <w:tr>
        <w:trPr/>
        <w:tc>
          <w:tcPr>
            <w:tcW w:w="2426"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Advanced with flue gas condensation</w:t>
            </w:r>
          </w:p>
        </w:tc>
        <w:tc>
          <w:tcPr>
            <w:tcW w:w="156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20-26%</w:t>
            </w:r>
          </w:p>
        </w:tc>
        <w:tc>
          <w:tcPr>
            <w:tcW w:w="156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70-85%</w:t>
            </w:r>
          </w:p>
        </w:tc>
        <w:tc>
          <w:tcPr>
            <w:tcW w:w="156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95-105%</w:t>
            </w:r>
          </w:p>
        </w:tc>
        <w:tc>
          <w:tcPr>
            <w:tcW w:w="156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Nordic countries</w:t>
            </w:r>
          </w:p>
        </w:tc>
      </w:tr>
    </w:tbl>
    <w:p>
      <w:pPr>
        <w:pStyle w:val="Caption"/>
        <w:keepLines/>
        <w:bidi w:val="0"/>
        <w:spacing w:before="120" w:after="240"/>
        <w:jc w:val="center"/>
        <w:rPr/>
      </w:pPr>
      <w:r>
        <w:rPr/>
        <w:t>Table 2: Energy recovery configurations and performance characteristics</w:t>
      </w:r>
    </w:p>
    <w:p>
      <w:pPr>
        <w:pStyle w:val="Heading4"/>
        <w:keepNext w:val="true"/>
        <w:keepLines/>
        <w:bidi w:val="0"/>
        <w:spacing w:before="200" w:after="80"/>
        <w:rPr/>
      </w:pPr>
      <w:r>
        <w:rPr/>
        <w:t>Emissions Control Technologies (SNCR, SCR, Bag Filters)</w:t>
      </w:r>
    </w:p>
    <w:p>
      <w:pPr>
        <w:pStyle w:val="Normal"/>
        <w:bidi w:val="0"/>
        <w:spacing w:lineRule="auto" w:line="360" w:before="0" w:after="200"/>
        <w:ind w:firstLine="720"/>
        <w:jc w:val="both"/>
        <w:rPr/>
      </w:pPr>
      <w:r>
        <w:rPr/>
        <w:t>Modern incineration plants incorporate multi-stage flue gas treatment achieving emission levels substantially below regulatory limits and comparable to or better than fossil fuel power plants. The treatment train typically includes: particulate removal (fabric filters or electrostatic precipitators), acid gas neutralization (dry, semi-dry, or wet scrubbing), nitrogen oxide control (SNCR or SCR), and heavy metal/dioxin capture (activated carbon injection).</w:t>
      </w:r>
    </w:p>
    <w:p>
      <w:pPr>
        <w:pStyle w:val="Normal"/>
        <w:bidi w:val="0"/>
        <w:spacing w:lineRule="auto" w:line="360" w:before="0" w:after="200"/>
        <w:ind w:firstLine="720"/>
        <w:jc w:val="both"/>
        <w:rPr/>
      </w:pPr>
      <w:r>
        <w:rPr/>
        <w:t>Selective non-catalytic reduction (SNCR) injects urea or ammonia at 850-1,100°C to achieve 30-50% NOx reduction with moderate cost but limited maximum performance. Selective catalytic reduction (SCR) with vanadium or zeolite catalysts at 250-400°C achieves 80-95% NOx removal but requires substantial capital investment and careful management of catalyst poisoning by heavy metals and dust.</w:t>
      </w:r>
    </w:p>
    <w:tbl>
      <w:tblPr>
        <w:tblW w:w="5000" w:type="pct"/>
        <w:jc w:val="left"/>
        <w:tblInd w:w="0" w:type="dxa"/>
        <w:tblLayout w:type="fixed"/>
        <w:tblCellMar>
          <w:top w:w="80" w:type="dxa"/>
          <w:left w:w="100" w:type="dxa"/>
          <w:bottom w:w="80" w:type="dxa"/>
          <w:right w:w="100" w:type="dxa"/>
        </w:tblCellMar>
      </w:tblPr>
      <w:tblGrid>
        <w:gridCol w:w="2311"/>
        <w:gridCol w:w="1925"/>
        <w:gridCol w:w="1926"/>
        <w:gridCol w:w="2503"/>
      </w:tblGrid>
      <w:tr>
        <w:trPr>
          <w:tblHeader w:val="true"/>
        </w:trPr>
        <w:tc>
          <w:tcPr>
            <w:tcW w:w="2311"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Pollutant</w:t>
            </w:r>
          </w:p>
        </w:tc>
        <w:tc>
          <w:tcPr>
            <w:tcW w:w="1925"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EU Limit (mg/Nm³)</w:t>
            </w:r>
          </w:p>
        </w:tc>
        <w:tc>
          <w:tcPr>
            <w:tcW w:w="192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Typical Achieved</w:t>
            </w:r>
          </w:p>
        </w:tc>
        <w:tc>
          <w:tcPr>
            <w:tcW w:w="250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Control Technology</w:t>
            </w:r>
          </w:p>
        </w:tc>
      </w:tr>
      <w:tr>
        <w:trPr/>
        <w:tc>
          <w:tcPr>
            <w:tcW w:w="2311"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Particulate matter</w:t>
            </w:r>
          </w:p>
        </w:tc>
        <w:tc>
          <w:tcPr>
            <w:tcW w:w="1925"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10</w:t>
            </w:r>
          </w:p>
        </w:tc>
        <w:tc>
          <w:tcPr>
            <w:tcW w:w="19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&lt;5</w:t>
            </w:r>
          </w:p>
        </w:tc>
        <w:tc>
          <w:tcPr>
            <w:tcW w:w="250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Fabric filter, ESP</w:t>
            </w:r>
          </w:p>
        </w:tc>
      </w:tr>
      <w:tr>
        <w:trPr/>
        <w:tc>
          <w:tcPr>
            <w:tcW w:w="2311"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HCl</w:t>
            </w:r>
          </w:p>
        </w:tc>
        <w:tc>
          <w:tcPr>
            <w:tcW w:w="1925"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10</w:t>
            </w:r>
          </w:p>
        </w:tc>
        <w:tc>
          <w:tcPr>
            <w:tcW w:w="19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&lt;5</w:t>
            </w:r>
          </w:p>
        </w:tc>
        <w:tc>
          <w:tcPr>
            <w:tcW w:w="250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Dry/semi-dry scrubbing</w:t>
            </w:r>
          </w:p>
        </w:tc>
      </w:tr>
      <w:tr>
        <w:trPr/>
        <w:tc>
          <w:tcPr>
            <w:tcW w:w="2311"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SO₂</w:t>
            </w:r>
          </w:p>
        </w:tc>
        <w:tc>
          <w:tcPr>
            <w:tcW w:w="1925"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50</w:t>
            </w:r>
          </w:p>
        </w:tc>
        <w:tc>
          <w:tcPr>
            <w:tcW w:w="19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&lt;20</w:t>
            </w:r>
          </w:p>
        </w:tc>
        <w:tc>
          <w:tcPr>
            <w:tcW w:w="250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Wet scrubbing</w:t>
            </w:r>
          </w:p>
        </w:tc>
      </w:tr>
      <w:tr>
        <w:trPr/>
        <w:tc>
          <w:tcPr>
            <w:tcW w:w="2311"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NOx</w:t>
            </w:r>
          </w:p>
        </w:tc>
        <w:tc>
          <w:tcPr>
            <w:tcW w:w="1925"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200</w:t>
            </w:r>
          </w:p>
        </w:tc>
        <w:tc>
          <w:tcPr>
            <w:tcW w:w="19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80-150</w:t>
            </w:r>
          </w:p>
        </w:tc>
        <w:tc>
          <w:tcPr>
            <w:tcW w:w="250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SNCR, SCR</w:t>
            </w:r>
          </w:p>
        </w:tc>
      </w:tr>
      <w:tr>
        <w:trPr/>
        <w:tc>
          <w:tcPr>
            <w:tcW w:w="2311"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CO</w:t>
            </w:r>
          </w:p>
        </w:tc>
        <w:tc>
          <w:tcPr>
            <w:tcW w:w="1925"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50</w:t>
            </w:r>
          </w:p>
        </w:tc>
        <w:tc>
          <w:tcPr>
            <w:tcW w:w="19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&lt;30</w:t>
            </w:r>
          </w:p>
        </w:tc>
        <w:tc>
          <w:tcPr>
            <w:tcW w:w="250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Combustion optimization</w:t>
            </w:r>
          </w:p>
        </w:tc>
      </w:tr>
      <w:tr>
        <w:trPr/>
        <w:tc>
          <w:tcPr>
            <w:tcW w:w="2311"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Dioxins (ng TEQ/Nm³)</w:t>
            </w:r>
          </w:p>
        </w:tc>
        <w:tc>
          <w:tcPr>
            <w:tcW w:w="1925"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0.1</w:t>
            </w:r>
          </w:p>
        </w:tc>
        <w:tc>
          <w:tcPr>
            <w:tcW w:w="1926"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&lt;0.01</w:t>
            </w:r>
          </w:p>
        </w:tc>
        <w:tc>
          <w:tcPr>
            <w:tcW w:w="250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Combustion control + ACI</w:t>
            </w:r>
          </w:p>
        </w:tc>
      </w:tr>
    </w:tbl>
    <w:p>
      <w:pPr>
        <w:pStyle w:val="Caption"/>
        <w:keepLines/>
        <w:bidi w:val="0"/>
        <w:spacing w:before="120" w:after="240"/>
        <w:jc w:val="center"/>
        <w:rPr/>
      </w:pPr>
      <w:r>
        <w:rPr/>
        <w:t>Table 3: Emission standards and achieved performance for European WtE plants</w:t>
      </w:r>
    </w:p>
    <w:p>
      <w:pPr>
        <w:pStyle w:val="Heading4"/>
        <w:keepNext w:val="true"/>
        <w:keepLines/>
        <w:bidi w:val="0"/>
        <w:spacing w:before="200" w:after="80"/>
        <w:rPr/>
      </w:pPr>
      <w:r>
        <w:rPr/>
        <w:t>Global Deployment Status and Case Examples</w:t>
      </w:r>
    </w:p>
    <w:p>
      <w:pPr>
        <w:pStyle w:val="Normal"/>
        <w:bidi w:val="0"/>
        <w:spacing w:lineRule="auto" w:line="360" w:before="0" w:after="200"/>
        <w:ind w:firstLine="720"/>
        <w:jc w:val="both"/>
        <w:rPr/>
      </w:pPr>
      <w:r>
        <w:rPr/>
        <w:t>Global WtE incineration capacity exceeds 250 million tonnes annually, with &gt;2,000 operational plants concentrated in Europe, East Asia, and North America. Europe processes ~40 million tonnes annually through ~500 plants, with Denmark, Sweden, Netherlands, and Germany achieving highest per capita capacity. Japan operates &gt;1,100 facilities treating 67% of MSW through thermal methods, with extensive gasification deployment alongside grate incineration. China has rapidly expanded from negligible capacity in 2000 to &gt;500 plants with 77.8 GW installed capacity by 2023, representing world’s largest national WtE fleet.</w:t>
      </w:r>
    </w:p>
    <w:tbl>
      <w:tblPr>
        <w:tblW w:w="5000" w:type="pct"/>
        <w:jc w:val="left"/>
        <w:tblInd w:w="0" w:type="dxa"/>
        <w:tblLayout w:type="fixed"/>
        <w:tblCellMar>
          <w:top w:w="80" w:type="dxa"/>
          <w:left w:w="100" w:type="dxa"/>
          <w:bottom w:w="80" w:type="dxa"/>
          <w:right w:w="100" w:type="dxa"/>
        </w:tblCellMar>
      </w:tblPr>
      <w:tblGrid>
        <w:gridCol w:w="1213"/>
        <w:gridCol w:w="1213"/>
        <w:gridCol w:w="1213"/>
        <w:gridCol w:w="1387"/>
        <w:gridCol w:w="1560"/>
        <w:gridCol w:w="2079"/>
      </w:tblGrid>
      <w:tr>
        <w:trPr>
          <w:tblHeader w:val="true"/>
        </w:trPr>
        <w:tc>
          <w:tcPr>
            <w:tcW w:w="121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Facility</w:t>
            </w:r>
          </w:p>
        </w:tc>
        <w:tc>
          <w:tcPr>
            <w:tcW w:w="121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Location</w:t>
            </w:r>
          </w:p>
        </w:tc>
        <w:tc>
          <w:tcPr>
            <w:tcW w:w="121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Capacity (tpa)</w:t>
            </w:r>
          </w:p>
        </w:tc>
        <w:tc>
          <w:tcPr>
            <w:tcW w:w="1387"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Technology</w:t>
            </w:r>
          </w:p>
        </w:tc>
        <w:tc>
          <w:tcPr>
            <w:tcW w:w="156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Energy Output</w:t>
            </w:r>
          </w:p>
        </w:tc>
        <w:tc>
          <w:tcPr>
            <w:tcW w:w="2079"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Notable Features</w:t>
            </w:r>
          </w:p>
        </w:tc>
      </w:tr>
      <w:tr>
        <w:trPr/>
        <w:tc>
          <w:tcPr>
            <w:tcW w:w="121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Spittelau</w:t>
            </w:r>
          </w:p>
        </w:tc>
        <w:tc>
          <w:tcPr>
            <w:tcW w:w="121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Vienna, Austria</w:t>
            </w:r>
          </w:p>
        </w:tc>
        <w:tc>
          <w:tcPr>
            <w:tcW w:w="121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275,000</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MARTIN grate</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13.2 MWe, 58 MWth</w:t>
            </w:r>
          </w:p>
        </w:tc>
        <w:tc>
          <w:tcPr>
            <w:tcW w:w="207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Artistic architecture</w:t>
            </w:r>
          </w:p>
        </w:tc>
      </w:tr>
      <w:tr>
        <w:trPr/>
        <w:tc>
          <w:tcPr>
            <w:tcW w:w="121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Klemetsrud</w:t>
            </w:r>
          </w:p>
        </w:tc>
        <w:tc>
          <w:tcPr>
            <w:tcW w:w="121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Oslo, Norway</w:t>
            </w:r>
          </w:p>
        </w:tc>
        <w:tc>
          <w:tcPr>
            <w:tcW w:w="121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375,000</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MARTIN + CCS</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20 MWe, 60 MWth</w:t>
            </w:r>
          </w:p>
        </w:tc>
        <w:tc>
          <w:tcPr>
            <w:tcW w:w="207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Carbon capture pilot</w:t>
            </w:r>
          </w:p>
        </w:tc>
      </w:tr>
      <w:tr>
        <w:trPr/>
        <w:tc>
          <w:tcPr>
            <w:tcW w:w="121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TERSA</w:t>
            </w:r>
          </w:p>
        </w:tc>
        <w:tc>
          <w:tcPr>
            <w:tcW w:w="121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Barcelona, Spain</w:t>
            </w:r>
          </w:p>
        </w:tc>
        <w:tc>
          <w:tcPr>
            <w:tcW w:w="121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385,000</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HZI grate</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150 GWh/yr</w:t>
            </w:r>
          </w:p>
        </w:tc>
        <w:tc>
          <w:tcPr>
            <w:tcW w:w="207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Bottom ash for roads</w:t>
            </w:r>
          </w:p>
        </w:tc>
      </w:tr>
      <w:tr>
        <w:trPr/>
        <w:tc>
          <w:tcPr>
            <w:tcW w:w="121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Suzhou</w:t>
            </w:r>
          </w:p>
        </w:tc>
        <w:tc>
          <w:tcPr>
            <w:tcW w:w="121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China</w:t>
            </w:r>
          </w:p>
        </w:tc>
        <w:tc>
          <w:tcPr>
            <w:tcW w:w="121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1,100,000</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Stoker</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25 MWe</w:t>
            </w:r>
          </w:p>
        </w:tc>
        <w:tc>
          <w:tcPr>
            <w:tcW w:w="207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Low gate fee ($19/t)</w:t>
            </w:r>
          </w:p>
        </w:tc>
      </w:tr>
      <w:tr>
        <w:trPr/>
        <w:tc>
          <w:tcPr>
            <w:tcW w:w="1213"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Dubai</w:t>
            </w:r>
          </w:p>
        </w:tc>
        <w:tc>
          <w:tcPr>
            <w:tcW w:w="121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UAE</w:t>
            </w:r>
          </w:p>
        </w:tc>
        <w:tc>
          <w:tcPr>
            <w:tcW w:w="121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1,900,000</w:t>
            </w:r>
          </w:p>
        </w:tc>
        <w:tc>
          <w:tcPr>
            <w:tcW w:w="1387"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Advanced grate</w:t>
            </w:r>
          </w:p>
        </w:tc>
        <w:tc>
          <w:tcPr>
            <w:tcW w:w="156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200 MWe</w:t>
            </w:r>
          </w:p>
        </w:tc>
        <w:tc>
          <w:tcPr>
            <w:tcW w:w="2079"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World's largest</w:t>
            </w:r>
          </w:p>
        </w:tc>
      </w:tr>
    </w:tbl>
    <w:p>
      <w:pPr>
        <w:pStyle w:val="Caption"/>
        <w:keepLines/>
        <w:bidi w:val="0"/>
        <w:spacing w:before="120" w:after="240"/>
        <w:jc w:val="center"/>
        <w:rPr/>
      </w:pPr>
      <w:r>
        <w:rPr/>
        <w:t>Table 4: Representative global WtE incineration facilities</w:t>
      </w:r>
    </w:p>
    <w:p>
      <w:pPr>
        <w:pStyle w:val="Heading3"/>
        <w:keepNext w:val="true"/>
        <w:keepLines/>
        <w:bidi w:val="0"/>
        <w:spacing w:before="280" w:after="120"/>
        <w:rPr/>
      </w:pPr>
      <w:r>
        <w:rPr/>
        <w:t>3.1.2 Gasification</w:t>
      </w:r>
    </w:p>
    <w:p>
      <w:pPr>
        <w:pStyle w:val="Normal"/>
        <w:bidi w:val="0"/>
        <w:spacing w:lineRule="auto" w:line="360" w:before="0" w:after="200"/>
        <w:ind w:firstLine="720"/>
        <w:jc w:val="both"/>
        <w:rPr/>
      </w:pPr>
      <w:r>
        <w:rPr/>
        <w:t>Gasification converts carbonaceous materials to synthesis gas (syngas) through partial oxidation at 800-1,500°C with controlled oxygen supply (equivalence ratio 0.2-0.4), producing CO and H₂ as primary products rather than complete combustion to CO₂. The thermodynamic advantage of gasification derives from avoiding nitrogen dilution (oxygen or steam-blown systems) and enabling higher-efficiency power generation through combined cycles or fuel cells. Cold gas efficiency (chemical energy in syngas versus feedstock) of 70-85% compares favorably with incineration steam cycle efficiency of 60-70%.</w:t>
      </w:r>
    </w:p>
    <w:tbl>
      <w:tblPr>
        <w:tblW w:w="5000" w:type="pct"/>
        <w:jc w:val="left"/>
        <w:tblInd w:w="0" w:type="dxa"/>
        <w:tblLayout w:type="fixed"/>
        <w:tblCellMar>
          <w:top w:w="80" w:type="dxa"/>
          <w:left w:w="100" w:type="dxa"/>
          <w:bottom w:w="80" w:type="dxa"/>
          <w:right w:w="100" w:type="dxa"/>
        </w:tblCellMar>
      </w:tblPr>
      <w:tblGrid>
        <w:gridCol w:w="1906"/>
        <w:gridCol w:w="1387"/>
        <w:gridCol w:w="1733"/>
        <w:gridCol w:w="1560"/>
        <w:gridCol w:w="2080"/>
      </w:tblGrid>
      <w:tr>
        <w:trPr>
          <w:tblHeader w:val="true"/>
        </w:trPr>
        <w:tc>
          <w:tcPr>
            <w:tcW w:w="190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Reactor Type</w:t>
            </w:r>
          </w:p>
        </w:tc>
        <w:tc>
          <w:tcPr>
            <w:tcW w:w="1387"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Temperature</w:t>
            </w:r>
          </w:p>
        </w:tc>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Feedstock Requirements</w:t>
            </w:r>
          </w:p>
        </w:tc>
        <w:tc>
          <w:tcPr>
            <w:tcW w:w="156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Syngas Quality</w:t>
            </w:r>
          </w:p>
        </w:tc>
        <w:tc>
          <w:tcPr>
            <w:tcW w:w="208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Commercial Status</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Fixed bed (updraft)</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800-1,000°C</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Large particles, low ash</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High tar</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Limited, small scale</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Bubbling fluidized bed</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800-950°C</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&lt;50 mm, moderate ash</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 tar</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Most common for waste</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Circulating fluidized bed</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850-1,000°C</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&lt;10 mm, processed fuel</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Lower tar</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Growing deployment</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Entrained flow</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1,200-1,500°C</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&lt;0.1 mm, dry, low ash</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Very low tar</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Limited (coal-derived)</w:t>
            </w:r>
          </w:p>
        </w:tc>
      </w:tr>
      <w:tr>
        <w:trPr/>
        <w:tc>
          <w:tcPr>
            <w:tcW w:w="1906"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Plasma arc</w:t>
            </w:r>
          </w:p>
        </w:tc>
        <w:tc>
          <w:tcPr>
            <w:tcW w:w="1387"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2,000-5,000°C</w:t>
            </w:r>
          </w:p>
        </w:tc>
        <w:tc>
          <w:tcPr>
            <w:tcW w:w="173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Any form, hazardous</w:t>
            </w:r>
          </w:p>
        </w:tc>
        <w:tc>
          <w:tcPr>
            <w:tcW w:w="156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Exceptional quality</w:t>
            </w:r>
          </w:p>
        </w:tc>
        <w:tc>
          <w:tcPr>
            <w:tcW w:w="208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Emerging, high cost</w:t>
            </w:r>
          </w:p>
        </w:tc>
      </w:tr>
    </w:tbl>
    <w:p>
      <w:pPr>
        <w:pStyle w:val="Caption"/>
        <w:keepLines/>
        <w:bidi w:val="0"/>
        <w:spacing w:before="120" w:after="240"/>
        <w:jc w:val="center"/>
        <w:rPr/>
      </w:pPr>
      <w:r>
        <w:rPr/>
        <w:t>Table 5: Gasification reactor technologies and waste applicability</w:t>
      </w:r>
    </w:p>
    <w:p>
      <w:pPr>
        <w:pStyle w:val="Heading3"/>
        <w:keepNext w:val="true"/>
        <w:keepLines/>
        <w:bidi w:val="0"/>
        <w:spacing w:before="280" w:after="120"/>
        <w:rPr/>
      </w:pPr>
      <w:r>
        <w:rPr/>
        <w:t>3.1.3 Pyrolysis</w:t>
      </w:r>
    </w:p>
    <w:p>
      <w:pPr>
        <w:pStyle w:val="Normal"/>
        <w:bidi w:val="0"/>
        <w:spacing w:lineRule="auto" w:line="360" w:before="0" w:after="200"/>
        <w:ind w:firstLine="720"/>
        <w:jc w:val="both"/>
        <w:rPr/>
      </w:pPr>
      <w:r>
        <w:rPr/>
        <w:t>Pyrolysis—thermal decomposition in oxygen-free conditions—produces three product phases whose relative yields are controlled by heating rate, temperature, and residence time. Slow pyrolysis (&lt;10°C/min, 300-500°C, hours residence time) maximizes char production (30-40% yield) for carbon sequestration and soil amendment applications. Fast pyrolysis (10-200°C/s, 450-600°C, 1-2 seconds vapor residence) optimizes liquid bio-oil production (60-75% yield) for fuel and chemical feedstock applications.</w:t>
      </w:r>
    </w:p>
    <w:p>
      <w:pPr>
        <w:pStyle w:val="Heading3"/>
        <w:keepNext w:val="true"/>
        <w:keepLines/>
        <w:bidi w:val="0"/>
        <w:spacing w:before="280" w:after="120"/>
        <w:rPr/>
      </w:pPr>
      <w:r>
        <w:rPr/>
        <w:t>3.1.4 Plasma Arc Gasification</w:t>
      </w:r>
    </w:p>
    <w:p>
      <w:pPr>
        <w:pStyle w:val="Normal"/>
        <w:bidi w:val="0"/>
        <w:spacing w:lineRule="auto" w:line="360" w:before="0" w:after="200"/>
        <w:ind w:firstLine="720"/>
        <w:jc w:val="both"/>
        <w:rPr/>
      </w:pPr>
      <w:r>
        <w:rPr/>
        <w:t>Plasma arc gasification employs electric arc-generated plasma at 2,000-5,000°C to completely dissociate waste materials into atomic constituents, achieving destruction and removal efficiencies &gt;99.99% for all organic compounds including PCBs, dioxins, and other persistent pollutants. The ultra-high temperatures enable processing of any waste material regardless of calorific value, moisture content, or hazardous characteristics—medical waste, asbestos, radioactive-contaminated materials, and complex industrial residues.</w:t>
      </w:r>
    </w:p>
    <w:p>
      <w:pPr>
        <w:pStyle w:val="Heading2"/>
        <w:keepNext w:val="true"/>
        <w:keepLines/>
        <w:bidi w:val="0"/>
        <w:spacing w:before="360" w:after="160"/>
        <w:rPr/>
      </w:pPr>
      <w:r>
        <w:rPr/>
        <w:t>3.2 Biological Conversion Technologies</w:t>
      </w:r>
    </w:p>
    <w:p>
      <w:pPr>
        <w:pStyle w:val="Heading3"/>
        <w:keepNext w:val="true"/>
        <w:keepLines/>
        <w:bidi w:val="0"/>
        <w:spacing w:before="280" w:after="120"/>
        <w:rPr/>
      </w:pPr>
      <w:r>
        <w:rPr/>
        <w:t>3.2.1 Anaerobic Digestion</w:t>
      </w:r>
    </w:p>
    <w:p>
      <w:pPr>
        <w:pStyle w:val="Normal"/>
        <w:bidi w:val="0"/>
        <w:spacing w:lineRule="auto" w:line="360" w:before="0" w:after="200"/>
        <w:ind w:firstLine="720"/>
        <w:jc w:val="both"/>
        <w:rPr/>
      </w:pPr>
      <w:r>
        <w:rPr/>
        <w:t>Anaerobic digestion comprises four sequential microbiological stages mediated by distinct microbial consortia: hydrolysis—extracellular enzyme breakdown of polymers to monomers; acidogenesis—fermentation to volatile fatty acids, alcohols, H₂, CO₂; acetogenesis—conversion to acetate, H₂, CO₂; and methanogenesis—methane production by archaea. Hydrolysis is rate-limiting for complex substrates, with lignocellulosic materials particularly recalcitrant due to crystalline structure and lignin encapsulation.</w:t>
      </w:r>
    </w:p>
    <w:p>
      <w:pPr>
        <w:pStyle w:val="Normal"/>
        <w:bidi w:val="0"/>
        <w:spacing w:lineRule="auto" w:line="360" w:before="0" w:after="200"/>
        <w:ind w:firstLine="720"/>
        <w:jc w:val="both"/>
        <w:rPr/>
      </w:pPr>
      <w:r>
        <w:rPr/>
        <w:t>Raw biogas composition: 50-70% CH₄, 30-50% CO₂, trace H₂S, NH₃, H₂O, siloxanes, VOCs; heating value 16-24 MJ/Nm³ depending on CO₂ content. Biogas upgrading technologies achieve &gt;97% CH₄ for natural gas grid injection or vehicle fuel.</w:t>
      </w:r>
    </w:p>
    <w:tbl>
      <w:tblPr>
        <w:tblW w:w="5000" w:type="pct"/>
        <w:jc w:val="left"/>
        <w:tblInd w:w="0" w:type="dxa"/>
        <w:tblLayout w:type="fixed"/>
        <w:tblCellMar>
          <w:top w:w="80" w:type="dxa"/>
          <w:left w:w="100" w:type="dxa"/>
          <w:bottom w:w="80" w:type="dxa"/>
          <w:right w:w="100" w:type="dxa"/>
        </w:tblCellMar>
      </w:tblPr>
      <w:tblGrid>
        <w:gridCol w:w="2079"/>
        <w:gridCol w:w="1560"/>
        <w:gridCol w:w="1560"/>
        <w:gridCol w:w="1560"/>
        <w:gridCol w:w="1907"/>
      </w:tblGrid>
      <w:tr>
        <w:trPr>
          <w:tblHeader w:val="true"/>
        </w:trPr>
        <w:tc>
          <w:tcPr>
            <w:tcW w:w="2079"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Technology</w:t>
            </w:r>
          </w:p>
        </w:tc>
        <w:tc>
          <w:tcPr>
            <w:tcW w:w="156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Methane Purity</w:t>
            </w:r>
          </w:p>
        </w:tc>
        <w:tc>
          <w:tcPr>
            <w:tcW w:w="156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Methane Recovery</w:t>
            </w:r>
          </w:p>
        </w:tc>
        <w:tc>
          <w:tcPr>
            <w:tcW w:w="156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Energy Consumption</w:t>
            </w:r>
          </w:p>
        </w:tc>
        <w:tc>
          <w:tcPr>
            <w:tcW w:w="1907"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Relative Cost</w:t>
            </w:r>
          </w:p>
        </w:tc>
      </w:tr>
      <w:tr>
        <w:trPr/>
        <w:tc>
          <w:tcPr>
            <w:tcW w:w="2079"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Water scrubbing</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96-98%</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85-95%</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w:t>
            </w:r>
          </w:p>
        </w:tc>
        <w:tc>
          <w:tcPr>
            <w:tcW w:w="190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Low</w:t>
            </w:r>
          </w:p>
        </w:tc>
      </w:tr>
      <w:tr>
        <w:trPr/>
        <w:tc>
          <w:tcPr>
            <w:tcW w:w="2079"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Pressure swing adsorption</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96-99%</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85-95%</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w:t>
            </w:r>
          </w:p>
        </w:tc>
        <w:tc>
          <w:tcPr>
            <w:tcW w:w="190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Low-medium</w:t>
            </w:r>
          </w:p>
        </w:tc>
      </w:tr>
      <w:tr>
        <w:trPr/>
        <w:tc>
          <w:tcPr>
            <w:tcW w:w="2079"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Membrane separation</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90-97%</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80-95%</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Low</w:t>
            </w:r>
          </w:p>
        </w:tc>
        <w:tc>
          <w:tcPr>
            <w:tcW w:w="190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Medium</w:t>
            </w:r>
          </w:p>
        </w:tc>
      </w:tr>
      <w:tr>
        <w:trPr/>
        <w:tc>
          <w:tcPr>
            <w:tcW w:w="2079"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Chemical absorption (amine)</w:t>
            </w:r>
          </w:p>
        </w:tc>
        <w:tc>
          <w:tcPr>
            <w:tcW w:w="156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&gt;99%</w:t>
            </w:r>
          </w:p>
        </w:tc>
        <w:tc>
          <w:tcPr>
            <w:tcW w:w="156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&gt;99%</w:t>
            </w:r>
          </w:p>
        </w:tc>
        <w:tc>
          <w:tcPr>
            <w:tcW w:w="156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High</w:t>
            </w:r>
          </w:p>
        </w:tc>
        <w:tc>
          <w:tcPr>
            <w:tcW w:w="1907"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High</w:t>
            </w:r>
          </w:p>
        </w:tc>
      </w:tr>
    </w:tbl>
    <w:p>
      <w:pPr>
        <w:pStyle w:val="Caption"/>
        <w:keepLines/>
        <w:bidi w:val="0"/>
        <w:spacing w:before="120" w:after="240"/>
        <w:jc w:val="center"/>
        <w:rPr/>
      </w:pPr>
      <w:r>
        <w:rPr/>
        <w:t>Table 6: Biogas upgrading technology comparison</w:t>
      </w:r>
    </w:p>
    <w:tbl>
      <w:tblPr>
        <w:tblW w:w="5000" w:type="pct"/>
        <w:jc w:val="left"/>
        <w:tblInd w:w="0" w:type="dxa"/>
        <w:tblLayout w:type="fixed"/>
        <w:tblCellMar>
          <w:top w:w="80" w:type="dxa"/>
          <w:left w:w="100" w:type="dxa"/>
          <w:bottom w:w="80" w:type="dxa"/>
          <w:right w:w="100" w:type="dxa"/>
        </w:tblCellMar>
      </w:tblPr>
      <w:tblGrid>
        <w:gridCol w:w="2311"/>
        <w:gridCol w:w="3080"/>
        <w:gridCol w:w="3275"/>
      </w:tblGrid>
      <w:tr>
        <w:trPr>
          <w:tblHeader w:val="true"/>
        </w:trPr>
        <w:tc>
          <w:tcPr>
            <w:tcW w:w="2311"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Parameter</w:t>
            </w:r>
          </w:p>
        </w:tc>
        <w:tc>
          <w:tcPr>
            <w:tcW w:w="308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Mesophilic (35-40°C)</w:t>
            </w:r>
          </w:p>
        </w:tc>
        <w:tc>
          <w:tcPr>
            <w:tcW w:w="3275"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Thermophilic (50-60°C)</w:t>
            </w:r>
          </w:p>
        </w:tc>
      </w:tr>
      <w:tr>
        <w:trPr/>
        <w:tc>
          <w:tcPr>
            <w:tcW w:w="2311"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Reaction rate</w:t>
            </w:r>
          </w:p>
        </w:tc>
        <w:tc>
          <w:tcPr>
            <w:tcW w:w="3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w:t>
            </w:r>
          </w:p>
        </w:tc>
        <w:tc>
          <w:tcPr>
            <w:tcW w:w="3275"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1.5-2× faster</w:t>
            </w:r>
          </w:p>
        </w:tc>
      </w:tr>
      <w:tr>
        <w:trPr/>
        <w:tc>
          <w:tcPr>
            <w:tcW w:w="2311"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Pathogen destruction</w:t>
            </w:r>
          </w:p>
        </w:tc>
        <w:tc>
          <w:tcPr>
            <w:tcW w:w="3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w:t>
            </w:r>
          </w:p>
        </w:tc>
        <w:tc>
          <w:tcPr>
            <w:tcW w:w="3275"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Enhanced</w:t>
            </w:r>
          </w:p>
        </w:tc>
      </w:tr>
      <w:tr>
        <w:trPr/>
        <w:tc>
          <w:tcPr>
            <w:tcW w:w="2311"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Process stability</w:t>
            </w:r>
          </w:p>
        </w:tc>
        <w:tc>
          <w:tcPr>
            <w:tcW w:w="3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Robust</w:t>
            </w:r>
          </w:p>
        </w:tc>
        <w:tc>
          <w:tcPr>
            <w:tcW w:w="3275"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More sensitive</w:t>
            </w:r>
          </w:p>
        </w:tc>
      </w:tr>
      <w:tr>
        <w:trPr/>
        <w:tc>
          <w:tcPr>
            <w:tcW w:w="2311"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Energy requirement</w:t>
            </w:r>
          </w:p>
        </w:tc>
        <w:tc>
          <w:tcPr>
            <w:tcW w:w="3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Lower</w:t>
            </w:r>
          </w:p>
        </w:tc>
        <w:tc>
          <w:tcPr>
            <w:tcW w:w="3275"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Higher</w:t>
            </w:r>
          </w:p>
        </w:tc>
      </w:tr>
      <w:tr>
        <w:trPr/>
        <w:tc>
          <w:tcPr>
            <w:tcW w:w="2311"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HRT typical</w:t>
            </w:r>
          </w:p>
        </w:tc>
        <w:tc>
          <w:tcPr>
            <w:tcW w:w="308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20-30 days</w:t>
            </w:r>
          </w:p>
        </w:tc>
        <w:tc>
          <w:tcPr>
            <w:tcW w:w="3275"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12-20 days</w:t>
            </w:r>
          </w:p>
        </w:tc>
      </w:tr>
    </w:tbl>
    <w:p>
      <w:pPr>
        <w:pStyle w:val="Caption"/>
        <w:keepLines/>
        <w:bidi w:val="0"/>
        <w:spacing w:before="120" w:after="240"/>
        <w:jc w:val="center"/>
        <w:rPr/>
      </w:pPr>
      <w:r>
        <w:rPr/>
        <w:t>Table 7: Temperature regime comparison for anaerobic digestion</w:t>
      </w:r>
    </w:p>
    <w:p>
      <w:pPr>
        <w:pStyle w:val="Heading3"/>
        <w:keepNext w:val="true"/>
        <w:keepLines/>
        <w:bidi w:val="0"/>
        <w:spacing w:before="280" w:after="120"/>
        <w:rPr/>
      </w:pPr>
      <w:r>
        <w:rPr/>
        <w:t>3.2.2 Landfill Gas Recovery</w:t>
      </w:r>
    </w:p>
    <w:p>
      <w:pPr>
        <w:pStyle w:val="Normal"/>
        <w:bidi w:val="0"/>
        <w:spacing w:lineRule="auto" w:line="360" w:before="0" w:after="200"/>
        <w:ind w:firstLine="720"/>
        <w:jc w:val="both"/>
        <w:rPr/>
      </w:pPr>
      <w:r>
        <w:rPr/>
        <w:t>Landfill gas generation follows sequential biological phases: initial aerobic decomposition consuming available oxygen; transition to anaerobic conditions with acid accumulation; active methanogenesis with methane production; and eventual decline as degradable organic matter is exhausted. Peak generation typically 5-15 years after waste placement, with declining production continuing for 50-100+ years depending on waste composition and environmental conditions.</w:t>
      </w:r>
    </w:p>
    <w:tbl>
      <w:tblPr>
        <w:tblW w:w="5000" w:type="pct"/>
        <w:jc w:val="left"/>
        <w:tblInd w:w="0" w:type="dxa"/>
        <w:tblLayout w:type="fixed"/>
        <w:tblCellMar>
          <w:top w:w="80" w:type="dxa"/>
          <w:left w:w="100" w:type="dxa"/>
          <w:bottom w:w="80" w:type="dxa"/>
          <w:right w:w="100" w:type="dxa"/>
        </w:tblCellMar>
      </w:tblPr>
      <w:tblGrid>
        <w:gridCol w:w="2311"/>
        <w:gridCol w:w="2310"/>
        <w:gridCol w:w="2119"/>
        <w:gridCol w:w="1925"/>
      </w:tblGrid>
      <w:tr>
        <w:trPr>
          <w:tblHeader w:val="true"/>
        </w:trPr>
        <w:tc>
          <w:tcPr>
            <w:tcW w:w="2311"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Technology</w:t>
            </w:r>
          </w:p>
        </w:tc>
        <w:tc>
          <w:tcPr>
            <w:tcW w:w="231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Product</w:t>
            </w:r>
          </w:p>
        </w:tc>
        <w:tc>
          <w:tcPr>
            <w:tcW w:w="2119"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Nutrient Recovery</w:t>
            </w:r>
          </w:p>
        </w:tc>
        <w:tc>
          <w:tcPr>
            <w:tcW w:w="1925"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Application</w:t>
            </w:r>
          </w:p>
        </w:tc>
      </w:tr>
      <w:tr>
        <w:trPr/>
        <w:tc>
          <w:tcPr>
            <w:tcW w:w="2311"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Ammonia stripping</w:t>
            </w:r>
          </w:p>
        </w:tc>
        <w:tc>
          <w:tcPr>
            <w:tcW w:w="231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Ammonium sulfate</w:t>
            </w:r>
          </w:p>
        </w:tc>
        <w:tc>
          <w:tcPr>
            <w:tcW w:w="211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N: 80-95%</w:t>
            </w:r>
          </w:p>
        </w:tc>
        <w:tc>
          <w:tcPr>
            <w:tcW w:w="1925"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Nitrogen fertilizer</w:t>
            </w:r>
          </w:p>
        </w:tc>
      </w:tr>
      <w:tr>
        <w:trPr/>
        <w:tc>
          <w:tcPr>
            <w:tcW w:w="2311"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Struvite precipitation</w:t>
            </w:r>
          </w:p>
        </w:tc>
        <w:tc>
          <w:tcPr>
            <w:tcW w:w="231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MgNH₄PO₄·6H₂O</w:t>
            </w:r>
          </w:p>
        </w:tc>
        <w:tc>
          <w:tcPr>
            <w:tcW w:w="211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P: 80-90%</w:t>
            </w:r>
          </w:p>
        </w:tc>
        <w:tc>
          <w:tcPr>
            <w:tcW w:w="1925"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Slow-release fertilizer</w:t>
            </w:r>
          </w:p>
        </w:tc>
      </w:tr>
      <w:tr>
        <w:trPr/>
        <w:tc>
          <w:tcPr>
            <w:tcW w:w="2311"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Membrane concentration</w:t>
            </w:r>
          </w:p>
        </w:tc>
        <w:tc>
          <w:tcPr>
            <w:tcW w:w="231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Liquid fertilizer</w:t>
            </w:r>
          </w:p>
        </w:tc>
        <w:tc>
          <w:tcPr>
            <w:tcW w:w="211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N, P, K: 70-90%</w:t>
            </w:r>
          </w:p>
        </w:tc>
        <w:tc>
          <w:tcPr>
            <w:tcW w:w="1925"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Precision agriculture</w:t>
            </w:r>
          </w:p>
        </w:tc>
      </w:tr>
      <w:tr>
        <w:trPr/>
        <w:tc>
          <w:tcPr>
            <w:tcW w:w="2311"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Thermal drying</w:t>
            </w:r>
          </w:p>
        </w:tc>
        <w:tc>
          <w:tcPr>
            <w:tcW w:w="231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Granulated fertilizer</w:t>
            </w:r>
          </w:p>
        </w:tc>
        <w:tc>
          <w:tcPr>
            <w:tcW w:w="2119"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N, P, K: 90%+</w:t>
            </w:r>
          </w:p>
        </w:tc>
        <w:tc>
          <w:tcPr>
            <w:tcW w:w="1925"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Bulk fertilizer</w:t>
            </w:r>
          </w:p>
        </w:tc>
      </w:tr>
    </w:tbl>
    <w:p>
      <w:pPr>
        <w:pStyle w:val="Caption"/>
        <w:keepLines/>
        <w:bidi w:val="0"/>
        <w:spacing w:before="120" w:after="240"/>
        <w:jc w:val="center"/>
        <w:rPr/>
      </w:pPr>
      <w:r>
        <w:rPr/>
        <w:t>Table 8: Digestate nutrient recovery technologies</w:t>
      </w:r>
    </w:p>
    <w:tbl>
      <w:tblPr>
        <w:tblW w:w="5000" w:type="pct"/>
        <w:jc w:val="left"/>
        <w:tblInd w:w="0" w:type="dxa"/>
        <w:tblLayout w:type="fixed"/>
        <w:tblCellMar>
          <w:top w:w="80" w:type="dxa"/>
          <w:left w:w="100" w:type="dxa"/>
          <w:bottom w:w="80" w:type="dxa"/>
          <w:right w:w="100" w:type="dxa"/>
        </w:tblCellMar>
      </w:tblPr>
      <w:tblGrid>
        <w:gridCol w:w="1925"/>
        <w:gridCol w:w="1348"/>
        <w:gridCol w:w="1926"/>
        <w:gridCol w:w="2118"/>
        <w:gridCol w:w="1349"/>
      </w:tblGrid>
      <w:tr>
        <w:trPr>
          <w:tblHeader w:val="true"/>
        </w:trPr>
        <w:tc>
          <w:tcPr>
            <w:tcW w:w="1925"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Technology</w:t>
            </w:r>
          </w:p>
        </w:tc>
        <w:tc>
          <w:tcPr>
            <w:tcW w:w="1348"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Scale</w:t>
            </w:r>
          </w:p>
        </w:tc>
        <w:tc>
          <w:tcPr>
            <w:tcW w:w="192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Electrical Eff.</w:t>
            </w:r>
          </w:p>
        </w:tc>
        <w:tc>
          <w:tcPr>
            <w:tcW w:w="2118"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Gas Quality Tolerance</w:t>
            </w:r>
          </w:p>
        </w:tc>
        <w:tc>
          <w:tcPr>
            <w:tcW w:w="1349"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Maturity</w:t>
            </w:r>
          </w:p>
        </w:tc>
      </w:tr>
      <w:tr>
        <w:trPr/>
        <w:tc>
          <w:tcPr>
            <w:tcW w:w="1925"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Reciprocating engines</w:t>
            </w:r>
          </w:p>
        </w:tc>
        <w:tc>
          <w:tcPr>
            <w:tcW w:w="1348"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0.1-5 MW</w:t>
            </w:r>
          </w:p>
        </w:tc>
        <w:tc>
          <w:tcPr>
            <w:tcW w:w="19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30-35%</w:t>
            </w:r>
          </w:p>
        </w:tc>
        <w:tc>
          <w:tcPr>
            <w:tcW w:w="2118"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High</w:t>
            </w:r>
          </w:p>
        </w:tc>
        <w:tc>
          <w:tcPr>
            <w:tcW w:w="134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Mature</w:t>
            </w:r>
          </w:p>
        </w:tc>
      </w:tr>
      <w:tr>
        <w:trPr/>
        <w:tc>
          <w:tcPr>
            <w:tcW w:w="1925"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Gas turbines</w:t>
            </w:r>
          </w:p>
        </w:tc>
        <w:tc>
          <w:tcPr>
            <w:tcW w:w="1348"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1-30 MW</w:t>
            </w:r>
          </w:p>
        </w:tc>
        <w:tc>
          <w:tcPr>
            <w:tcW w:w="19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25-40%</w:t>
            </w:r>
          </w:p>
        </w:tc>
        <w:tc>
          <w:tcPr>
            <w:tcW w:w="2118"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w:t>
            </w:r>
          </w:p>
        </w:tc>
        <w:tc>
          <w:tcPr>
            <w:tcW w:w="134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Mature</w:t>
            </w:r>
          </w:p>
        </w:tc>
      </w:tr>
      <w:tr>
        <w:trPr/>
        <w:tc>
          <w:tcPr>
            <w:tcW w:w="1925"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Microturbines</w:t>
            </w:r>
          </w:p>
        </w:tc>
        <w:tc>
          <w:tcPr>
            <w:tcW w:w="1348"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0.025-0.5 MW</w:t>
            </w:r>
          </w:p>
        </w:tc>
        <w:tc>
          <w:tcPr>
            <w:tcW w:w="19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25-30%</w:t>
            </w:r>
          </w:p>
        </w:tc>
        <w:tc>
          <w:tcPr>
            <w:tcW w:w="2118"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w:t>
            </w:r>
          </w:p>
        </w:tc>
        <w:tc>
          <w:tcPr>
            <w:tcW w:w="134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Growing</w:t>
            </w:r>
          </w:p>
        </w:tc>
      </w:tr>
      <w:tr>
        <w:trPr/>
        <w:tc>
          <w:tcPr>
            <w:tcW w:w="1925"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Fuel cells (MCFC, SOFC)</w:t>
            </w:r>
          </w:p>
        </w:tc>
        <w:tc>
          <w:tcPr>
            <w:tcW w:w="1348"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0.2-2 MW</w:t>
            </w:r>
          </w:p>
        </w:tc>
        <w:tc>
          <w:tcPr>
            <w:tcW w:w="1926"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45-60%</w:t>
            </w:r>
          </w:p>
        </w:tc>
        <w:tc>
          <w:tcPr>
            <w:tcW w:w="2118"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Low</w:t>
            </w:r>
          </w:p>
        </w:tc>
        <w:tc>
          <w:tcPr>
            <w:tcW w:w="1349"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Emerging</w:t>
            </w:r>
          </w:p>
        </w:tc>
      </w:tr>
    </w:tbl>
    <w:p>
      <w:pPr>
        <w:pStyle w:val="Caption"/>
        <w:keepLines/>
        <w:bidi w:val="0"/>
        <w:spacing w:before="120" w:after="240"/>
        <w:jc w:val="center"/>
        <w:rPr/>
      </w:pPr>
      <w:r>
        <w:rPr/>
        <w:t>Table 9: Landfill gas energy conversion technologies</w:t>
      </w:r>
    </w:p>
    <w:p>
      <w:pPr>
        <w:pStyle w:val="Heading2"/>
        <w:keepNext w:val="true"/>
        <w:keepLines/>
        <w:bidi w:val="0"/>
        <w:spacing w:before="360" w:after="160"/>
        <w:rPr/>
      </w:pPr>
      <w:r>
        <w:rPr/>
        <w:t>3.3 Refuse-Derived Fuel (RDF) and Solid Recovered Fuel (SRF)</w:t>
      </w:r>
    </w:p>
    <w:p>
      <w:pPr>
        <w:pStyle w:val="Normal"/>
        <w:bidi w:val="0"/>
        <w:spacing w:lineRule="auto" w:line="360" w:before="0" w:after="200"/>
        <w:ind w:firstLine="720"/>
        <w:jc w:val="both"/>
        <w:rPr/>
      </w:pPr>
      <w:r>
        <w:rPr/>
        <w:t>RDF/SRF production transforms heterogeneous MSW into standardized fuel through mechanical preprocessing: shredding, screening, magnetic and eddy current separation, air classification, and optional drying and densification. Advanced facilities incorporate optical sorting, ballistic separation, and near-infrared identification for enhanced quality and specific contaminant removal.</w:t>
      </w:r>
    </w:p>
    <w:p>
      <w:pPr>
        <w:pStyle w:val="Normal"/>
        <w:bidi w:val="0"/>
        <w:spacing w:lineRule="auto" w:line="360" w:before="0" w:after="200"/>
        <w:ind w:firstLine="720"/>
        <w:jc w:val="both"/>
        <w:rPr/>
      </w:pPr>
      <w:r>
        <w:rPr/>
        <w:t>Processing intensity determines product quality and market applicability: RDF (lower specification, broader application) versus SRF (higher specification, cement kiln and power plant co-firing). The European EN 15359 standard establishes five quality classes based on net calorific value, chlorine content, and mercury concentration, enabling transparent fuel trading and end-user confidence.</w:t>
      </w:r>
    </w:p>
    <w:tbl>
      <w:tblPr>
        <w:tblW w:w="5000" w:type="pct"/>
        <w:jc w:val="left"/>
        <w:tblInd w:w="0" w:type="dxa"/>
        <w:tblLayout w:type="fixed"/>
        <w:tblCellMar>
          <w:top w:w="80" w:type="dxa"/>
          <w:left w:w="100" w:type="dxa"/>
          <w:bottom w:w="80" w:type="dxa"/>
          <w:right w:w="100" w:type="dxa"/>
        </w:tblCellMar>
      </w:tblPr>
      <w:tblGrid>
        <w:gridCol w:w="1348"/>
        <w:gridCol w:w="1540"/>
        <w:gridCol w:w="1348"/>
        <w:gridCol w:w="1541"/>
        <w:gridCol w:w="2889"/>
      </w:tblGrid>
      <w:tr>
        <w:trPr>
          <w:tblHeader w:val="true"/>
        </w:trPr>
        <w:tc>
          <w:tcPr>
            <w:tcW w:w="1348"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EN 15359 Class</w:t>
            </w:r>
          </w:p>
        </w:tc>
        <w:tc>
          <w:tcPr>
            <w:tcW w:w="154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NCV (MJ/kg)</w:t>
            </w:r>
          </w:p>
        </w:tc>
        <w:tc>
          <w:tcPr>
            <w:tcW w:w="1348"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Cl (%)</w:t>
            </w:r>
          </w:p>
        </w:tc>
        <w:tc>
          <w:tcPr>
            <w:tcW w:w="1541"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Hg (mg/MJ)</w:t>
            </w:r>
          </w:p>
        </w:tc>
        <w:tc>
          <w:tcPr>
            <w:tcW w:w="2889"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Typical Application</w:t>
            </w:r>
          </w:p>
        </w:tc>
      </w:tr>
      <w:tr>
        <w:trPr/>
        <w:tc>
          <w:tcPr>
            <w:tcW w:w="1348"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1</w:t>
            </w:r>
          </w:p>
        </w:tc>
        <w:tc>
          <w:tcPr>
            <w:tcW w:w="154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&gt;25</w:t>
            </w:r>
          </w:p>
        </w:tc>
        <w:tc>
          <w:tcPr>
            <w:tcW w:w="1348"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&lt;0.2</w:t>
            </w:r>
          </w:p>
        </w:tc>
        <w:tc>
          <w:tcPr>
            <w:tcW w:w="1541"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&lt;0.04</w:t>
            </w:r>
          </w:p>
        </w:tc>
        <w:tc>
          <w:tcPr>
            <w:tcW w:w="288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Dedicated combustion</w:t>
            </w:r>
          </w:p>
        </w:tc>
      </w:tr>
      <w:tr>
        <w:trPr/>
        <w:tc>
          <w:tcPr>
            <w:tcW w:w="1348"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2</w:t>
            </w:r>
          </w:p>
        </w:tc>
        <w:tc>
          <w:tcPr>
            <w:tcW w:w="154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20-25</w:t>
            </w:r>
          </w:p>
        </w:tc>
        <w:tc>
          <w:tcPr>
            <w:tcW w:w="1348"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0.2-0.6</w:t>
            </w:r>
          </w:p>
        </w:tc>
        <w:tc>
          <w:tcPr>
            <w:tcW w:w="1541"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0.04-0.08</w:t>
            </w:r>
          </w:p>
        </w:tc>
        <w:tc>
          <w:tcPr>
            <w:tcW w:w="288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Co-firing, cement kilns</w:t>
            </w:r>
          </w:p>
        </w:tc>
      </w:tr>
      <w:tr>
        <w:trPr/>
        <w:tc>
          <w:tcPr>
            <w:tcW w:w="1348"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3</w:t>
            </w:r>
          </w:p>
        </w:tc>
        <w:tc>
          <w:tcPr>
            <w:tcW w:w="154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15-20</w:t>
            </w:r>
          </w:p>
        </w:tc>
        <w:tc>
          <w:tcPr>
            <w:tcW w:w="1348"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0.6-1.0</w:t>
            </w:r>
          </w:p>
        </w:tc>
        <w:tc>
          <w:tcPr>
            <w:tcW w:w="1541"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0.08-0.15</w:t>
            </w:r>
          </w:p>
        </w:tc>
        <w:tc>
          <w:tcPr>
            <w:tcW w:w="288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General co-firing</w:t>
            </w:r>
          </w:p>
        </w:tc>
      </w:tr>
      <w:tr>
        <w:trPr/>
        <w:tc>
          <w:tcPr>
            <w:tcW w:w="1348"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4</w:t>
            </w:r>
          </w:p>
        </w:tc>
        <w:tc>
          <w:tcPr>
            <w:tcW w:w="154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10-15</w:t>
            </w:r>
          </w:p>
        </w:tc>
        <w:tc>
          <w:tcPr>
            <w:tcW w:w="1348"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1.0-1.5</w:t>
            </w:r>
          </w:p>
        </w:tc>
        <w:tc>
          <w:tcPr>
            <w:tcW w:w="1541"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0.15-0.5</w:t>
            </w:r>
          </w:p>
        </w:tc>
        <w:tc>
          <w:tcPr>
            <w:tcW w:w="288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Industrial boilers</w:t>
            </w:r>
          </w:p>
        </w:tc>
      </w:tr>
      <w:tr>
        <w:trPr/>
        <w:tc>
          <w:tcPr>
            <w:tcW w:w="1348"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5</w:t>
            </w:r>
          </w:p>
        </w:tc>
        <w:tc>
          <w:tcPr>
            <w:tcW w:w="154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&lt;10</w:t>
            </w:r>
          </w:p>
        </w:tc>
        <w:tc>
          <w:tcPr>
            <w:tcW w:w="1348"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&gt;1.5</w:t>
            </w:r>
          </w:p>
        </w:tc>
        <w:tc>
          <w:tcPr>
            <w:tcW w:w="1541"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&gt;0.5</w:t>
            </w:r>
          </w:p>
        </w:tc>
        <w:tc>
          <w:tcPr>
            <w:tcW w:w="2889"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Restricted use</w:t>
            </w:r>
          </w:p>
        </w:tc>
      </w:tr>
    </w:tbl>
    <w:p>
      <w:pPr>
        <w:pStyle w:val="Caption"/>
        <w:keepLines/>
        <w:bidi w:val="0"/>
        <w:spacing w:before="120" w:after="240"/>
        <w:jc w:val="center"/>
        <w:rPr/>
      </w:pPr>
      <w:r>
        <w:rPr/>
        <w:t>Table 10: European SRF quality classification (EN 15359)</w:t>
      </w:r>
    </w:p>
    <w:p>
      <w:pPr>
        <w:pStyle w:val="Heading1"/>
        <w:keepNext w:val="true"/>
        <w:keepLines/>
        <w:bidi w:val="0"/>
        <w:spacing w:lineRule="auto" w:line="240" w:before="480" w:after="240"/>
        <w:jc w:val="center"/>
        <w:rPr/>
      </w:pPr>
      <w:r>
        <w:rPr/>
        <w:t>CHAPTER 4: COMPARATIVE TECHNOLOGY ASSESSMENT</w:t>
      </w:r>
    </w:p>
    <w:p>
      <w:pPr>
        <w:pStyle w:val="Heading2"/>
        <w:keepNext w:val="true"/>
        <w:keepLines/>
        <w:bidi w:val="0"/>
        <w:spacing w:before="360" w:after="160"/>
        <w:rPr/>
      </w:pPr>
      <w:r>
        <w:rPr/>
        <w:t>4.1 Energy Output and Conversion Efficiency</w:t>
      </w:r>
    </w:p>
    <w:p>
      <w:pPr>
        <w:pStyle w:val="Heading3"/>
        <w:keepNext w:val="true"/>
        <w:keepLines/>
        <w:bidi w:val="0"/>
        <w:spacing w:before="280" w:after="120"/>
        <w:rPr/>
      </w:pPr>
      <w:r>
        <w:rPr/>
        <w:t>4.1.1 Electricity Generation Potential by Technology</w:t>
      </w:r>
    </w:p>
    <w:tbl>
      <w:tblPr>
        <w:tblW w:w="5000" w:type="pct"/>
        <w:jc w:val="left"/>
        <w:tblInd w:w="0" w:type="dxa"/>
        <w:tblLayout w:type="fixed"/>
        <w:tblCellMar>
          <w:top w:w="80" w:type="dxa"/>
          <w:left w:w="100" w:type="dxa"/>
          <w:bottom w:w="80" w:type="dxa"/>
          <w:right w:w="100" w:type="dxa"/>
        </w:tblCellMar>
      </w:tblPr>
      <w:tblGrid>
        <w:gridCol w:w="2079"/>
        <w:gridCol w:w="1733"/>
        <w:gridCol w:w="1734"/>
        <w:gridCol w:w="1733"/>
        <w:gridCol w:w="1387"/>
      </w:tblGrid>
      <w:tr>
        <w:trPr>
          <w:tblHeader w:val="true"/>
        </w:trPr>
        <w:tc>
          <w:tcPr>
            <w:tcW w:w="2079"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Technology</w:t>
            </w:r>
          </w:p>
        </w:tc>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Net Electricity (kWh/t)</w:t>
            </w:r>
          </w:p>
        </w:tc>
        <w:tc>
          <w:tcPr>
            <w:tcW w:w="1734"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Electrical Eff. (%)</w:t>
            </w:r>
          </w:p>
        </w:tc>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Total Energy Eff. (%)</w:t>
            </w:r>
          </w:p>
        </w:tc>
        <w:tc>
          <w:tcPr>
            <w:tcW w:w="1387"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Key Determinants</w:t>
            </w:r>
          </w:p>
        </w:tc>
      </w:tr>
      <w:tr>
        <w:trPr/>
        <w:tc>
          <w:tcPr>
            <w:tcW w:w="2079"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Grate incineration (power only)</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500-700</w:t>
            </w:r>
          </w:p>
        </w:tc>
        <w:tc>
          <w:tcPr>
            <w:tcW w:w="173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20-25</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20-25</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Steam parameters</w:t>
            </w:r>
          </w:p>
        </w:tc>
      </w:tr>
      <w:tr>
        <w:trPr/>
        <w:tc>
          <w:tcPr>
            <w:tcW w:w="2079"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Grate incineration (CHP)</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400-600</w:t>
            </w:r>
          </w:p>
        </w:tc>
        <w:tc>
          <w:tcPr>
            <w:tcW w:w="173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18-25</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80-90</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Heat utilization</w:t>
            </w:r>
          </w:p>
        </w:tc>
      </w:tr>
      <w:tr>
        <w:trPr/>
        <w:tc>
          <w:tcPr>
            <w:tcW w:w="2079"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Gasification + gas engine</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600-800</w:t>
            </w:r>
          </w:p>
        </w:tc>
        <w:tc>
          <w:tcPr>
            <w:tcW w:w="173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25-35</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60-75</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Syngas quality</w:t>
            </w:r>
          </w:p>
        </w:tc>
      </w:tr>
      <w:tr>
        <w:trPr/>
        <w:tc>
          <w:tcPr>
            <w:tcW w:w="2079"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Gasification + combined cycle</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700-900</w:t>
            </w:r>
          </w:p>
        </w:tc>
        <w:tc>
          <w:tcPr>
            <w:tcW w:w="173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35-45</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70-85</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Cleanup energy</w:t>
            </w:r>
          </w:p>
        </w:tc>
      </w:tr>
      <w:tr>
        <w:trPr/>
        <w:tc>
          <w:tcPr>
            <w:tcW w:w="2079"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Anaerobic digestion</w:t>
            </w:r>
          </w:p>
        </w:tc>
        <w:tc>
          <w:tcPr>
            <w:tcW w:w="173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100-250</w:t>
            </w:r>
          </w:p>
        </w:tc>
        <w:tc>
          <w:tcPr>
            <w:tcW w:w="1734"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30-40</w:t>
            </w:r>
          </w:p>
        </w:tc>
        <w:tc>
          <w:tcPr>
            <w:tcW w:w="173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60-80</w:t>
            </w:r>
          </w:p>
        </w:tc>
        <w:tc>
          <w:tcPr>
            <w:tcW w:w="1387"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Organic content</w:t>
            </w:r>
          </w:p>
        </w:tc>
      </w:tr>
    </w:tbl>
    <w:p>
      <w:pPr>
        <w:pStyle w:val="Caption"/>
        <w:keepLines/>
        <w:bidi w:val="0"/>
        <w:spacing w:before="120" w:after="240"/>
        <w:jc w:val="center"/>
        <w:rPr/>
      </w:pPr>
      <w:r>
        <w:rPr/>
        <w:t>Table 11: Electricity generation potential by WtE technology</w:t>
      </w:r>
    </w:p>
    <w:p>
      <w:pPr>
        <w:pStyle w:val="Normal"/>
        <w:bidi w:val="0"/>
        <w:spacing w:lineRule="auto" w:line="360" w:before="0" w:after="200"/>
        <w:ind w:firstLine="720"/>
        <w:jc w:val="both"/>
        <w:rPr/>
      </w:pPr>
      <w:r>
        <w:rPr/>
        <w:t>Key insight: CHP configuration fundamentally alters comparative economics, with thermal energy value often exceeding electricity revenue in district heating markets. Swedish and Danish plants achieve &gt;80% total efficiency through optimized heat utilization, while power-only configurations in markets without heat demand achieve only 20-25% efficiency.</w:t>
      </w:r>
    </w:p>
    <w:p>
      <w:pPr>
        <w:pStyle w:val="Heading3"/>
        <w:keepNext w:val="true"/>
        <w:keepLines/>
        <w:bidi w:val="0"/>
        <w:spacing w:before="280" w:after="120"/>
        <w:rPr/>
      </w:pPr>
      <w:r>
        <w:rPr/>
        <w:t>4.1.2 Combined Heat and Power Configurations</w:t>
      </w:r>
    </w:p>
    <w:p>
      <w:pPr>
        <w:pStyle w:val="Normal"/>
        <w:bidi w:val="0"/>
        <w:spacing w:lineRule="auto" w:line="360" w:before="0" w:after="200"/>
        <w:ind w:firstLine="720"/>
        <w:jc w:val="both"/>
        <w:rPr/>
      </w:pPr>
      <w:r>
        <w:rPr/>
        <w:t>CHP optimization requires matching of heat supply characteristics to demand: temperature level (district heating 80-120°C, industrial steam 150-250°C, process heat &gt;300°C); temporal pattern (seasonal variation, diurnal load); and geographic proximity (transmission losses, infrastructure cost). Northern European countries have developed extensive district heating networks over decades, creating ideal conditions for WtE-CHP integration.</w:t>
      </w:r>
    </w:p>
    <w:p>
      <w:pPr>
        <w:pStyle w:val="Heading2"/>
        <w:keepNext w:val="true"/>
        <w:keepLines/>
        <w:bidi w:val="0"/>
        <w:spacing w:before="360" w:after="160"/>
        <w:rPr/>
      </w:pPr>
      <w:r>
        <w:rPr/>
        <w:t>4.2 Environmental Performance Indicators</w:t>
      </w:r>
    </w:p>
    <w:p>
      <w:pPr>
        <w:pStyle w:val="Heading3"/>
        <w:keepNext w:val="true"/>
        <w:keepLines/>
        <w:bidi w:val="0"/>
        <w:spacing w:before="280" w:after="120"/>
        <w:rPr/>
      </w:pPr>
      <w:r>
        <w:rPr/>
        <w:t>4.2.1 Greenhouse Gas Emissions Comparison</w:t>
      </w:r>
    </w:p>
    <w:tbl>
      <w:tblPr>
        <w:tblW w:w="5000" w:type="pct"/>
        <w:jc w:val="left"/>
        <w:tblInd w:w="0" w:type="dxa"/>
        <w:tblLayout w:type="fixed"/>
        <w:tblCellMar>
          <w:top w:w="80" w:type="dxa"/>
          <w:left w:w="100" w:type="dxa"/>
          <w:bottom w:w="80" w:type="dxa"/>
          <w:right w:w="100" w:type="dxa"/>
        </w:tblCellMar>
      </w:tblPr>
      <w:tblGrid>
        <w:gridCol w:w="2253"/>
        <w:gridCol w:w="1906"/>
        <w:gridCol w:w="2080"/>
        <w:gridCol w:w="2426"/>
      </w:tblGrid>
      <w:tr>
        <w:trPr>
          <w:tblHeader w:val="true"/>
        </w:trPr>
        <w:tc>
          <w:tcPr>
            <w:tcW w:w="225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Pathway</w:t>
            </w:r>
          </w:p>
        </w:tc>
        <w:tc>
          <w:tcPr>
            <w:tcW w:w="190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Direct Emissions (kg CO₂e/t)</w:t>
            </w:r>
          </w:p>
        </w:tc>
        <w:tc>
          <w:tcPr>
            <w:tcW w:w="208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Net with Displacement</w:t>
            </w:r>
          </w:p>
        </w:tc>
        <w:tc>
          <w:tcPr>
            <w:tcW w:w="242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Key Assumptions</w:t>
            </w:r>
          </w:p>
        </w:tc>
      </w:tr>
      <w:tr>
        <w:trPr/>
        <w:tc>
          <w:tcPr>
            <w:tcW w:w="225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Landfill, no gas recovery</w:t>
            </w:r>
          </w:p>
        </w:tc>
        <w:tc>
          <w:tcPr>
            <w:tcW w:w="190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1,257</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1,257</w:t>
            </w:r>
          </w:p>
        </w:tc>
        <w:tc>
          <w:tcPr>
            <w:tcW w:w="24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50% CH₄ in biogas</w:t>
            </w:r>
          </w:p>
        </w:tc>
      </w:tr>
      <w:tr>
        <w:trPr/>
        <w:tc>
          <w:tcPr>
            <w:tcW w:w="225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Landfill, 75% capture + flare</w:t>
            </w:r>
          </w:p>
        </w:tc>
        <w:tc>
          <w:tcPr>
            <w:tcW w:w="190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314</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314</w:t>
            </w:r>
          </w:p>
        </w:tc>
        <w:tc>
          <w:tcPr>
            <w:tcW w:w="24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75% collection</w:t>
            </w:r>
          </w:p>
        </w:tc>
      </w:tr>
      <w:tr>
        <w:trPr/>
        <w:tc>
          <w:tcPr>
            <w:tcW w:w="225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WtE incineration, no CHP</w:t>
            </w:r>
          </w:p>
        </w:tc>
        <w:tc>
          <w:tcPr>
            <w:tcW w:w="190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374</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100-300</w:t>
            </w:r>
          </w:p>
        </w:tc>
        <w:tc>
          <w:tcPr>
            <w:tcW w:w="24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50% biogenic carbon</w:t>
            </w:r>
          </w:p>
        </w:tc>
      </w:tr>
      <w:tr>
        <w:trPr/>
        <w:tc>
          <w:tcPr>
            <w:tcW w:w="225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WtE incineration, CHP</w:t>
            </w:r>
          </w:p>
        </w:tc>
        <w:tc>
          <w:tcPr>
            <w:tcW w:w="190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374</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0-200</w:t>
            </w:r>
          </w:p>
        </w:tc>
        <w:tc>
          <w:tcPr>
            <w:tcW w:w="24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Heat displacement</w:t>
            </w:r>
          </w:p>
        </w:tc>
      </w:tr>
      <w:tr>
        <w:trPr/>
        <w:tc>
          <w:tcPr>
            <w:tcW w:w="2253"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WtE + CCS</w:t>
            </w:r>
          </w:p>
        </w:tc>
        <w:tc>
          <w:tcPr>
            <w:tcW w:w="1906"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37</w:t>
            </w:r>
          </w:p>
        </w:tc>
        <w:tc>
          <w:tcPr>
            <w:tcW w:w="208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-200 to -400</w:t>
            </w:r>
          </w:p>
        </w:tc>
        <w:tc>
          <w:tcPr>
            <w:tcW w:w="2426"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90% capture</w:t>
            </w:r>
          </w:p>
        </w:tc>
      </w:tr>
    </w:tbl>
    <w:p>
      <w:pPr>
        <w:pStyle w:val="Caption"/>
        <w:keepLines/>
        <w:bidi w:val="0"/>
        <w:spacing w:before="120" w:after="240"/>
        <w:jc w:val="center"/>
        <w:rPr/>
      </w:pPr>
      <w:r>
        <w:rPr/>
        <w:t>Table 12: GHG emissions comparison by waste management pathway</w:t>
      </w:r>
    </w:p>
    <w:p>
      <w:pPr>
        <w:pStyle w:val="Normal"/>
        <w:bidi w:val="0"/>
        <w:spacing w:lineRule="auto" w:line="360" w:before="0" w:after="200"/>
        <w:ind w:firstLine="720"/>
        <w:jc w:val="both"/>
        <w:rPr/>
      </w:pPr>
      <w:r>
        <w:rPr/>
        <w:t>Critical finding: WtE-CCS achieves carbon-negative performance through biogenic carbon capture, with net emissions of -3.14 Mg CO₂ per MWh electricity in optimized configurations. This negative emissions potential is unique among energy technologies and strategically significant for climate mitigation.</w:t>
      </w:r>
    </w:p>
    <w:p>
      <w:pPr>
        <w:pStyle w:val="Heading3"/>
        <w:keepNext w:val="true"/>
        <w:keepLines/>
        <w:bidi w:val="0"/>
        <w:spacing w:before="280" w:after="120"/>
        <w:rPr/>
      </w:pPr>
      <w:r>
        <w:rPr/>
        <w:t>4.2.2 Air Pollutant Profiles and Control Requirements</w:t>
      </w:r>
    </w:p>
    <w:p>
      <w:pPr>
        <w:pStyle w:val="Normal"/>
        <w:bidi w:val="0"/>
        <w:spacing w:lineRule="auto" w:line="360" w:before="0" w:after="200"/>
        <w:ind w:firstLine="720"/>
        <w:jc w:val="both"/>
        <w:rPr/>
      </w:pPr>
      <w:r>
        <w:rPr/>
        <w:t>Modern WtE plants achieve emission levels substantially below regulatory limits and comparable to best-performing fossil fuel plants. The European WtE sector’s 99% dioxin reduction while doubling throughput demonstrates technology improvement trajectory. Continuous emissions monitoring with public disclosure—pioneered in the Netherlands and now widespread—builds transparency and public confidence.</w:t>
      </w:r>
    </w:p>
    <w:p>
      <w:pPr>
        <w:pStyle w:val="Heading3"/>
        <w:keepNext w:val="true"/>
        <w:keepLines/>
        <w:bidi w:val="0"/>
        <w:spacing w:before="280" w:after="120"/>
        <w:rPr/>
      </w:pPr>
      <w:r>
        <w:rPr/>
        <w:t>4.2.3 Residue Generation and Management Needs</w:t>
      </w:r>
    </w:p>
    <w:tbl>
      <w:tblPr>
        <w:tblW w:w="5000" w:type="pct"/>
        <w:jc w:val="left"/>
        <w:tblInd w:w="0" w:type="dxa"/>
        <w:tblLayout w:type="fixed"/>
        <w:tblCellMar>
          <w:top w:w="80" w:type="dxa"/>
          <w:left w:w="100" w:type="dxa"/>
          <w:bottom w:w="80" w:type="dxa"/>
          <w:right w:w="100" w:type="dxa"/>
        </w:tblCellMar>
      </w:tblPr>
      <w:tblGrid>
        <w:gridCol w:w="2079"/>
        <w:gridCol w:w="1733"/>
        <w:gridCol w:w="2600"/>
        <w:gridCol w:w="2253"/>
      </w:tblGrid>
      <w:tr>
        <w:trPr>
          <w:tblHeader w:val="true"/>
        </w:trPr>
        <w:tc>
          <w:tcPr>
            <w:tcW w:w="2079"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Residue Stream</w:t>
            </w:r>
          </w:p>
        </w:tc>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Generation Rate</w:t>
            </w:r>
          </w:p>
        </w:tc>
        <w:tc>
          <w:tcPr>
            <w:tcW w:w="260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Primary Management</w:t>
            </w:r>
          </w:p>
        </w:tc>
        <w:tc>
          <w:tcPr>
            <w:tcW w:w="225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Valorization Potential</w:t>
            </w:r>
          </w:p>
        </w:tc>
      </w:tr>
      <w:tr>
        <w:trPr/>
        <w:tc>
          <w:tcPr>
            <w:tcW w:w="2079"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Bottom ash (IBA)</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15-25% of input</w:t>
            </w:r>
          </w:p>
        </w:tc>
        <w:tc>
          <w:tcPr>
            <w:tcW w:w="260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Construction aggregate</w:t>
            </w:r>
          </w:p>
        </w:tc>
        <w:tc>
          <w:tcPr>
            <w:tcW w:w="225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High, established markets</w:t>
            </w:r>
          </w:p>
        </w:tc>
      </w:tr>
      <w:tr>
        <w:trPr/>
        <w:tc>
          <w:tcPr>
            <w:tcW w:w="2079"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Fly ash</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2-5% of input</w:t>
            </w:r>
          </w:p>
        </w:tc>
        <w:tc>
          <w:tcPr>
            <w:tcW w:w="260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Stabilization, hazardous landfill</w:t>
            </w:r>
          </w:p>
        </w:tc>
        <w:tc>
          <w:tcPr>
            <w:tcW w:w="225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 metal recovery</w:t>
            </w:r>
          </w:p>
        </w:tc>
      </w:tr>
      <w:tr>
        <w:trPr/>
        <w:tc>
          <w:tcPr>
            <w:tcW w:w="2079"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APC residues</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2-4% of input</w:t>
            </w:r>
          </w:p>
        </w:tc>
        <w:tc>
          <w:tcPr>
            <w:tcW w:w="260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Hazardous landfill</w:t>
            </w:r>
          </w:p>
        </w:tc>
        <w:tc>
          <w:tcPr>
            <w:tcW w:w="225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Limited, salt recovery</w:t>
            </w:r>
          </w:p>
        </w:tc>
      </w:tr>
      <w:tr>
        <w:trPr/>
        <w:tc>
          <w:tcPr>
            <w:tcW w:w="2079"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Digestate (AD)</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80-95% (wet)</w:t>
            </w:r>
          </w:p>
        </w:tc>
        <w:tc>
          <w:tcPr>
            <w:tcW w:w="260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Agricultural application</w:t>
            </w:r>
          </w:p>
        </w:tc>
        <w:tc>
          <w:tcPr>
            <w:tcW w:w="225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High, fertilizer markets</w:t>
            </w:r>
          </w:p>
        </w:tc>
      </w:tr>
      <w:tr>
        <w:trPr/>
        <w:tc>
          <w:tcPr>
            <w:tcW w:w="2079"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Biochar</w:t>
            </w:r>
          </w:p>
        </w:tc>
        <w:tc>
          <w:tcPr>
            <w:tcW w:w="173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15-35%</w:t>
            </w:r>
          </w:p>
        </w:tc>
        <w:tc>
          <w:tcPr>
            <w:tcW w:w="260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Soil amendment</w:t>
            </w:r>
          </w:p>
        </w:tc>
        <w:tc>
          <w:tcPr>
            <w:tcW w:w="225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Growing, carbon credits</w:t>
            </w:r>
          </w:p>
        </w:tc>
      </w:tr>
    </w:tbl>
    <w:p>
      <w:pPr>
        <w:pStyle w:val="Caption"/>
        <w:keepLines/>
        <w:bidi w:val="0"/>
        <w:spacing w:before="120" w:after="240"/>
        <w:jc w:val="center"/>
        <w:rPr/>
      </w:pPr>
      <w:r>
        <w:rPr/>
        <w:t>Table 13: WtE residue streams and management approaches</w:t>
      </w:r>
    </w:p>
    <w:p>
      <w:pPr>
        <w:pStyle w:val="Heading2"/>
        <w:keepNext w:val="true"/>
        <w:keepLines/>
        <w:bidi w:val="0"/>
        <w:spacing w:before="360" w:after="160"/>
        <w:rPr/>
      </w:pPr>
      <w:r>
        <w:rPr/>
        <w:t>4.3 Economic Feasibility Analysis</w:t>
      </w:r>
    </w:p>
    <w:p>
      <w:pPr>
        <w:pStyle w:val="Heading3"/>
        <w:keepNext w:val="true"/>
        <w:keepLines/>
        <w:bidi w:val="0"/>
        <w:spacing w:before="280" w:after="120"/>
        <w:rPr/>
      </w:pPr>
      <w:r>
        <w:rPr/>
        <w:t>4.3.1 Capital Investment Requirements</w:t>
      </w:r>
    </w:p>
    <w:tbl>
      <w:tblPr>
        <w:tblW w:w="5000" w:type="pct"/>
        <w:jc w:val="left"/>
        <w:tblInd w:w="0" w:type="dxa"/>
        <w:tblLayout w:type="fixed"/>
        <w:tblCellMar>
          <w:top w:w="80" w:type="dxa"/>
          <w:left w:w="100" w:type="dxa"/>
          <w:bottom w:w="80" w:type="dxa"/>
          <w:right w:w="100" w:type="dxa"/>
        </w:tblCellMar>
      </w:tblPr>
      <w:tblGrid>
        <w:gridCol w:w="2426"/>
        <w:gridCol w:w="2080"/>
        <w:gridCol w:w="1733"/>
        <w:gridCol w:w="2426"/>
      </w:tblGrid>
      <w:tr>
        <w:trPr>
          <w:tblHeader w:val="true"/>
        </w:trPr>
        <w:tc>
          <w:tcPr>
            <w:tcW w:w="242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Technology</w:t>
            </w:r>
          </w:p>
        </w:tc>
        <w:tc>
          <w:tcPr>
            <w:tcW w:w="208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Capital Cost ($/t annual)</w:t>
            </w:r>
          </w:p>
        </w:tc>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Scale Economy</w:t>
            </w:r>
          </w:p>
        </w:tc>
        <w:tc>
          <w:tcPr>
            <w:tcW w:w="242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Key Cost Drivers</w:t>
            </w:r>
          </w:p>
        </w:tc>
      </w:tr>
      <w:tr>
        <w:trPr/>
        <w:tc>
          <w:tcPr>
            <w:tcW w:w="242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Mass-burn grate incineration</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400-700</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w:t>
            </w:r>
          </w:p>
        </w:tc>
        <w:tc>
          <w:tcPr>
            <w:tcW w:w="24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Boiler, emissions control</w:t>
            </w:r>
          </w:p>
        </w:tc>
      </w:tr>
      <w:tr>
        <w:trPr/>
        <w:tc>
          <w:tcPr>
            <w:tcW w:w="242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Gasification</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250-850</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Significant</w:t>
            </w:r>
          </w:p>
        </w:tc>
        <w:tc>
          <w:tcPr>
            <w:tcW w:w="24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Gas cleaning</w:t>
            </w:r>
          </w:p>
        </w:tc>
      </w:tr>
      <w:tr>
        <w:trPr/>
        <w:tc>
          <w:tcPr>
            <w:tcW w:w="242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Pyrolysis</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400-700</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w:t>
            </w:r>
          </w:p>
        </w:tc>
        <w:tc>
          <w:tcPr>
            <w:tcW w:w="24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Reactor, upgrading</w:t>
            </w:r>
          </w:p>
        </w:tc>
      </w:tr>
      <w:tr>
        <w:trPr/>
        <w:tc>
          <w:tcPr>
            <w:tcW w:w="242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Anaerobic digestion (wet)</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300-600</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w:t>
            </w:r>
          </w:p>
        </w:tc>
        <w:tc>
          <w:tcPr>
            <w:tcW w:w="24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Digester, gas handling</w:t>
            </w:r>
          </w:p>
        </w:tc>
      </w:tr>
      <w:tr>
        <w:trPr/>
        <w:tc>
          <w:tcPr>
            <w:tcW w:w="2426"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Landfill gas recovery</w:t>
            </w:r>
          </w:p>
        </w:tc>
        <w:tc>
          <w:tcPr>
            <w:tcW w:w="208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50-200</w:t>
            </w:r>
          </w:p>
        </w:tc>
        <w:tc>
          <w:tcPr>
            <w:tcW w:w="173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Limited</w:t>
            </w:r>
          </w:p>
        </w:tc>
        <w:tc>
          <w:tcPr>
            <w:tcW w:w="2426"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Collection system</w:t>
            </w:r>
          </w:p>
        </w:tc>
      </w:tr>
    </w:tbl>
    <w:p>
      <w:pPr>
        <w:pStyle w:val="Caption"/>
        <w:keepLines/>
        <w:bidi w:val="0"/>
        <w:spacing w:before="120" w:after="240"/>
        <w:jc w:val="center"/>
        <w:rPr/>
      </w:pPr>
      <w:r>
        <w:rPr/>
        <w:t>Table 14: Capital cost ranges for WtE technologies</w:t>
      </w:r>
    </w:p>
    <w:p>
      <w:pPr>
        <w:pStyle w:val="Heading3"/>
        <w:keepNext w:val="true"/>
        <w:keepLines/>
        <w:bidi w:val="0"/>
        <w:spacing w:before="280" w:after="120"/>
        <w:rPr/>
      </w:pPr>
      <w:r>
        <w:rPr/>
        <w:t>4.3.2 Operating and Maintenance Costs</w:t>
      </w:r>
    </w:p>
    <w:p>
      <w:pPr>
        <w:pStyle w:val="Normal"/>
        <w:bidi w:val="0"/>
        <w:spacing w:lineRule="auto" w:line="360" w:before="0" w:after="200"/>
        <w:ind w:firstLine="720"/>
        <w:jc w:val="both"/>
        <w:rPr/>
      </w:pPr>
      <w:r>
        <w:rPr/>
        <w:t>Operating costs ($40-85 per tonne waste for thermal WtE) comprise: labor (20-30%); maintenance and materials (25-35%); energy and consumables (20-30%); insurance and administration (10-15%); and residue management (10-20%). Labor productivity varies with automation level: modern plants achieve &lt;0.5 FTE per 100,000 tpa capacity versus &gt;2 FTE for older facilities.</w:t>
      </w:r>
    </w:p>
    <w:p>
      <w:pPr>
        <w:pStyle w:val="Heading3"/>
        <w:keepNext w:val="true"/>
        <w:keepLines/>
        <w:bidi w:val="0"/>
        <w:spacing w:before="280" w:after="120"/>
        <w:rPr/>
      </w:pPr>
      <w:r>
        <w:rPr/>
        <w:t>4.3.3 Revenue Streams (Energy Sales, Gate Fees, By-products)</w:t>
      </w:r>
    </w:p>
    <w:tbl>
      <w:tblPr>
        <w:tblW w:w="5000" w:type="pct"/>
        <w:jc w:val="left"/>
        <w:tblInd w:w="0" w:type="dxa"/>
        <w:tblLayout w:type="fixed"/>
        <w:tblCellMar>
          <w:top w:w="80" w:type="dxa"/>
          <w:left w:w="100" w:type="dxa"/>
          <w:bottom w:w="80" w:type="dxa"/>
          <w:right w:w="100" w:type="dxa"/>
        </w:tblCellMar>
      </w:tblPr>
      <w:tblGrid>
        <w:gridCol w:w="1906"/>
        <w:gridCol w:w="1733"/>
        <w:gridCol w:w="1733"/>
        <w:gridCol w:w="3293"/>
      </w:tblGrid>
      <w:tr>
        <w:trPr>
          <w:tblHeader w:val="true"/>
        </w:trPr>
        <w:tc>
          <w:tcPr>
            <w:tcW w:w="190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Revenue Source</w:t>
            </w:r>
          </w:p>
        </w:tc>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Typical Range</w:t>
            </w:r>
          </w:p>
        </w:tc>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Volatility</w:t>
            </w:r>
          </w:p>
        </w:tc>
        <w:tc>
          <w:tcPr>
            <w:tcW w:w="329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Contract Structure</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Gate fees</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$50-150/t</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w:t>
            </w:r>
          </w:p>
        </w:tc>
        <w:tc>
          <w:tcPr>
            <w:tcW w:w="329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Long-term (10-25 year)</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Electricity sales</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$40-120/MWh</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High</w:t>
            </w:r>
          </w:p>
        </w:tc>
        <w:tc>
          <w:tcPr>
            <w:tcW w:w="329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PPA, spot market</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Heat sales</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$20-60/MWh</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Low-moderate</w:t>
            </w:r>
          </w:p>
        </w:tc>
        <w:tc>
          <w:tcPr>
            <w:tcW w:w="329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Long-term DH contracts</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Renewable certificates</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$10-50/MWh</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Policy-dependent</w:t>
            </w:r>
          </w:p>
        </w:tc>
        <w:tc>
          <w:tcPr>
            <w:tcW w:w="329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Tradable market</w:t>
            </w:r>
          </w:p>
        </w:tc>
      </w:tr>
      <w:tr>
        <w:trPr/>
        <w:tc>
          <w:tcPr>
            <w:tcW w:w="1906"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Metal recovery</w:t>
            </w:r>
          </w:p>
        </w:tc>
        <w:tc>
          <w:tcPr>
            <w:tcW w:w="173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$5-15/t waste</w:t>
            </w:r>
          </w:p>
        </w:tc>
        <w:tc>
          <w:tcPr>
            <w:tcW w:w="173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Commodity</w:t>
            </w:r>
          </w:p>
        </w:tc>
        <w:tc>
          <w:tcPr>
            <w:tcW w:w="329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Spot or contract</w:t>
            </w:r>
          </w:p>
        </w:tc>
      </w:tr>
    </w:tbl>
    <w:p>
      <w:pPr>
        <w:pStyle w:val="Caption"/>
        <w:keepLines/>
        <w:bidi w:val="0"/>
        <w:spacing w:before="120" w:after="240"/>
        <w:jc w:val="center"/>
        <w:rPr/>
      </w:pPr>
      <w:r>
        <w:rPr/>
        <w:t>Table 15: WtE revenue stream characteristics</w:t>
      </w:r>
    </w:p>
    <w:p>
      <w:pPr>
        <w:pStyle w:val="Heading3"/>
        <w:keepNext w:val="true"/>
        <w:keepLines/>
        <w:bidi w:val="0"/>
        <w:spacing w:before="280" w:after="120"/>
        <w:rPr/>
      </w:pPr>
      <w:r>
        <w:rPr/>
        <w:t>4.3.4 Levelized Cost of Energy (LCOE) Comparisons</w:t>
      </w:r>
    </w:p>
    <w:p>
      <w:pPr>
        <w:pStyle w:val="Normal"/>
        <w:bidi w:val="0"/>
        <w:spacing w:lineRule="auto" w:line="360" w:before="0" w:after="200"/>
        <w:ind w:firstLine="720"/>
        <w:jc w:val="both"/>
        <w:rPr/>
      </w:pPr>
      <w:r>
        <w:rPr/>
        <w:t>WtE LCOE ($60-150/MWh for electricity) is competitive with mid-range renewables (offshore wind, solar with storage) and below peaking natural gas in many markets, particularly when gate fee revenue is included as negative fuel cost. CHP configurations achieve lower effective energy costs through heat revenue, with levelized heat costs of $20-40/MWh in established district heating markets.</w:t>
      </w:r>
    </w:p>
    <w:p>
      <w:pPr>
        <w:pStyle w:val="Heading2"/>
        <w:keepNext w:val="true"/>
        <w:keepLines/>
        <w:bidi w:val="0"/>
        <w:spacing w:before="360" w:after="160"/>
        <w:rPr/>
      </w:pPr>
      <w:r>
        <w:rPr/>
        <w:t>4.4 Technology Selection Framework</w:t>
      </w:r>
    </w:p>
    <w:p>
      <w:pPr>
        <w:pStyle w:val="Heading3"/>
        <w:keepNext w:val="true"/>
        <w:keepLines/>
        <w:bidi w:val="0"/>
        <w:spacing w:before="280" w:after="120"/>
        <w:rPr/>
      </w:pPr>
      <w:r>
        <w:rPr/>
        <w:t>4.4.1 Waste Stream Characterization and Matching</w:t>
      </w:r>
    </w:p>
    <w:p>
      <w:pPr>
        <w:pStyle w:val="Normal"/>
        <w:bidi w:val="0"/>
        <w:spacing w:lineRule="auto" w:line="360" w:before="0" w:after="200"/>
        <w:ind w:firstLine="720"/>
        <w:jc w:val="both"/>
        <w:rPr/>
      </w:pPr>
      <w:r>
        <w:rPr/>
        <w:t>Technology selection begins with comprehensive waste characterization: composition (organic fraction, moisture, calorific value, contaminants); seasonal variation; generation rate and projection; and collection system configuration.</w:t>
      </w:r>
    </w:p>
    <w:tbl>
      <w:tblPr>
        <w:tblW w:w="5000" w:type="pct"/>
        <w:jc w:val="left"/>
        <w:tblInd w:w="0" w:type="dxa"/>
        <w:tblLayout w:type="fixed"/>
        <w:tblCellMar>
          <w:top w:w="80" w:type="dxa"/>
          <w:left w:w="100" w:type="dxa"/>
          <w:bottom w:w="80" w:type="dxa"/>
          <w:right w:w="100" w:type="dxa"/>
        </w:tblCellMar>
      </w:tblPr>
      <w:tblGrid>
        <w:gridCol w:w="3466"/>
        <w:gridCol w:w="5199"/>
      </w:tblGrid>
      <w:tr>
        <w:trPr>
          <w:tblHeader w:val="true"/>
        </w:trPr>
        <w:tc>
          <w:tcPr>
            <w:tcW w:w="346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Waste Characteristic</w:t>
            </w:r>
          </w:p>
        </w:tc>
        <w:tc>
          <w:tcPr>
            <w:tcW w:w="5199"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Favored Technology</w:t>
            </w:r>
          </w:p>
        </w:tc>
      </w:tr>
      <w:tr>
        <w:trPr/>
        <w:tc>
          <w:tcPr>
            <w:tcW w:w="346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High moisture (&gt;60%), high organic (&gt;70%)</w:t>
            </w:r>
          </w:p>
        </w:tc>
        <w:tc>
          <w:tcPr>
            <w:tcW w:w="519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Anaerobic digestion</w:t>
            </w:r>
          </w:p>
        </w:tc>
      </w:tr>
      <w:tr>
        <w:trPr/>
        <w:tc>
          <w:tcPr>
            <w:tcW w:w="346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Moderate moisture (40-60%), calorific (&gt;10 MJ/kg)</w:t>
            </w:r>
          </w:p>
        </w:tc>
        <w:tc>
          <w:tcPr>
            <w:tcW w:w="519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Mass-burn incineration</w:t>
            </w:r>
          </w:p>
        </w:tc>
      </w:tr>
      <w:tr>
        <w:trPr/>
        <w:tc>
          <w:tcPr>
            <w:tcW w:w="346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Low moisture (&lt;30%), high calorific (&gt;15 MJ/kg)</w:t>
            </w:r>
          </w:p>
        </w:tc>
        <w:tc>
          <w:tcPr>
            <w:tcW w:w="519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Gasification or pyrolysis</w:t>
            </w:r>
          </w:p>
        </w:tc>
      </w:tr>
      <w:tr>
        <w:trPr/>
        <w:tc>
          <w:tcPr>
            <w:tcW w:w="346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Very high calorific (&gt;20 MJ/kg), plastic-rich</w:t>
            </w:r>
          </w:p>
        </w:tc>
        <w:tc>
          <w:tcPr>
            <w:tcW w:w="5199"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RDF/SRF for cement kilns</w:t>
            </w:r>
          </w:p>
        </w:tc>
      </w:tr>
      <w:tr>
        <w:trPr/>
        <w:tc>
          <w:tcPr>
            <w:tcW w:w="3466"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Hazardous, medical, complex mixtures</w:t>
            </w:r>
          </w:p>
        </w:tc>
        <w:tc>
          <w:tcPr>
            <w:tcW w:w="5199"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Plasma arc or specialized incineration</w:t>
            </w:r>
          </w:p>
        </w:tc>
      </w:tr>
    </w:tbl>
    <w:p>
      <w:pPr>
        <w:pStyle w:val="Caption"/>
        <w:keepLines/>
        <w:bidi w:val="0"/>
        <w:spacing w:before="120" w:after="240"/>
        <w:jc w:val="center"/>
        <w:rPr/>
      </w:pPr>
      <w:r>
        <w:rPr/>
        <w:t>Table 16: Waste-technology matching guidance</w:t>
      </w:r>
    </w:p>
    <w:p>
      <w:pPr>
        <w:pStyle w:val="Heading3"/>
        <w:keepNext w:val="true"/>
        <w:keepLines/>
        <w:bidi w:val="0"/>
        <w:spacing w:before="280" w:after="120"/>
        <w:rPr/>
      </w:pPr>
      <w:r>
        <w:rPr/>
        <w:t>4.4.2 Scale and Siting Considerations</w:t>
      </w:r>
    </w:p>
    <w:p>
      <w:pPr>
        <w:pStyle w:val="Normal"/>
        <w:bidi w:val="0"/>
        <w:spacing w:lineRule="auto" w:line="360" w:before="0" w:after="200"/>
        <w:ind w:firstLine="720"/>
        <w:jc w:val="both"/>
        <w:rPr/>
      </w:pPr>
      <w:r>
        <w:rPr/>
        <w:t>Minimum economic scale varies by technology: mass-burn incineration (100,000-500,000 tpa for standalone, down to 50,000 tpa for modular); gasification (significant scale economies, typically &gt;200,000 tpa); anaerobic digestion (highly scalable, 10,000-500,000 tpa). Siting factors: waste collection optimization (minimize hauling distance); energy offtake proximity (grid connection, heat demand); environmental sensitivity (air quality, water resources); and community acceptance (visual impact, traffic, employment).</w:t>
      </w:r>
    </w:p>
    <w:p>
      <w:pPr>
        <w:pStyle w:val="Heading3"/>
        <w:keepNext w:val="true"/>
        <w:keepLines/>
        <w:bidi w:val="0"/>
        <w:spacing w:before="280" w:after="120"/>
        <w:rPr/>
      </w:pPr>
      <w:r>
        <w:rPr/>
        <w:t>4.4.3 Local Energy Market and Infrastructure Context</w:t>
      </w:r>
    </w:p>
    <w:p>
      <w:pPr>
        <w:pStyle w:val="Normal"/>
        <w:bidi w:val="0"/>
        <w:spacing w:lineRule="auto" w:line="360" w:before="0" w:after="200"/>
        <w:ind w:firstLine="720"/>
        <w:jc w:val="both"/>
        <w:rPr/>
      </w:pPr>
      <w:r>
        <w:rPr/>
        <w:t>Electricity market structure—regulated tariffs, competitive wholesale, capacity markets—fundamentally affects project economics. District heating infrastructure availability determines CHP viability: Northern Europe, China (northern cities), parts of North America and Russia offer favorable conditions; most of Southern Europe, North America, developing countries lack developed networks. Industrial steam demand—chemical, paper, food processing—provides alternative heat utilization pathway where geographically concentrated.</w:t>
      </w:r>
    </w:p>
    <w:p>
      <w:pPr>
        <w:pStyle w:val="Heading3"/>
        <w:keepNext w:val="true"/>
        <w:keepLines/>
        <w:bidi w:val="0"/>
        <w:spacing w:before="280" w:after="120"/>
        <w:rPr/>
      </w:pPr>
      <w:r>
        <w:rPr/>
        <w:t>4.4.4 Regulatory and Policy Environment</w:t>
      </w:r>
    </w:p>
    <w:p>
      <w:pPr>
        <w:pStyle w:val="Normal"/>
        <w:bidi w:val="0"/>
        <w:spacing w:lineRule="auto" w:line="360" w:before="0" w:after="200"/>
        <w:ind w:firstLine="720"/>
        <w:jc w:val="both"/>
        <w:rPr/>
      </w:pPr>
      <w:r>
        <w:rPr/>
        <w:t>Critical policy elements: landfill diversion targets or bans (create waste supply security); renewable energy recognition and support (improves revenue stability); emissions standards and enforcement (affects technology choice and cost); residue management regulations (enables or constrains valorization); and carbon pricing or emissions trading (values climate benefits). Policy stability and predictability—10-20 year horizons for major investments—is essential for investor confidence.</w:t>
      </w:r>
    </w:p>
    <w:p>
      <w:pPr>
        <w:pStyle w:val="Heading1"/>
        <w:keepNext w:val="true"/>
        <w:keepLines/>
        <w:bidi w:val="0"/>
        <w:spacing w:lineRule="auto" w:line="240" w:before="480" w:after="240"/>
        <w:jc w:val="center"/>
        <w:rPr/>
      </w:pPr>
      <w:r>
        <w:rPr/>
        <w:t>CHAPTER 5: WASTE RESIDUE VALORIZATION AND CIRCULAR ECONOMY INTEGRATION</w:t>
      </w:r>
    </w:p>
    <w:p>
      <w:pPr>
        <w:pStyle w:val="Heading2"/>
        <w:keepNext w:val="true"/>
        <w:keepLines/>
        <w:bidi w:val="0"/>
        <w:spacing w:before="360" w:after="160"/>
        <w:rPr/>
      </w:pPr>
      <w:r>
        <w:rPr/>
        <w:t>5.1 Incineration Bottom Ash (IBA) Utilization</w:t>
      </w:r>
    </w:p>
    <w:p>
      <w:pPr>
        <w:pStyle w:val="Heading3"/>
        <w:keepNext w:val="true"/>
        <w:keepLines/>
        <w:bidi w:val="0"/>
        <w:spacing w:before="280" w:after="120"/>
        <w:rPr/>
      </w:pPr>
      <w:r>
        <w:rPr/>
        <w:t>5.1.1 Physical and Chemical Characterization</w:t>
      </w:r>
    </w:p>
    <w:p>
      <w:pPr>
        <w:pStyle w:val="Normal"/>
        <w:bidi w:val="0"/>
        <w:spacing w:lineRule="auto" w:line="360" w:before="0" w:after="200"/>
        <w:ind w:firstLine="720"/>
        <w:jc w:val="both"/>
        <w:rPr/>
      </w:pPr>
      <w:r>
        <w:rPr/>
        <w:t>IBA composition reflects input waste and combustion conditions: mineral fraction (silicates, oxides, carbonates) 70-85%; metals (ferrous and non-ferrous) 5-15%; unburned carbon 1-5%; and glass/ceramics 5-15%. Particle size distribution is broad (0.1-100 mm), with grading curves suitable for road construction after processing. Chemical composition (typical ranges): SiO₂ 35-50%; CaO 15-30%; Al₂O₃ 8-15%; Fe₂O₃ 5-15%; and Na₂O+K₂O 3-8%.</w:t>
      </w:r>
    </w:p>
    <w:p>
      <w:pPr>
        <w:pStyle w:val="Heading3"/>
        <w:keepNext w:val="true"/>
        <w:keepLines/>
        <w:bidi w:val="0"/>
        <w:spacing w:before="280" w:after="120"/>
        <w:rPr/>
      </w:pPr>
      <w:r>
        <w:rPr/>
        <w:t>5.1.2 Metal Recovery Processes (Ferrous and Non-ferrous)</w:t>
      </w:r>
    </w:p>
    <w:p>
      <w:pPr>
        <w:pStyle w:val="Normal"/>
        <w:bidi w:val="0"/>
        <w:spacing w:lineRule="auto" w:line="360" w:before="0" w:after="200"/>
        <w:ind w:firstLine="720"/>
        <w:jc w:val="both"/>
        <w:rPr/>
      </w:pPr>
      <w:r>
        <w:rPr/>
        <w:t>Magnetic separation achieves &gt;90% ferrous metal recovery with conventional overband magnets and drum separators, producing scrap grades suitable for steel mill charging. Eddy current separation for non-ferrous metals—aluminum, copper, brass, zinc—achieves 30-50% recovery depending on particle size and liberation, with sensor-based sorting (X-ray transmission, induction) improving recovery of fine and complex fractions.</w:t>
      </w:r>
    </w:p>
    <w:p>
      <w:pPr>
        <w:pStyle w:val="Normal"/>
        <w:bidi w:val="0"/>
        <w:spacing w:lineRule="auto" w:line="360" w:before="0" w:after="200"/>
        <w:ind w:firstLine="720"/>
        <w:jc w:val="both"/>
        <w:rPr/>
      </w:pPr>
      <w:r>
        <w:rPr/>
        <w:t>Metal recovery economics: ferrous scrap value $100-250/t; aluminum $800-1,500/t; copper $5,000-8,000/t; with total metal recovery revenue of $10-30/t waste at typical recovery rates. Advanced processing—sink-float separation, sensor-based sorting, eddy current optimization—can increase recovery 20-40% with associated revenue enhancement.</w:t>
      </w:r>
    </w:p>
    <w:p>
      <w:pPr>
        <w:pStyle w:val="Heading3"/>
        <w:keepNext w:val="true"/>
        <w:keepLines/>
        <w:bidi w:val="0"/>
        <w:spacing w:before="280" w:after="120"/>
        <w:rPr/>
      </w:pPr>
      <w:r>
        <w:rPr/>
        <w:t>5.1.3 Road Construction and Pavement Applications</w:t>
      </w:r>
    </w:p>
    <w:p>
      <w:pPr>
        <w:pStyle w:val="Normal"/>
        <w:bidi w:val="0"/>
        <w:spacing w:lineRule="auto" w:line="360" w:before="0" w:after="200"/>
        <w:ind w:firstLine="720"/>
        <w:jc w:val="both"/>
        <w:rPr/>
      </w:pPr>
      <w:r>
        <w:rPr/>
        <w:t>Processed IBA meets technical specifications for unbound road construction layers: California Bearing Ratio &gt;80% (typically 100-200%); resilient modulus 150-400 MPa; and frost susceptibility acceptable for most climates. European applications follow national specifications: Netherlands (RAW 2015 permits IBA in road bases with leaching compliance); Germany (TL Gestein-StB limits to frost protection and sub-base); Denmark (extensive use with 10+ year performance validation).</w:t>
      </w:r>
    </w:p>
    <w:p>
      <w:pPr>
        <w:pStyle w:val="Normal"/>
        <w:bidi w:val="0"/>
        <w:spacing w:lineRule="auto" w:line="360" w:before="0" w:after="200"/>
        <w:ind w:firstLine="720"/>
        <w:jc w:val="both"/>
        <w:rPr/>
      </w:pPr>
      <w:r>
        <w:rPr/>
        <w:t>Singapore’s NEA IBA processing achieves soaked CBR 180-193%, substantially exceeding LTA minimum 30% for subbase, with successful field trial construction and ongoing performance monitoring. Processing protocol: aging (8-12 weeks); screening; metal removal; crushing/sieving; and chemical treatment for quality stabilization.</w:t>
      </w:r>
    </w:p>
    <w:p>
      <w:pPr>
        <w:pStyle w:val="Heading3"/>
        <w:keepNext w:val="true"/>
        <w:keepLines/>
        <w:bidi w:val="0"/>
        <w:spacing w:before="280" w:after="120"/>
        <w:rPr/>
      </w:pPr>
      <w:r>
        <w:rPr/>
        <w:t>5.1.4 Cement and Concrete Manufacturing</w:t>
      </w:r>
    </w:p>
    <w:p>
      <w:pPr>
        <w:pStyle w:val="Normal"/>
        <w:bidi w:val="0"/>
        <w:spacing w:lineRule="auto" w:line="360" w:before="0" w:after="200"/>
        <w:ind w:firstLine="720"/>
        <w:jc w:val="both"/>
        <w:rPr/>
      </w:pPr>
      <w:r>
        <w:rPr/>
        <w:t>IBA in cement manufacturing faces fundamental challenge: metallic aluminum content (2-8%) reacts with high pH cement environment producing hydrogen gas: 2Al + 2OH⁻ + 6H₂O → 2[Al(OH)₄]⁻ + 3H₂↑, causing concrete expansion, cracking, and strength loss. Research confirms substantial hydrogen evolution from both bottom ash and fly ash, precluding direct use in structural concrete without aluminum removal or passivation.</w:t>
      </w:r>
    </w:p>
    <w:p>
      <w:pPr>
        <w:pStyle w:val="Heading2"/>
        <w:keepNext w:val="true"/>
        <w:keepLines/>
        <w:bidi w:val="0"/>
        <w:spacing w:before="360" w:after="160"/>
        <w:rPr/>
      </w:pPr>
      <w:r>
        <w:rPr/>
        <w:t>5.2 Fly Ash and Air Pollution Control Residues</w:t>
      </w:r>
    </w:p>
    <w:p>
      <w:pPr>
        <w:pStyle w:val="Heading3"/>
        <w:keepNext w:val="true"/>
        <w:keepLines/>
        <w:bidi w:val="0"/>
        <w:spacing w:before="280" w:after="120"/>
        <w:rPr/>
      </w:pPr>
      <w:r>
        <w:rPr/>
        <w:t>5.2.1 Hazardous Characteristics and Stabilization</w:t>
      </w:r>
    </w:p>
    <w:p>
      <w:pPr>
        <w:pStyle w:val="Normal"/>
        <w:bidi w:val="0"/>
        <w:spacing w:lineRule="auto" w:line="360" w:before="0" w:after="200"/>
        <w:ind w:firstLine="720"/>
        <w:jc w:val="both"/>
        <w:rPr/>
      </w:pPr>
      <w:r>
        <w:rPr/>
        <w:t>Fly ash and APC residues contain elevated concentrations of: heavy metals (Zn, Pb, Cu, Cd, Hg—enriched 5-20× versus bottom ash); soluble salts (chlorides, sulfates); and organic micro-pollutants (dioxins, furans, PAHs). Leaching behavior—rapid initial release followed by slower diffusion-controlled release—requires stabilization before landfill disposal or restricted utilization.</w:t>
      </w:r>
    </w:p>
    <w:p>
      <w:pPr>
        <w:pStyle w:val="Normal"/>
        <w:bidi w:val="0"/>
        <w:spacing w:lineRule="auto" w:line="360" w:before="0" w:after="200"/>
        <w:ind w:firstLine="720"/>
        <w:jc w:val="both"/>
        <w:rPr/>
      </w:pPr>
      <w:r>
        <w:rPr/>
        <w:t>Stabilization technologies: cement solidification (encapsulation in cement matrix, 20-40% addition); chemical fixation (phosphate, sulfide, or chelating agent addition to reduce metal mobility); and thermal treatment (sintering at 1,000-1,200°C or vitrification at &gt;1,300°C). Thermal treatment achieves greatest volume reduction and leaching improvement but at substantial energy cost.</w:t>
      </w:r>
    </w:p>
    <w:p>
      <w:pPr>
        <w:pStyle w:val="Heading3"/>
        <w:keepNext w:val="true"/>
        <w:keepLines/>
        <w:bidi w:val="0"/>
        <w:spacing w:before="280" w:after="120"/>
        <w:rPr/>
      </w:pPr>
      <w:r>
        <w:rPr/>
        <w:t>5.2.2 Limited Reuse Pathways and Disposal Requirements</w:t>
      </w:r>
    </w:p>
    <w:p>
      <w:pPr>
        <w:pStyle w:val="Normal"/>
        <w:bidi w:val="0"/>
        <w:spacing w:lineRule="auto" w:line="360" w:before="0" w:after="200"/>
        <w:ind w:firstLine="720"/>
        <w:jc w:val="both"/>
        <w:rPr/>
      </w:pPr>
      <w:r>
        <w:rPr/>
        <w:t>Current utilization of fly ash/APC residues is limited: cement kiln co-processing (small quantities as raw material substitute); acid mine drainage treatment (neutralization and metal precipitation); and specialized construction products (limited markets, strict quality control). &gt;90% receives hazardous landfill disposal at costs of $100-500/t depending on jurisdiction and treatment requirements.</w:t>
      </w:r>
    </w:p>
    <w:p>
      <w:pPr>
        <w:pStyle w:val="Heading2"/>
        <w:keepNext w:val="true"/>
        <w:keepLines/>
        <w:bidi w:val="0"/>
        <w:spacing w:before="360" w:after="160"/>
        <w:rPr/>
      </w:pPr>
      <w:r>
        <w:rPr/>
        <w:t>5.3 Digestate from Anaerobic Digestion</w:t>
      </w:r>
    </w:p>
    <w:p>
      <w:pPr>
        <w:pStyle w:val="Heading3"/>
        <w:keepNext w:val="true"/>
        <w:keepLines/>
        <w:bidi w:val="0"/>
        <w:spacing w:before="280" w:after="120"/>
        <w:rPr/>
      </w:pPr>
      <w:r>
        <w:rPr/>
        <w:t>5.3.1 Nutrient Content and Agricultural Application</w:t>
      </w:r>
    </w:p>
    <w:p>
      <w:pPr>
        <w:pStyle w:val="Normal"/>
        <w:bidi w:val="0"/>
        <w:spacing w:lineRule="auto" w:line="360" w:before="0" w:after="200"/>
        <w:ind w:firstLine="720"/>
        <w:jc w:val="both"/>
        <w:rPr/>
      </w:pPr>
      <w:r>
        <w:rPr/>
        <w:t>Digestate nutrient content (typical ranges, fresh weight): total nitrogen 2.5-5.0 kg/t (60-80% ammonium-N, readily plant-available); P₂O₅ 1.0-2.5 kg/t; K₂O 2.0-4.0 kg/t; and organic matter 15-30%. Fertilizer replacement value: €15-40/t depending on nutrient content and local fertilizer prices. Agricultural application benefits: improved soil structure and water retention; reduced erosion risk; and slow-release nitrogen reducing leaching losses compared to mineral fertilizers.</w:t>
      </w:r>
    </w:p>
    <w:p>
      <w:pPr>
        <w:pStyle w:val="Heading3"/>
        <w:keepNext w:val="true"/>
        <w:keepLines/>
        <w:bidi w:val="0"/>
        <w:spacing w:before="280" w:after="120"/>
        <w:rPr/>
      </w:pPr>
      <w:r>
        <w:rPr/>
        <w:t>5.3.2 Composting and Soil Amendment Products</w:t>
      </w:r>
    </w:p>
    <w:p>
      <w:pPr>
        <w:pStyle w:val="Normal"/>
        <w:bidi w:val="0"/>
        <w:spacing w:lineRule="auto" w:line="360" w:before="0" w:after="200"/>
        <w:ind w:firstLine="720"/>
        <w:jc w:val="both"/>
        <w:rPr/>
      </w:pPr>
      <w:r>
        <w:rPr/>
        <w:t>Co-composting of digestate with structural materials (wood chips, green waste, straw) produces stabilized, marketable products: reduced moisture and volume; pathogen reduction through thermophilic temperatures; humic substance development; and improved handling and storage characteristics. Quality standards (national or industry—e.g., German RAL, French NF U 44-051) specify: maturity/stability indicators; contaminant limits; and hygienic requirements.</w:t>
      </w:r>
    </w:p>
    <w:p>
      <w:pPr>
        <w:pStyle w:val="Heading2"/>
        <w:keepNext w:val="true"/>
        <w:keepLines/>
        <w:bidi w:val="0"/>
        <w:spacing w:before="360" w:after="160"/>
        <w:rPr/>
      </w:pPr>
      <w:r>
        <w:rPr/>
        <w:t>5.4 Biochar from Pyrolysis and Gasification</w:t>
      </w:r>
    </w:p>
    <w:p>
      <w:pPr>
        <w:pStyle w:val="Heading3"/>
        <w:keepNext w:val="true"/>
        <w:keepLines/>
        <w:bidi w:val="0"/>
        <w:spacing w:before="280" w:after="120"/>
        <w:rPr/>
      </w:pPr>
      <w:r>
        <w:rPr/>
        <w:t>5.4.1 Carbon Sequestration and Soil Enhancement</w:t>
      </w:r>
    </w:p>
    <w:p>
      <w:pPr>
        <w:pStyle w:val="Normal"/>
        <w:bidi w:val="0"/>
        <w:spacing w:lineRule="auto" w:line="360" w:before="0" w:after="200"/>
        <w:ind w:firstLine="720"/>
        <w:jc w:val="both"/>
        <w:rPr/>
      </w:pPr>
      <w:r>
        <w:rPr/>
        <w:t>Biochar carbon stability—residence time in soil environment—varies with production conditions and soil characteristics: centuries to millennia for high-temperature (600-700°C) biochar with high aromaticity; decades to centuries for lower-temperature products. Carbon sequestration potential: 1-3 t CO₂e per t biochar applied, with emerging carbon credit markets (Puro.earth, Verra) providing revenue streams.</w:t>
      </w:r>
    </w:p>
    <w:p>
      <w:pPr>
        <w:pStyle w:val="Normal"/>
        <w:bidi w:val="0"/>
        <w:spacing w:lineRule="auto" w:line="360" w:before="0" w:after="200"/>
        <w:ind w:firstLine="720"/>
        <w:jc w:val="both"/>
        <w:rPr/>
      </w:pPr>
      <w:r>
        <w:rPr/>
        <w:t>Soil amendment benefits: water holding capacity increase 10-30% in sandy soils; nutrient retention and reduced leaching; pH adjustment in acidic soils; and microbial habitat provision. Meta-analyses indicate average crop yield increase of 10% with biochar application, though effects highly variable by soil type, climate, and crop.</w:t>
      </w:r>
    </w:p>
    <w:p>
      <w:pPr>
        <w:pStyle w:val="Heading2"/>
        <w:keepNext w:val="true"/>
        <w:keepLines/>
        <w:bidi w:val="0"/>
        <w:spacing w:before="360" w:after="160"/>
        <w:rPr/>
      </w:pPr>
      <w:r>
        <w:rPr/>
        <w:t>5.5 Industrial Slag and Metallurgical Wastes</w:t>
      </w:r>
    </w:p>
    <w:p>
      <w:pPr>
        <w:pStyle w:val="Heading3"/>
        <w:keepNext w:val="true"/>
        <w:keepLines/>
        <w:bidi w:val="0"/>
        <w:spacing w:before="280" w:after="120"/>
        <w:rPr/>
      </w:pPr>
      <w:r>
        <w:rPr/>
        <w:t>5.5.1 Blast Furnace and Steel Slag in Construction</w:t>
      </w:r>
    </w:p>
    <w:p>
      <w:pPr>
        <w:pStyle w:val="Normal"/>
        <w:bidi w:val="0"/>
        <w:spacing w:lineRule="auto" w:line="360" w:before="0" w:after="200"/>
        <w:ind w:firstLine="720"/>
        <w:jc w:val="both"/>
        <w:rPr/>
      </w:pPr>
      <w:r>
        <w:rPr/>
        <w:t>Blast furnace slag—byproduct of iron production—is extensively utilized in construction: aggregate in asphalt and concrete; cement component (ground granulated blast furnace slag, GGBFS); and soil stabilization. Annual global production ~300 million tonnes with &gt;70% utilization rate in developed countries. Technical advantages: high density and hardness; angular particle shape; cementitious properties; and established quality standards and supply chains.</w:t>
      </w:r>
    </w:p>
    <w:p>
      <w:pPr>
        <w:pStyle w:val="Heading3"/>
        <w:keepNext w:val="true"/>
        <w:keepLines/>
        <w:bidi w:val="0"/>
        <w:spacing w:before="280" w:after="120"/>
        <w:rPr/>
      </w:pPr>
      <w:r>
        <w:rPr/>
        <w:t>5.5.2 Ground Granulated Blast Furnace Slag (GGBFS) in Cement</w:t>
      </w:r>
    </w:p>
    <w:p>
      <w:pPr>
        <w:pStyle w:val="Normal"/>
        <w:bidi w:val="0"/>
        <w:spacing w:lineRule="auto" w:line="360" w:before="0" w:after="200"/>
        <w:ind w:firstLine="720"/>
        <w:jc w:val="both"/>
        <w:rPr/>
      </w:pPr>
      <w:r>
        <w:rPr/>
        <w:t>GGBFS—blast furnace slag ground to cement fineness—is widely used as supplementary cementitious material: 25-70% replacement of Portland cement in concrete; improved durability (reduced permeability, sulfate resistance, alkali-silica reaction mitigation); and reduced carbon footprint (~0.07 t CO₂/t GGBFS versus ~0.9 t CO₂/t Portland cement). Global production ~250 million tonnes annually, with established markets and pricing providing model for IBA valorization development.</w:t>
      </w:r>
    </w:p>
    <w:p>
      <w:pPr>
        <w:pStyle w:val="Heading2"/>
        <w:keepNext w:val="true"/>
        <w:keepLines/>
        <w:bidi w:val="0"/>
        <w:spacing w:before="360" w:after="160"/>
        <w:rPr/>
      </w:pPr>
      <w:r>
        <w:rPr/>
        <w:t>5.6 Waste Plastics in Infrastructure</w:t>
      </w:r>
    </w:p>
    <w:p>
      <w:pPr>
        <w:pStyle w:val="Heading3"/>
        <w:keepNext w:val="true"/>
        <w:keepLines/>
        <w:bidi w:val="0"/>
        <w:spacing w:before="280" w:after="120"/>
        <w:rPr/>
      </w:pPr>
      <w:r>
        <w:rPr/>
        <w:t>5.6.1 Plastic-Modified Asphalt (PMA) and Performance</w:t>
      </w:r>
    </w:p>
    <w:p>
      <w:pPr>
        <w:pStyle w:val="Normal"/>
        <w:bidi w:val="0"/>
        <w:spacing w:lineRule="auto" w:line="360" w:before="0" w:after="200"/>
        <w:ind w:firstLine="720"/>
        <w:jc w:val="both"/>
        <w:rPr/>
      </w:pPr>
      <w:r>
        <w:rPr/>
        <w:t>Plastic incorporation in asphalt—typically 0.5-2% by weight of mix—can improve performance: rutting resistance (increased stiffness at high temperatures); fatigue life (improved flexibility); and moisture damage resistance (depending on plastic type and compatibility). Processing methods: dry addition to hot mix (simplest, limited compatibility); wet blending with binder (better dispersion, requires modified binders); and chemically modified plastics (enhanced compatibility, higher cost).</w:t>
      </w:r>
    </w:p>
    <w:p>
      <w:pPr>
        <w:pStyle w:val="Heading3"/>
        <w:keepNext w:val="true"/>
        <w:keepLines/>
        <w:bidi w:val="0"/>
        <w:spacing w:before="280" w:after="120"/>
        <w:rPr/>
      </w:pPr>
      <w:r>
        <w:rPr/>
        <w:t>5.6.2 Plastic Aggregates in Concrete and Blocks</w:t>
      </w:r>
    </w:p>
    <w:p>
      <w:pPr>
        <w:pStyle w:val="Normal"/>
        <w:bidi w:val="0"/>
        <w:spacing w:lineRule="auto" w:line="360" w:before="0" w:after="200"/>
        <w:ind w:firstLine="720"/>
        <w:jc w:val="both"/>
        <w:rPr/>
      </w:pPr>
      <w:r>
        <w:rPr/>
        <w:t>Plastic aggregate replacement in concrete—typically 10-30% by volume of fine aggregate—produces lightweight concrete with reduced mechanical properties limiting structural applications. Non-structural applications: masonry blocks; paving stones; precast elements; and insulation products. Environmental benefit: plastic diversion from disposal; reduced natural aggregate demand; potential for carbon credit generation.</w:t>
      </w:r>
    </w:p>
    <w:p>
      <w:pPr>
        <w:pStyle w:val="Heading1"/>
        <w:keepNext w:val="true"/>
        <w:keepLines/>
        <w:bidi w:val="0"/>
        <w:spacing w:lineRule="auto" w:line="240" w:before="480" w:after="240"/>
        <w:jc w:val="center"/>
        <w:rPr/>
      </w:pPr>
      <w:r>
        <w:rPr/>
        <w:t>CHAPTER 6: ENVIRONMENTAL IMPACT AND SUSTAINABILITY ASSESSMENT</w:t>
      </w:r>
    </w:p>
    <w:p>
      <w:pPr>
        <w:pStyle w:val="Heading2"/>
        <w:keepNext w:val="true"/>
        <w:keepLines/>
        <w:bidi w:val="0"/>
        <w:spacing w:before="360" w:after="160"/>
        <w:rPr/>
      </w:pPr>
      <w:r>
        <w:rPr/>
        <w:t>6.1 Life Cycle Assessment Methodology</w:t>
      </w:r>
    </w:p>
    <w:p>
      <w:pPr>
        <w:pStyle w:val="Heading3"/>
        <w:keepNext w:val="true"/>
        <w:keepLines/>
        <w:bidi w:val="0"/>
        <w:spacing w:before="280" w:after="120"/>
        <w:rPr/>
      </w:pPr>
      <w:r>
        <w:rPr/>
        <w:t>6.1.1 System Boundaries and Functional Units</w:t>
      </w:r>
    </w:p>
    <w:p>
      <w:pPr>
        <w:pStyle w:val="Normal"/>
        <w:bidi w:val="0"/>
        <w:spacing w:lineRule="auto" w:line="360" w:before="0" w:after="200"/>
        <w:ind w:firstLine="720"/>
        <w:jc w:val="both"/>
        <w:rPr/>
      </w:pPr>
      <w:r>
        <w:rPr/>
        <w:t>LCA system boundaries for WtE critically affect comparative conclusions: attributional LCA (allocation of burdens to specific products) versus consequential LCA (system-wide effects of changes); foreground system (direct process inputs and outputs) versus background system (supply chain impacts); and temporal scope (annual average versus marginal/short-term effects). Functional unit selection: per tonne waste processed; per unit energy output; or per unit service provided (waste management + energy supply).</w:t>
      </w:r>
    </w:p>
    <w:p>
      <w:pPr>
        <w:pStyle w:val="Heading3"/>
        <w:keepNext w:val="true"/>
        <w:keepLines/>
        <w:bidi w:val="0"/>
        <w:spacing w:before="280" w:after="120"/>
        <w:rPr/>
      </w:pPr>
      <w:r>
        <w:rPr/>
        <w:t>6.1.2 Impact Categories and Characterization</w:t>
      </w:r>
    </w:p>
    <w:p>
      <w:pPr>
        <w:pStyle w:val="Normal"/>
        <w:bidi w:val="0"/>
        <w:spacing w:lineRule="auto" w:line="360" w:before="0" w:after="200"/>
        <w:ind w:firstLine="720"/>
        <w:jc w:val="both"/>
        <w:rPr/>
      </w:pPr>
      <w:r>
        <w:rPr/>
        <w:t>Standard LCA impact categories for WtE assessment: climate change (GWP 100, GWP 20, fossil and biogenic CO₂ separately); acidification (SO₂-equivalent); eutrophication (PO₄-equivalent); photochemical ozone formation (NMVOC-equivalent); particulate matter (PM₂.₅-equivalent); human toxicity (cancer and non-cancer); ecotoxicity (freshwater, marine, terrestrial); and resource depletion (fossil fuels, minerals, water). Emerging categories: land use; water use; circular economy indicators; and microplastic release.</w:t>
      </w:r>
    </w:p>
    <w:p>
      <w:pPr>
        <w:pStyle w:val="Heading2"/>
        <w:keepNext w:val="true"/>
        <w:keepLines/>
        <w:bidi w:val="0"/>
        <w:spacing w:before="360" w:after="160"/>
        <w:rPr/>
      </w:pPr>
      <w:r>
        <w:rPr/>
        <w:t>6.2 Greenhouse Gas Balance Analysis</w:t>
      </w:r>
    </w:p>
    <w:p>
      <w:pPr>
        <w:pStyle w:val="Heading3"/>
        <w:keepNext w:val="true"/>
        <w:keepLines/>
        <w:bidi w:val="0"/>
        <w:spacing w:before="280" w:after="120"/>
        <w:rPr/>
      </w:pPr>
      <w:r>
        <w:rPr/>
        <w:t>6.2.1 Fossil and Biogenic Carbon Accounting</w:t>
      </w:r>
    </w:p>
    <w:p>
      <w:pPr>
        <w:pStyle w:val="Normal"/>
        <w:bidi w:val="0"/>
        <w:spacing w:lineRule="auto" w:line="360" w:before="0" w:after="200"/>
        <w:ind w:firstLine="720"/>
        <w:jc w:val="both"/>
        <w:rPr/>
      </w:pPr>
      <w:r>
        <w:rPr/>
        <w:t>Distinguishing fossil and biogenic carbon is essential for accurate GHG accounting: fossil carbon (plastics, synthetic textiles, fossil-derived materials)—emissions count toward climate targets; biogenic carbon (food, paper, wood, natural textiles)—recent atmospheric CO₂ fixation, typically treated as carbon neutral in short-term accounting. Controversy and evolving practice: delayed emissions from long-lived wood products; carbon debt from biomass harvesting; and permanence of carbon storage in biochar or landfills.</w:t>
      </w:r>
    </w:p>
    <w:p>
      <w:pPr>
        <w:pStyle w:val="Heading3"/>
        <w:keepNext w:val="true"/>
        <w:keepLines/>
        <w:bidi w:val="0"/>
        <w:spacing w:before="280" w:after="120"/>
        <w:rPr/>
      </w:pPr>
      <w:r>
        <w:rPr/>
        <w:t>6.2.2 Avoided Emissions from Landfill Diversion</w:t>
      </w:r>
    </w:p>
    <w:p>
      <w:pPr>
        <w:pStyle w:val="Normal"/>
        <w:bidi w:val="0"/>
        <w:spacing w:lineRule="auto" w:line="360" w:before="0" w:after="200"/>
        <w:ind w:firstLine="720"/>
        <w:jc w:val="both"/>
        <w:rPr/>
      </w:pPr>
      <w:r>
        <w:rPr/>
        <w:t>Landfill methane avoidance is major GHG benefit of WtE: uncontrolled landfill: ~1,000 kg CO₂e/t waste; modern landfill with 75% gas capture: ~300 kg CO₂e/t; WtE substitution: avoids remaining fugitive emissions plus captures energy value. Temporal dynamics: landfill methane generation continues for decades, so current WtE benefits include avoided future emissions from waste that would otherwise be landfilled.</w:t>
      </w:r>
    </w:p>
    <w:p>
      <w:pPr>
        <w:pStyle w:val="Heading3"/>
        <w:keepNext w:val="true"/>
        <w:keepLines/>
        <w:bidi w:val="0"/>
        <w:spacing w:before="280" w:after="120"/>
        <w:rPr/>
      </w:pPr>
      <w:r>
        <w:rPr/>
        <w:t>6.2.3 Avoided Emissions from Fossil Fuel Displacement</w:t>
      </w:r>
    </w:p>
    <w:p>
      <w:pPr>
        <w:pStyle w:val="Normal"/>
        <w:bidi w:val="0"/>
        <w:spacing w:lineRule="auto" w:line="360" w:before="0" w:after="200"/>
        <w:ind w:firstLine="720"/>
        <w:jc w:val="both"/>
        <w:rPr/>
      </w:pPr>
      <w:r>
        <w:rPr/>
        <w:t>Energy displacement credit depends on marginal grid technology and temporal matching: coal-heavy grid (e.g., Poland, India): ~900 g CO₂/kWh; mixed grid (e.g., Germany, UK): ~400-500 g CO₂/kWh; renewable-heavy grid (e.g., Norway, Costa Rica): ~50-150 g CO₂/kWh. Declining grid carbon intensity in most developed countries reduces displacement credit over time, affecting long-term project economics and GHG performance.</w:t>
      </w:r>
    </w:p>
    <w:p>
      <w:pPr>
        <w:pStyle w:val="Heading3"/>
        <w:keepNext w:val="true"/>
        <w:keepLines/>
        <w:bidi w:val="0"/>
        <w:spacing w:before="280" w:after="120"/>
        <w:rPr/>
      </w:pPr>
      <w:r>
        <w:rPr/>
        <w:t>6.2.4 Net Carbon Footprint by Technology Pathway</w:t>
      </w:r>
    </w:p>
    <w:tbl>
      <w:tblPr>
        <w:tblW w:w="5000" w:type="pct"/>
        <w:jc w:val="left"/>
        <w:tblInd w:w="0" w:type="dxa"/>
        <w:tblLayout w:type="fixed"/>
        <w:tblCellMar>
          <w:top w:w="80" w:type="dxa"/>
          <w:left w:w="100" w:type="dxa"/>
          <w:bottom w:w="80" w:type="dxa"/>
          <w:right w:w="100" w:type="dxa"/>
        </w:tblCellMar>
      </w:tblPr>
      <w:tblGrid>
        <w:gridCol w:w="1906"/>
        <w:gridCol w:w="1560"/>
        <w:gridCol w:w="1733"/>
        <w:gridCol w:w="1733"/>
        <w:gridCol w:w="1734"/>
      </w:tblGrid>
      <w:tr>
        <w:trPr>
          <w:tblHeader w:val="true"/>
        </w:trPr>
        <w:tc>
          <w:tcPr>
            <w:tcW w:w="190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Pathway</w:t>
            </w:r>
          </w:p>
        </w:tc>
        <w:tc>
          <w:tcPr>
            <w:tcW w:w="156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Direct</w:t>
            </w:r>
          </w:p>
        </w:tc>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Avoided Landfill</w:t>
            </w:r>
          </w:p>
        </w:tc>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Avoided Energy</w:t>
            </w:r>
          </w:p>
        </w:tc>
        <w:tc>
          <w:tcPr>
            <w:tcW w:w="1734"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Net GHG</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Landfill, no recovery</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+1,257</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w:t>
            </w:r>
          </w:p>
        </w:tc>
        <w:tc>
          <w:tcPr>
            <w:tcW w:w="173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+1,257</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Landfill, 75% capture</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+314</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w:t>
            </w:r>
          </w:p>
        </w:tc>
        <w:tc>
          <w:tcPr>
            <w:tcW w:w="173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+314</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Incineration, power only</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+374</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-943</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-200 to -400</w:t>
            </w:r>
          </w:p>
        </w:tc>
        <w:tc>
          <w:tcPr>
            <w:tcW w:w="173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-770 to -570</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Incineration, CHP</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+374</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-943</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-400 to -600</w:t>
            </w:r>
          </w:p>
        </w:tc>
        <w:tc>
          <w:tcPr>
            <w:tcW w:w="173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-970 to -770</w:t>
            </w:r>
          </w:p>
        </w:tc>
      </w:tr>
      <w:tr>
        <w:trPr/>
        <w:tc>
          <w:tcPr>
            <w:tcW w:w="1906"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Anaerobic digestion</w:t>
            </w:r>
          </w:p>
        </w:tc>
        <w:tc>
          <w:tcPr>
            <w:tcW w:w="156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+100 to +200</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-800 to -1,000</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-150 to -300</w:t>
            </w:r>
          </w:p>
        </w:tc>
        <w:tc>
          <w:tcPr>
            <w:tcW w:w="1734"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-850 to -1,100</w:t>
            </w:r>
          </w:p>
        </w:tc>
      </w:tr>
      <w:tr>
        <w:trPr/>
        <w:tc>
          <w:tcPr>
            <w:tcW w:w="1906"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WtE + CCS</w:t>
            </w:r>
          </w:p>
        </w:tc>
        <w:tc>
          <w:tcPr>
            <w:tcW w:w="156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+37 to +100</w:t>
            </w:r>
          </w:p>
        </w:tc>
        <w:tc>
          <w:tcPr>
            <w:tcW w:w="173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-943</w:t>
            </w:r>
          </w:p>
        </w:tc>
        <w:tc>
          <w:tcPr>
            <w:tcW w:w="173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-300 to -500</w:t>
            </w:r>
          </w:p>
        </w:tc>
        <w:tc>
          <w:tcPr>
            <w:tcW w:w="1734"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-1,200 to -1,400</w:t>
            </w:r>
          </w:p>
        </w:tc>
      </w:tr>
    </w:tbl>
    <w:p>
      <w:pPr>
        <w:pStyle w:val="Caption"/>
        <w:keepLines/>
        <w:bidi w:val="0"/>
        <w:spacing w:before="120" w:after="240"/>
        <w:jc w:val="center"/>
        <w:rPr/>
      </w:pPr>
      <w:r>
        <w:rPr/>
        <w:t>Table 17: Illustrative net GHG balance by WtE pathway (developed country context, 500 g CO₂/kWh grid)</w:t>
      </w:r>
    </w:p>
    <w:p>
      <w:pPr>
        <w:pStyle w:val="Heading3"/>
        <w:keepNext w:val="true"/>
        <w:keepLines/>
        <w:bidi w:val="0"/>
        <w:spacing w:before="280" w:after="120"/>
        <w:rPr/>
      </w:pPr>
      <w:r>
        <w:rPr/>
        <w:t>6.2.5 Potential for Carbon Capture and Storage (CCS) Integration</w:t>
      </w:r>
    </w:p>
    <w:p>
      <w:pPr>
        <w:pStyle w:val="Normal"/>
        <w:bidi w:val="0"/>
        <w:spacing w:lineRule="auto" w:line="360" w:before="0" w:after="200"/>
        <w:ind w:firstLine="720"/>
        <w:jc w:val="both"/>
        <w:rPr/>
      </w:pPr>
      <w:r>
        <w:rPr/>
        <w:t>WtE-CCS technical configurations: post-combustion amine scrubbing (most mature, 52% energy penalty); oxy-fuel combustion (eliminates nitrogen dilution, simplifies capture); pre-combustion (gasification with shift) (higher concentration, lower capture cost); and calcium looping or other emerging technologies. Capture costs: $50-100/t CO₂ for post-combustion; potentially $30-60/t for advanced configurations.</w:t>
      </w:r>
    </w:p>
    <w:p>
      <w:pPr>
        <w:pStyle w:val="Normal"/>
        <w:bidi w:val="0"/>
        <w:spacing w:lineRule="auto" w:line="360" w:before="0" w:after="200"/>
        <w:ind w:firstLine="720"/>
        <w:jc w:val="both"/>
        <w:rPr/>
      </w:pPr>
      <w:r>
        <w:rPr/>
        <w:t>Negative emissions potential: biogenic carbon capture creates atmospheric CO₂ removal; 0.5-1.0 t CO₂ per t waste depending on biogenic fraction and capture rate; strategically valuable for net-zero targets. Policy support needed: carbon credit mechanisms recognizing negative emissions; infrastructure for CO₂ transport and storage; and long-term liability frameworks.</w:t>
      </w:r>
    </w:p>
    <w:p>
      <w:pPr>
        <w:pStyle w:val="Heading2"/>
        <w:keepNext w:val="true"/>
        <w:keepLines/>
        <w:bidi w:val="0"/>
        <w:spacing w:before="360" w:after="160"/>
        <w:rPr/>
      </w:pPr>
      <w:r>
        <w:rPr/>
        <w:t>6.3 Air Quality Impacts</w:t>
      </w:r>
    </w:p>
    <w:p>
      <w:pPr>
        <w:pStyle w:val="Heading3"/>
        <w:keepNext w:val="true"/>
        <w:keepLines/>
        <w:bidi w:val="0"/>
        <w:spacing w:before="280" w:after="120"/>
        <w:rPr/>
      </w:pPr>
      <w:r>
        <w:rPr/>
        <w:t>6.3.1 Criteria Pollutant Emissions (NOx, SOx, PM, CO, VOCs)</w:t>
      </w:r>
    </w:p>
    <w:p>
      <w:pPr>
        <w:pStyle w:val="Normal"/>
        <w:bidi w:val="0"/>
        <w:spacing w:lineRule="auto" w:line="360" w:before="0" w:after="200"/>
        <w:ind w:firstLine="720"/>
        <w:jc w:val="both"/>
        <w:rPr/>
      </w:pPr>
      <w:r>
        <w:rPr/>
        <w:t>Modern WtE plants achieve emission levels at or below most stringent standards: NOx: &lt;50-100 mg/Nm³ (EU limit 200 mg/Nm³); SO₂: &lt;20-50 mg/Nm³ (limit 50 mg/Nm³); PM: &lt;5-10 mg/Nm³ (limit 10 mg/Nm³); and CO: &lt;20-50 mg/Nm³ (limit 50 mg/Nm³). Continuous improvement: European sector NOx emissions decreased 80% 1990-2020 despite capacity doubling.</w:t>
      </w:r>
    </w:p>
    <w:p>
      <w:pPr>
        <w:pStyle w:val="Heading3"/>
        <w:keepNext w:val="true"/>
        <w:keepLines/>
        <w:bidi w:val="0"/>
        <w:spacing w:before="280" w:after="120"/>
        <w:rPr/>
      </w:pPr>
      <w:r>
        <w:rPr/>
        <w:t>6.3.2 Heavy Metals and Persistent Organic Pollutants</w:t>
      </w:r>
    </w:p>
    <w:p>
      <w:pPr>
        <w:pStyle w:val="Normal"/>
        <w:bidi w:val="0"/>
        <w:spacing w:lineRule="auto" w:line="360" w:before="0" w:after="200"/>
        <w:ind w:firstLine="720"/>
        <w:jc w:val="both"/>
        <w:rPr/>
      </w:pPr>
      <w:r>
        <w:rPr/>
        <w:t>Heavy metal emissions: Hg, Cd, Pb, Cr, As, Ni—modern plants achieve &gt;99% removal with activated carbon injection and fabric filtration; residual emissions well below health-based guidelines. Dioxins and furans: &lt;0.1 ng TEQ/Nm³ routine achievement; European sector total emissions &lt;1 g TEQ/year from &gt;500 plants processing 100+ million tonnes.</w:t>
      </w:r>
    </w:p>
    <w:p>
      <w:pPr>
        <w:pStyle w:val="Heading3"/>
        <w:keepNext w:val="true"/>
        <w:keepLines/>
        <w:bidi w:val="0"/>
        <w:spacing w:before="280" w:after="120"/>
        <w:rPr/>
      </w:pPr>
      <w:r>
        <w:rPr/>
        <w:t>6.3.3 Emerging Contaminants (PFAS, Microplastics)</w:t>
      </w:r>
    </w:p>
    <w:p>
      <w:pPr>
        <w:pStyle w:val="Normal"/>
        <w:bidi w:val="0"/>
        <w:spacing w:lineRule="auto" w:line="360" w:before="0" w:after="200"/>
        <w:ind w:firstLine="720"/>
        <w:jc w:val="both"/>
        <w:rPr/>
      </w:pPr>
      <w:r>
        <w:rPr/>
        <w:t>PFAS in waste streams: widespread in consumer products, food packaging, textiles; thermal stability complicates destruction; incomplete combustion may generate fluorinated organic compounds. Research priority: PFAS fate in WtE systems; emission factors and control effectiveness; and management strategies for PFAS-rich waste streams.</w:t>
      </w:r>
    </w:p>
    <w:p>
      <w:pPr>
        <w:pStyle w:val="Heading2"/>
        <w:keepNext w:val="true"/>
        <w:keepLines/>
        <w:bidi w:val="0"/>
        <w:spacing w:before="360" w:after="160"/>
        <w:rPr/>
      </w:pPr>
      <w:r>
        <w:rPr/>
        <w:t>6.4 Water and Soil Protection</w:t>
      </w:r>
    </w:p>
    <w:p>
      <w:pPr>
        <w:pStyle w:val="Heading3"/>
        <w:keepNext w:val="true"/>
        <w:keepLines/>
        <w:bidi w:val="0"/>
        <w:spacing w:before="280" w:after="120"/>
        <w:rPr/>
      </w:pPr>
      <w:r>
        <w:rPr/>
        <w:t>6.4.1 Wastewater Treatment and Discharge</w:t>
      </w:r>
    </w:p>
    <w:p>
      <w:pPr>
        <w:pStyle w:val="Normal"/>
        <w:bidi w:val="0"/>
        <w:spacing w:lineRule="auto" w:line="360" w:before="0" w:after="200"/>
        <w:ind w:firstLine="720"/>
        <w:jc w:val="both"/>
        <w:rPr/>
      </w:pPr>
      <w:r>
        <w:rPr/>
        <w:t>WtE wastewater streams: flue gas treatment blowdown (high dissolved solids, heavy metals); boiler blowdown (moderate TDS, temperature); cooling water discharge (thermal, biocides); and site runoff (potential contamination). Treatment approaches: physical-chemical precipitation for metals and solids; biological treatment for organics; evaporation/crystallization for zero liquid discharge; and reuse/recycle where feasible.</w:t>
      </w:r>
    </w:p>
    <w:p>
      <w:pPr>
        <w:pStyle w:val="Heading3"/>
        <w:keepNext w:val="true"/>
        <w:keepLines/>
        <w:bidi w:val="0"/>
        <w:spacing w:before="280" w:after="120"/>
        <w:rPr/>
      </w:pPr>
      <w:r>
        <w:rPr/>
        <w:t>6.4.2 Leachate Management from Residual Landfills</w:t>
      </w:r>
    </w:p>
    <w:p>
      <w:pPr>
        <w:pStyle w:val="Normal"/>
        <w:bidi w:val="0"/>
        <w:spacing w:lineRule="auto" w:line="360" w:before="0" w:after="200"/>
        <w:ind w:firstLine="720"/>
        <w:jc w:val="both"/>
        <w:rPr/>
      </w:pPr>
      <w:r>
        <w:rPr/>
        <w:t>Even with maximum WtE and recycling, residual landfills remain necessary: APC residues, fly ash, contaminated soils, construction debris. Modern landfill engineering: composite liner systems (clay + geomembrane); leachate collection and treatment; gas collection and utilization; and post-closure care and monitoring. Leachate treatment: biological processes for organics and nitrogen; membrane processes for salts and recalcitrant compounds; and evaporation/crystallization for zero discharge.</w:t>
      </w:r>
    </w:p>
    <w:p>
      <w:pPr>
        <w:pStyle w:val="Heading2"/>
        <w:keepNext w:val="true"/>
        <w:keepLines/>
        <w:bidi w:val="0"/>
        <w:spacing w:before="360" w:after="160"/>
        <w:rPr/>
      </w:pPr>
      <w:r>
        <w:rPr/>
        <w:t>6.5 Biodiversity and Land Use Considerations</w:t>
      </w:r>
    </w:p>
    <w:p>
      <w:pPr>
        <w:pStyle w:val="Normal"/>
        <w:bidi w:val="0"/>
        <w:spacing w:lineRule="auto" w:line="360" w:before="0" w:after="200"/>
        <w:ind w:firstLine="720"/>
        <w:jc w:val="both"/>
        <w:rPr/>
      </w:pPr>
      <w:r>
        <w:rPr/>
        <w:t>WtE land use efficiency: ~0.1-0.3 ha per 100,000 tpa capacity for plant and associated infrastructure; substantially lower than landfill (~10-30 ha for equivalent capacity). Biodiversity impacts: site-specific (habitat loss, fragmentation); generally manageable with appropriate siting and mitigation; and offset by avoided landfill land use.</w:t>
      </w:r>
    </w:p>
    <w:p>
      <w:pPr>
        <w:pStyle w:val="Heading1"/>
        <w:keepNext w:val="true"/>
        <w:keepLines/>
        <w:bidi w:val="0"/>
        <w:spacing w:lineRule="auto" w:line="240" w:before="480" w:after="240"/>
        <w:jc w:val="center"/>
        <w:rPr/>
      </w:pPr>
      <w:r>
        <w:rPr/>
        <w:t>CHAPTER 7: ECONOMIC AND MARKET ANALYSIS</w:t>
      </w:r>
    </w:p>
    <w:p>
      <w:pPr>
        <w:pStyle w:val="Heading2"/>
        <w:keepNext w:val="true"/>
        <w:keepLines/>
        <w:bidi w:val="0"/>
        <w:spacing w:before="360" w:after="160"/>
        <w:rPr/>
      </w:pPr>
      <w:r>
        <w:rPr/>
        <w:t>7.1 Global Waste-to-Energy Market Overview</w:t>
      </w:r>
    </w:p>
    <w:p>
      <w:pPr>
        <w:pStyle w:val="Heading3"/>
        <w:keepNext w:val="true"/>
        <w:keepLines/>
        <w:bidi w:val="0"/>
        <w:spacing w:before="280" w:after="120"/>
        <w:rPr/>
      </w:pPr>
      <w:r>
        <w:rPr/>
        <w:t>7.1.1 Market Size and Growth Projections</w:t>
      </w:r>
    </w:p>
    <w:p>
      <w:pPr>
        <w:pStyle w:val="Normal"/>
        <w:bidi w:val="0"/>
        <w:spacing w:lineRule="auto" w:line="360" w:before="0" w:after="200"/>
        <w:ind w:firstLine="720"/>
        <w:jc w:val="both"/>
        <w:rPr/>
      </w:pPr>
      <w:r>
        <w:rPr/>
        <w:t>Global WtE market: ~$35-40 billion annually (2023); projected growth to $50-60 billion by 2030 at 4-6% CAGR. Capacity expansion: ~300 million tonnes annual processing capacity currently; potential doubling by 2030 with accelerated deployment in Asia and emerging markets. Investment requirements: $150-250 billion cumulative 2024-2030 for capacity expansion and modernization.</w:t>
      </w:r>
    </w:p>
    <w:p>
      <w:pPr>
        <w:pStyle w:val="Heading3"/>
        <w:keepNext w:val="true"/>
        <w:keepLines/>
        <w:bidi w:val="0"/>
        <w:spacing w:before="280" w:after="120"/>
        <w:rPr/>
      </w:pPr>
      <w:r>
        <w:rPr/>
        <w:t>7.1.2 Regional Market Dynamics</w:t>
      </w:r>
    </w:p>
    <w:tbl>
      <w:tblPr>
        <w:tblW w:w="5000" w:type="pct"/>
        <w:jc w:val="left"/>
        <w:tblInd w:w="0" w:type="dxa"/>
        <w:tblLayout w:type="fixed"/>
        <w:tblCellMar>
          <w:top w:w="80" w:type="dxa"/>
          <w:left w:w="100" w:type="dxa"/>
          <w:bottom w:w="80" w:type="dxa"/>
          <w:right w:w="100" w:type="dxa"/>
        </w:tblCellMar>
      </w:tblPr>
      <w:tblGrid>
        <w:gridCol w:w="1733"/>
        <w:gridCol w:w="1386"/>
        <w:gridCol w:w="1387"/>
        <w:gridCol w:w="2080"/>
        <w:gridCol w:w="2080"/>
      </w:tblGrid>
      <w:tr>
        <w:trPr>
          <w:tblHeader w:val="true"/>
        </w:trPr>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Region</w:t>
            </w:r>
          </w:p>
        </w:tc>
        <w:tc>
          <w:tcPr>
            <w:tcW w:w="138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Market Share (%)</w:t>
            </w:r>
          </w:p>
        </w:tc>
        <w:tc>
          <w:tcPr>
            <w:tcW w:w="1387"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Growth (%)</w:t>
            </w:r>
          </w:p>
        </w:tc>
        <w:tc>
          <w:tcPr>
            <w:tcW w:w="208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Key Drivers</w:t>
            </w:r>
          </w:p>
        </w:tc>
        <w:tc>
          <w:tcPr>
            <w:tcW w:w="2080"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Technology</w:t>
            </w:r>
          </w:p>
        </w:tc>
      </w:tr>
      <w:tr>
        <w:trPr/>
        <w:tc>
          <w:tcPr>
            <w:tcW w:w="173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Europe</w:t>
            </w:r>
          </w:p>
        </w:tc>
        <w:tc>
          <w:tcPr>
            <w:tcW w:w="138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35</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2-3</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Modernization, CCS</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Grate, gasification</w:t>
            </w:r>
          </w:p>
        </w:tc>
      </w:tr>
      <w:tr>
        <w:trPr/>
        <w:tc>
          <w:tcPr>
            <w:tcW w:w="173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Asia-Pacific</w:t>
            </w:r>
          </w:p>
        </w:tc>
        <w:tc>
          <w:tcPr>
            <w:tcW w:w="138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40</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8-12</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Urbanization, policy</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Grate, CFB</w:t>
            </w:r>
          </w:p>
        </w:tc>
      </w:tr>
      <w:tr>
        <w:trPr/>
        <w:tc>
          <w:tcPr>
            <w:tcW w:w="173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North America</w:t>
            </w:r>
          </w:p>
        </w:tc>
        <w:tc>
          <w:tcPr>
            <w:tcW w:w="138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15</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3-5</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Capacity constraints</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Mass-burn</w:t>
            </w:r>
          </w:p>
        </w:tc>
      </w:tr>
      <w:tr>
        <w:trPr/>
        <w:tc>
          <w:tcPr>
            <w:tcW w:w="173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Middle East &amp; Africa</w:t>
            </w:r>
          </w:p>
        </w:tc>
        <w:tc>
          <w:tcPr>
            <w:tcW w:w="138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5</w:t>
            </w:r>
          </w:p>
        </w:tc>
        <w:tc>
          <w:tcPr>
            <w:tcW w:w="1387"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10-15</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Waste crisis</w:t>
            </w:r>
          </w:p>
        </w:tc>
        <w:tc>
          <w:tcPr>
            <w:tcW w:w="2080"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Emerging</w:t>
            </w:r>
          </w:p>
        </w:tc>
      </w:tr>
      <w:tr>
        <w:trPr/>
        <w:tc>
          <w:tcPr>
            <w:tcW w:w="1733"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Latin America</w:t>
            </w:r>
          </w:p>
        </w:tc>
        <w:tc>
          <w:tcPr>
            <w:tcW w:w="1386"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5</w:t>
            </w:r>
          </w:p>
        </w:tc>
        <w:tc>
          <w:tcPr>
            <w:tcW w:w="1387"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5-8</w:t>
            </w:r>
          </w:p>
        </w:tc>
        <w:tc>
          <w:tcPr>
            <w:tcW w:w="208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Urbanization</w:t>
            </w:r>
          </w:p>
        </w:tc>
        <w:tc>
          <w:tcPr>
            <w:tcW w:w="2080"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Early stage</w:t>
            </w:r>
          </w:p>
        </w:tc>
      </w:tr>
    </w:tbl>
    <w:p>
      <w:pPr>
        <w:pStyle w:val="Caption"/>
        <w:keepLines/>
        <w:bidi w:val="0"/>
        <w:spacing w:before="120" w:after="240"/>
        <w:jc w:val="center"/>
        <w:rPr/>
      </w:pPr>
      <w:r>
        <w:rPr/>
        <w:t>Table 18: Regional WtE market characteristics</w:t>
      </w:r>
    </w:p>
    <w:p>
      <w:pPr>
        <w:pStyle w:val="Heading2"/>
        <w:keepNext w:val="true"/>
        <w:keepLines/>
        <w:bidi w:val="0"/>
        <w:spacing w:before="360" w:after="160"/>
        <w:rPr/>
      </w:pPr>
      <w:r>
        <w:rPr/>
        <w:t>7.2 Investment and Financing Trends</w:t>
      </w:r>
    </w:p>
    <w:p>
      <w:pPr>
        <w:pStyle w:val="Heading3"/>
        <w:keepNext w:val="true"/>
        <w:keepLines/>
        <w:bidi w:val="0"/>
        <w:spacing w:before="280" w:after="120"/>
        <w:rPr/>
      </w:pPr>
      <w:r>
        <w:rPr/>
        <w:t>7.2.1 Public and Private Investment Flows</w:t>
      </w:r>
    </w:p>
    <w:p>
      <w:pPr>
        <w:pStyle w:val="Normal"/>
        <w:bidi w:val="0"/>
        <w:spacing w:lineRule="auto" w:line="360" w:before="0" w:after="200"/>
        <w:ind w:firstLine="720"/>
        <w:jc w:val="both"/>
        <w:rPr/>
      </w:pPr>
      <w:r>
        <w:rPr/>
        <w:t>Investment sources: municipal/public (40-50% in Europe); private developers/IPPs (30-40%); multilateral development banks (10-15% in emerging markets); and green bonds/sustainable finance (5-10%, growing rapidly). Chinese investment dominance: &gt;50% of global WtE capital expenditure 2015-2023; domestic financing, technology localization.</w:t>
      </w:r>
    </w:p>
    <w:p>
      <w:pPr>
        <w:pStyle w:val="Heading3"/>
        <w:keepNext w:val="true"/>
        <w:keepLines/>
        <w:bidi w:val="0"/>
        <w:spacing w:before="280" w:after="120"/>
        <w:rPr/>
      </w:pPr>
      <w:r>
        <w:rPr/>
        <w:t>7.2.2 Project Finance Structures</w:t>
      </w:r>
    </w:p>
    <w:p>
      <w:pPr>
        <w:pStyle w:val="Normal"/>
        <w:bidi w:val="0"/>
        <w:spacing w:lineRule="auto" w:line="360" w:before="0" w:after="200"/>
        <w:ind w:firstLine="720"/>
        <w:jc w:val="both"/>
        <w:rPr/>
      </w:pPr>
      <w:r>
        <w:rPr/>
        <w:t>Typical WtE project finance: debt:equity ratio 70:30 to 80:20; tenor 15-20 years matching concession/contract duration; all-in cost of debt 4-8% depending on market and risk profile; and equity IRR requirements 10-15%. Key credit enhancements: waste supply agreements with investment-grade counterparties; power purchase agreements or regulated tariffs; completion guarantees from EPC contractors; and political risk insurance for emerging markets.</w:t>
      </w:r>
    </w:p>
    <w:p>
      <w:pPr>
        <w:pStyle w:val="Heading3"/>
        <w:keepNext w:val="true"/>
        <w:keepLines/>
        <w:bidi w:val="0"/>
        <w:spacing w:before="280" w:after="120"/>
        <w:rPr/>
      </w:pPr>
      <w:r>
        <w:rPr/>
        <w:t>7.2.3 Green Bonds and Sustainable Finance</w:t>
      </w:r>
    </w:p>
    <w:p>
      <w:pPr>
        <w:pStyle w:val="Normal"/>
        <w:bidi w:val="0"/>
        <w:spacing w:lineRule="auto" w:line="360" w:before="0" w:after="200"/>
        <w:ind w:firstLine="720"/>
        <w:jc w:val="both"/>
        <w:rPr/>
      </w:pPr>
      <w:r>
        <w:rPr/>
        <w:t>Green bond issuance for WtE: growing but constrained by eligibility criteria; EU Taxonomy exclusion of unabated incineration from substantial climate contribution; inclusion possible with CCS or exceptional efficiency. Sustainability-linked bonds: alternative structure with performance targets (GHG intensity, residue utilization) affecting coupon. Blended finance: concessional capital de-risking projects to attract commercial investment in emerging markets.</w:t>
      </w:r>
    </w:p>
    <w:p>
      <w:pPr>
        <w:pStyle w:val="Heading2"/>
        <w:keepNext w:val="true"/>
        <w:keepLines/>
        <w:bidi w:val="0"/>
        <w:spacing w:before="360" w:after="160"/>
        <w:rPr/>
      </w:pPr>
      <w:r>
        <w:rPr/>
        <w:t>7.3 Cost Competitiveness</w:t>
      </w:r>
    </w:p>
    <w:p>
      <w:pPr>
        <w:pStyle w:val="Heading3"/>
        <w:keepNext w:val="true"/>
        <w:keepLines/>
        <w:bidi w:val="0"/>
        <w:spacing w:before="280" w:after="120"/>
        <w:rPr/>
      </w:pPr>
      <w:r>
        <w:rPr/>
        <w:t>7.3.1 Comparison with Alternative Waste Management Options</w:t>
      </w:r>
    </w:p>
    <w:tbl>
      <w:tblPr>
        <w:tblW w:w="5000" w:type="pct"/>
        <w:jc w:val="left"/>
        <w:tblInd w:w="0" w:type="dxa"/>
        <w:tblLayout w:type="fixed"/>
        <w:tblCellMar>
          <w:top w:w="80" w:type="dxa"/>
          <w:left w:w="100" w:type="dxa"/>
          <w:bottom w:w="80" w:type="dxa"/>
          <w:right w:w="100" w:type="dxa"/>
        </w:tblCellMar>
      </w:tblPr>
      <w:tblGrid>
        <w:gridCol w:w="2253"/>
        <w:gridCol w:w="1733"/>
        <w:gridCol w:w="2426"/>
        <w:gridCol w:w="2253"/>
      </w:tblGrid>
      <w:tr>
        <w:trPr>
          <w:tblHeader w:val="true"/>
        </w:trPr>
        <w:tc>
          <w:tcPr>
            <w:tcW w:w="225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Option</w:t>
            </w:r>
          </w:p>
        </w:tc>
        <w:tc>
          <w:tcPr>
            <w:tcW w:w="173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Cost ($/t waste)</w:t>
            </w:r>
          </w:p>
        </w:tc>
        <w:tc>
          <w:tcPr>
            <w:tcW w:w="2426"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Key Cost Components</w:t>
            </w:r>
          </w:p>
        </w:tc>
        <w:tc>
          <w:tcPr>
            <w:tcW w:w="2253" w:type="dxa"/>
            <w:tcBorders>
              <w:top w:val="single" w:sz="12" w:space="0" w:color="2C5282"/>
              <w:bottom w:val="single" w:sz="4" w:space="0" w:color="CCCCCC"/>
            </w:tcBorders>
            <w:shd w:fill="E2E8F0" w:val="clear"/>
            <w:vAlign w:val="center"/>
          </w:tcPr>
          <w:p>
            <w:pPr>
              <w:pStyle w:val="Normal"/>
              <w:widowControl w:val="false"/>
              <w:bidi w:val="0"/>
              <w:spacing w:before="0" w:after="0"/>
              <w:jc w:val="center"/>
              <w:rPr/>
            </w:pPr>
            <w:r>
              <w:rPr>
                <w:b/>
                <w:sz w:val="22"/>
              </w:rPr>
              <w:t>Environmental Performance</w:t>
            </w:r>
          </w:p>
        </w:tc>
      </w:tr>
      <w:tr>
        <w:trPr/>
        <w:tc>
          <w:tcPr>
            <w:tcW w:w="225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Open dumping</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0-10</w:t>
            </w:r>
          </w:p>
        </w:tc>
        <w:tc>
          <w:tcPr>
            <w:tcW w:w="24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Minimal</w:t>
            </w:r>
          </w:p>
        </w:tc>
        <w:tc>
          <w:tcPr>
            <w:tcW w:w="225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Very poor</w:t>
            </w:r>
          </w:p>
        </w:tc>
      </w:tr>
      <w:tr>
        <w:trPr/>
        <w:tc>
          <w:tcPr>
            <w:tcW w:w="225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Uncontrolled landfill</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10-30</w:t>
            </w:r>
          </w:p>
        </w:tc>
        <w:tc>
          <w:tcPr>
            <w:tcW w:w="24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Land, basic lining</w:t>
            </w:r>
          </w:p>
        </w:tc>
        <w:tc>
          <w:tcPr>
            <w:tcW w:w="225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Poor</w:t>
            </w:r>
          </w:p>
        </w:tc>
      </w:tr>
      <w:tr>
        <w:trPr/>
        <w:tc>
          <w:tcPr>
            <w:tcW w:w="225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Sanitary landfill with gas recovery</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30-80</w:t>
            </w:r>
          </w:p>
        </w:tc>
        <w:tc>
          <w:tcPr>
            <w:tcW w:w="24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Engineering, monitoring</w:t>
            </w:r>
          </w:p>
        </w:tc>
        <w:tc>
          <w:tcPr>
            <w:tcW w:w="225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Moderate</w:t>
            </w:r>
          </w:p>
        </w:tc>
      </w:tr>
      <w:tr>
        <w:trPr/>
        <w:tc>
          <w:tcPr>
            <w:tcW w:w="2253" w:type="dxa"/>
            <w:tcBorders>
              <w:top w:val="single" w:sz="4" w:space="0" w:color="CCCCCC"/>
              <w:bottom w:val="single" w:sz="4" w:space="0" w:color="CCCCCC"/>
            </w:tcBorders>
            <w:vAlign w:val="center"/>
          </w:tcPr>
          <w:p>
            <w:pPr>
              <w:pStyle w:val="Normal"/>
              <w:widowControl w:val="false"/>
              <w:bidi w:val="0"/>
              <w:spacing w:before="0" w:after="0"/>
              <w:jc w:val="left"/>
              <w:rPr/>
            </w:pPr>
            <w:r>
              <w:rPr>
                <w:sz w:val="22"/>
              </w:rPr>
              <w:t>WtE incineration</w:t>
            </w:r>
          </w:p>
        </w:tc>
        <w:tc>
          <w:tcPr>
            <w:tcW w:w="173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80-150</w:t>
            </w:r>
          </w:p>
        </w:tc>
        <w:tc>
          <w:tcPr>
            <w:tcW w:w="2426"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Capital, O&amp;M, emissions</w:t>
            </w:r>
          </w:p>
        </w:tc>
        <w:tc>
          <w:tcPr>
            <w:tcW w:w="2253" w:type="dxa"/>
            <w:tcBorders>
              <w:top w:val="single" w:sz="4" w:space="0" w:color="CCCCCC"/>
              <w:bottom w:val="single" w:sz="4" w:space="0" w:color="CCCCCC"/>
            </w:tcBorders>
            <w:vAlign w:val="center"/>
          </w:tcPr>
          <w:p>
            <w:pPr>
              <w:pStyle w:val="Normal"/>
              <w:widowControl w:val="false"/>
              <w:bidi w:val="0"/>
              <w:spacing w:before="0" w:after="0"/>
              <w:jc w:val="center"/>
              <w:rPr/>
            </w:pPr>
            <w:r>
              <w:rPr>
                <w:sz w:val="22"/>
              </w:rPr>
              <w:t>Good-excellent</w:t>
            </w:r>
          </w:p>
        </w:tc>
      </w:tr>
      <w:tr>
        <w:trPr/>
        <w:tc>
          <w:tcPr>
            <w:tcW w:w="2253" w:type="dxa"/>
            <w:tcBorders>
              <w:top w:val="single" w:sz="4" w:space="0" w:color="CCCCCC"/>
              <w:bottom w:val="single" w:sz="12" w:space="0" w:color="2C5282"/>
            </w:tcBorders>
            <w:vAlign w:val="center"/>
          </w:tcPr>
          <w:p>
            <w:pPr>
              <w:pStyle w:val="Normal"/>
              <w:widowControl w:val="false"/>
              <w:bidi w:val="0"/>
              <w:spacing w:before="0" w:after="0"/>
              <w:jc w:val="left"/>
              <w:rPr/>
            </w:pPr>
            <w:r>
              <w:rPr>
                <w:sz w:val="22"/>
              </w:rPr>
              <w:t>Advanced recycling</w:t>
            </w:r>
          </w:p>
        </w:tc>
        <w:tc>
          <w:tcPr>
            <w:tcW w:w="173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200-500</w:t>
            </w:r>
          </w:p>
        </w:tc>
        <w:tc>
          <w:tcPr>
            <w:tcW w:w="2426"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Technology, energy</w:t>
            </w:r>
          </w:p>
        </w:tc>
        <w:tc>
          <w:tcPr>
            <w:tcW w:w="2253" w:type="dxa"/>
            <w:tcBorders>
              <w:top w:val="single" w:sz="4" w:space="0" w:color="CCCCCC"/>
              <w:bottom w:val="single" w:sz="12" w:space="0" w:color="2C5282"/>
            </w:tcBorders>
            <w:vAlign w:val="center"/>
          </w:tcPr>
          <w:p>
            <w:pPr>
              <w:pStyle w:val="Normal"/>
              <w:widowControl w:val="false"/>
              <w:bidi w:val="0"/>
              <w:spacing w:before="0" w:after="0"/>
              <w:jc w:val="center"/>
              <w:rPr/>
            </w:pPr>
            <w:r>
              <w:rPr>
                <w:sz w:val="22"/>
              </w:rPr>
              <w:t>Variable</w:t>
            </w:r>
          </w:p>
        </w:tc>
      </w:tr>
    </w:tbl>
    <w:p>
      <w:pPr>
        <w:pStyle w:val="Caption"/>
        <w:keepLines/>
        <w:bidi w:val="0"/>
        <w:spacing w:before="120" w:after="240"/>
        <w:jc w:val="center"/>
        <w:rPr/>
      </w:pPr>
      <w:r>
        <w:rPr/>
        <w:t>Table 19: Waste management option cost comparison</w:t>
      </w:r>
    </w:p>
    <w:p>
      <w:pPr>
        <w:pStyle w:val="Heading3"/>
        <w:keepNext w:val="true"/>
        <w:keepLines/>
        <w:bidi w:val="0"/>
        <w:spacing w:before="280" w:after="120"/>
        <w:rPr/>
      </w:pPr>
      <w:r>
        <w:rPr/>
        <w:t>7.3.2 Comparison with Renewable Energy Technologies</w:t>
      </w:r>
    </w:p>
    <w:p>
      <w:pPr>
        <w:pStyle w:val="Normal"/>
        <w:bidi w:val="0"/>
        <w:spacing w:lineRule="auto" w:line="360" w:before="0" w:after="200"/>
        <w:ind w:firstLine="720"/>
        <w:jc w:val="both"/>
        <w:rPr/>
      </w:pPr>
      <w:r>
        <w:rPr/>
        <w:t>WtE LCOE electricity: $60-150/MWh depending on gate fees, energy market, CHP configuration; competitive with offshore wind ($70-120/MWh), solar with storage ($80-150/MWh). Distinctive value proposition: waste treatment service + energy generation; dispatchable baseload capacity; and grid stability services. Policy treatment: renewable energy recognition varies; biogenic fraction typically eligible; fossil fraction increasingly excluded or penalized.</w:t>
      </w:r>
    </w:p>
    <w:p>
      <w:pPr>
        <w:pStyle w:val="Heading2"/>
        <w:keepNext w:val="true"/>
        <w:keepLines/>
        <w:bidi w:val="0"/>
        <w:spacing w:before="360" w:after="160"/>
        <w:rPr/>
      </w:pPr>
      <w:r>
        <w:rPr/>
        <w:t>7.4 Employment and Economic Development</w:t>
      </w:r>
    </w:p>
    <w:p>
      <w:pPr>
        <w:pStyle w:val="Heading3"/>
        <w:keepNext w:val="true"/>
        <w:keepLines/>
        <w:bidi w:val="0"/>
        <w:spacing w:before="280" w:after="120"/>
        <w:rPr/>
      </w:pPr>
      <w:r>
        <w:rPr/>
        <w:t>7.4.1 Direct and Indirect Job Creation</w:t>
      </w:r>
    </w:p>
    <w:p>
      <w:pPr>
        <w:pStyle w:val="Normal"/>
        <w:bidi w:val="0"/>
        <w:spacing w:lineRule="auto" w:line="360" w:before="0" w:after="200"/>
        <w:ind w:firstLine="720"/>
        <w:jc w:val="both"/>
        <w:rPr/>
      </w:pPr>
      <w:r>
        <w:rPr/>
        <w:t>Employment intensity: direct: 1-2 jobs per 100,000 tpa capacity (plant operation); indirect: 2-4 jobs (maintenance, supply chain, administration); and induced: 1-2 jobs (local economic activity). Total: 4-8 jobs per 100,000 tpa, comparable to other infrastructure industries. Skill requirements: range from basic (operations, maintenance) to advanced (process engineering, environmental compliance).</w:t>
      </w:r>
    </w:p>
    <w:p>
      <w:pPr>
        <w:pStyle w:val="Heading3"/>
        <w:keepNext w:val="true"/>
        <w:keepLines/>
        <w:bidi w:val="0"/>
        <w:spacing w:before="280" w:after="120"/>
        <w:rPr/>
      </w:pPr>
      <w:r>
        <w:rPr/>
        <w:t>7.4.2 Local Supply Chain Development</w:t>
      </w:r>
    </w:p>
    <w:p>
      <w:pPr>
        <w:pStyle w:val="Normal"/>
        <w:bidi w:val="0"/>
        <w:spacing w:lineRule="auto" w:line="360" w:before="0" w:after="200"/>
        <w:ind w:firstLine="720"/>
        <w:jc w:val="both"/>
        <w:rPr/>
      </w:pPr>
      <w:r>
        <w:rPr/>
        <w:t>Localization potential: construction (civil works, mechanical installation); equipment manufacturing (boilers, turbines, emissions control—varies by technology maturity); operations and maintenance services; and residue processing and utilization. Chinese experience: systematic technology localization achieving 70%+ domestic content and export capability.</w:t>
      </w:r>
    </w:p>
    <w:p>
      <w:pPr>
        <w:pStyle w:val="Heading3"/>
        <w:keepNext w:val="true"/>
        <w:keepLines/>
        <w:bidi w:val="0"/>
        <w:spacing w:before="280" w:after="120"/>
        <w:rPr/>
      </w:pPr>
      <w:r>
        <w:rPr/>
        <w:t>7.4.3 Energy Security and Price Stability Benefits</w:t>
      </w:r>
    </w:p>
    <w:p>
      <w:pPr>
        <w:pStyle w:val="Normal"/>
        <w:bidi w:val="0"/>
        <w:spacing w:lineRule="auto" w:line="360" w:before="0" w:after="200"/>
        <w:ind w:firstLine="720"/>
        <w:jc w:val="both"/>
        <w:rPr/>
      </w:pPr>
      <w:r>
        <w:rPr/>
        <w:t>WtE contributions to energy security: domestic fuel source (reduced import dependence); price stability (long-term waste supply contracts versus volatile fossil fuel markets); and baseload renewable capacity (grid reliability). Quantification challenges: value of price stability; strategic reserve equivalence; and integration with broader energy system planning.</w:t>
      </w:r>
    </w:p>
    <w:p>
      <w:pPr>
        <w:pStyle w:val="Heading1"/>
        <w:keepNext w:val="true"/>
        <w:keepLines/>
        <w:bidi w:val="0"/>
        <w:spacing w:lineRule="auto" w:line="240" w:before="480" w:after="240"/>
        <w:jc w:val="center"/>
        <w:rPr/>
      </w:pPr>
      <w:r>
        <w:rPr/>
        <w:t>CHAPTER 8: POLICY, REGULATORY, AND INSTITUTIONAL FRAMEWORK</w:t>
      </w:r>
    </w:p>
    <w:p>
      <w:pPr>
        <w:pStyle w:val="Heading2"/>
        <w:keepNext w:val="true"/>
        <w:keepLines/>
        <w:bidi w:val="0"/>
        <w:spacing w:before="360" w:after="160"/>
        <w:rPr/>
      </w:pPr>
      <w:r>
        <w:rPr/>
        <w:t>8.1 International Policy Context</w:t>
      </w:r>
    </w:p>
    <w:p>
      <w:pPr>
        <w:pStyle w:val="Heading3"/>
        <w:keepNext w:val="true"/>
        <w:keepLines/>
        <w:bidi w:val="0"/>
        <w:spacing w:before="280" w:after="120"/>
        <w:rPr/>
      </w:pPr>
      <w:r>
        <w:rPr/>
        <w:t>8.1.1 UN Sustainable Development Goals (SDG 7, 11, 12, 13)</w:t>
      </w:r>
    </w:p>
    <w:p>
      <w:pPr>
        <w:pStyle w:val="Normal"/>
        <w:bidi w:val="0"/>
        <w:spacing w:lineRule="auto" w:line="360" w:before="0" w:after="200"/>
        <w:ind w:firstLine="720"/>
        <w:jc w:val="both"/>
        <w:rPr/>
      </w:pPr>
      <w:r>
        <w:rPr/>
        <w:t>SDG 7 (Affordable and Clean Energy): WtE contributes renewable energy access, particularly in urban areas; SDG 11 (Sustainable Cities and Communities): municipal waste management infrastructure; SDG 12 (Responsible Consumption and Production): circular economy integration, residue valorization; and SDG 13 (Climate Action): GHG mitigation through landfill diversion and fossil fuel displacement. National SDG implementation: WtE referenced in NDCs and national sustainable development strategies; monitoring and reporting frameworks developing.</w:t>
      </w:r>
    </w:p>
    <w:p>
      <w:pPr>
        <w:pStyle w:val="Heading3"/>
        <w:keepNext w:val="true"/>
        <w:keepLines/>
        <w:bidi w:val="0"/>
        <w:spacing w:before="280" w:after="120"/>
        <w:rPr/>
      </w:pPr>
      <w:r>
        <w:rPr/>
        <w:t>8.1.2 Paris Agreement and Nationally Determined Contributions</w:t>
      </w:r>
    </w:p>
    <w:p>
      <w:pPr>
        <w:pStyle w:val="Normal"/>
        <w:bidi w:val="0"/>
        <w:spacing w:lineRule="auto" w:line="360" w:before="0" w:after="200"/>
        <w:ind w:firstLine="720"/>
        <w:jc w:val="both"/>
        <w:rPr/>
      </w:pPr>
      <w:r>
        <w:rPr/>
        <w:t>WtE in NDCs: explicit mention in ~30% of submissions; primarily as mitigation measure (landfill methane avoidance, renewable energy); limited treatment of carbon capture potential. Article 6 mechanisms: potential for international transfer of mitigation outcomes from WtE projects; methodological challenges for baseline setting and additionality.</w:t>
      </w:r>
    </w:p>
    <w:p>
      <w:pPr>
        <w:pStyle w:val="Heading3"/>
        <w:keepNext w:val="true"/>
        <w:keepLines/>
        <w:bidi w:val="0"/>
        <w:spacing w:before="280" w:after="120"/>
        <w:rPr/>
      </w:pPr>
      <w:r>
        <w:rPr/>
        <w:t>8.1.3 Basel Convention on Transboundary Waste Movements</w:t>
      </w:r>
    </w:p>
    <w:p>
      <w:pPr>
        <w:pStyle w:val="Normal"/>
        <w:bidi w:val="0"/>
        <w:spacing w:lineRule="auto" w:line="360" w:before="0" w:after="200"/>
        <w:ind w:firstLine="720"/>
        <w:jc w:val="both"/>
        <w:rPr/>
      </w:pPr>
      <w:r>
        <w:rPr/>
        <w:t>Basel Convention controls: hazardous waste definitions affecting WtE residues; prior informed consent procedures; and prohibition of exports to developing countries for disposal. WtE implications: cross-border waste shipments for energy recovery (EU internal market, limited other flows); residue management (fly ash, APC residues as hazardous); and technology transfer considerations.</w:t>
      </w:r>
    </w:p>
    <w:p>
      <w:pPr>
        <w:pStyle w:val="Heading2"/>
        <w:keepNext w:val="true"/>
        <w:keepLines/>
        <w:bidi w:val="0"/>
        <w:spacing w:before="360" w:after="160"/>
        <w:rPr/>
      </w:pPr>
      <w:r>
        <w:rPr/>
        <w:t>8.2 European Union Policy Landscape</w:t>
      </w:r>
    </w:p>
    <w:p>
      <w:pPr>
        <w:pStyle w:val="Heading3"/>
        <w:keepNext w:val="true"/>
        <w:keepLines/>
        <w:bidi w:val="0"/>
        <w:spacing w:before="280" w:after="120"/>
        <w:rPr/>
      </w:pPr>
      <w:r>
        <w:rPr/>
        <w:t>8.2.1 Waste Framework Directive and Circular Economy Action Plan</w:t>
      </w:r>
    </w:p>
    <w:p>
      <w:pPr>
        <w:pStyle w:val="Normal"/>
        <w:bidi w:val="0"/>
        <w:spacing w:lineRule="auto" w:line="360" w:before="0" w:after="200"/>
        <w:ind w:firstLine="720"/>
        <w:jc w:val="both"/>
        <w:rPr/>
      </w:pPr>
      <w:r>
        <w:rPr/>
        <w:t>Waste hierarchy: prevention → preparing for reuse → recycling → other recovery (including energy) → disposal; WtE positioned as recovery for non-recyclable fractions. Recycling targets: 55% municipal waste by 2025, 60% by 2030, 65% by 2035; landfill maximum 10% by 2035. WtE implications: residual waste availability; quality requirements for recycling; and R1 energy efficiency criterion (0.65 threshold for recovery classification).</w:t>
      </w:r>
    </w:p>
    <w:p>
      <w:pPr>
        <w:pStyle w:val="Heading3"/>
        <w:keepNext w:val="true"/>
        <w:keepLines/>
        <w:bidi w:val="0"/>
        <w:spacing w:before="280" w:after="120"/>
        <w:rPr/>
      </w:pPr>
      <w:r>
        <w:rPr/>
        <w:t>8.2.2 Renewable Energy Directive and Sustainability Criteria</w:t>
      </w:r>
    </w:p>
    <w:p>
      <w:pPr>
        <w:pStyle w:val="Normal"/>
        <w:bidi w:val="0"/>
        <w:spacing w:lineRule="auto" w:line="360" w:before="0" w:after="200"/>
        <w:ind w:firstLine="720"/>
        <w:jc w:val="both"/>
        <w:rPr/>
      </w:pPr>
      <w:r>
        <w:rPr/>
        <w:t>RED II (2018/2001): biomass and biogas sustainability criteria; GHG savings thresholds (80% for new installations); and no-go areas for feedstock sourcing. WtE-specific: municipal waste partially exempt from sustainability criteria; biogenic fraction eligible for renewable energy targets; and gradual tightening of eligibility.</w:t>
      </w:r>
    </w:p>
    <w:p>
      <w:pPr>
        <w:pStyle w:val="Heading3"/>
        <w:keepNext w:val="true"/>
        <w:keepLines/>
        <w:bidi w:val="0"/>
        <w:spacing w:before="280" w:after="120"/>
        <w:rPr/>
      </w:pPr>
      <w:r>
        <w:rPr/>
        <w:t>8.2.3 Industrial Emissions Directive and BREF Documents</w:t>
      </w:r>
    </w:p>
    <w:p>
      <w:pPr>
        <w:pStyle w:val="Normal"/>
        <w:bidi w:val="0"/>
        <w:spacing w:lineRule="auto" w:line="360" w:before="0" w:after="200"/>
        <w:ind w:firstLine="720"/>
        <w:jc w:val="both"/>
        <w:rPr/>
      </w:pPr>
      <w:r>
        <w:rPr/>
        <w:t>IED (2010/75/EU): integrated permitting for large combustion plants and waste incineration; BAT reference documents (BREFs) with associated emission levels. WI BREF 2019: updated BAT conclusions; stricter emission levels for new plants; and monitoring and reporting requirements. Implementation: national permitting with site-specific conditions; periodic review and updating.</w:t>
      </w:r>
    </w:p>
    <w:p>
      <w:pPr>
        <w:pStyle w:val="Heading3"/>
        <w:keepNext w:val="true"/>
        <w:keepLines/>
        <w:bidi w:val="0"/>
        <w:spacing w:before="280" w:after="120"/>
        <w:rPr/>
      </w:pPr>
      <w:r>
        <w:rPr/>
        <w:t>8.2.4 Carbon Border Adjustment Mechanism (CBAM) Implications</w:t>
      </w:r>
    </w:p>
    <w:p>
      <w:pPr>
        <w:pStyle w:val="Normal"/>
        <w:bidi w:val="0"/>
        <w:spacing w:lineRule="auto" w:line="360" w:before="0" w:after="200"/>
        <w:ind w:firstLine="720"/>
        <w:jc w:val="both"/>
        <w:rPr/>
      </w:pPr>
      <w:r>
        <w:rPr/>
        <w:t>CBAM (2023-2026 transition, full 2026): embedded emissions pricing for imports of cement, iron/steel, aluminum, fertilizers, electricity, hydrogen. WtE relevance: indirect effects through energy and feedstock costs; potential future inclusion of waste-derived products; and competitiveness implications for EU WtE sector.</w:t>
      </w:r>
    </w:p>
    <w:p>
      <w:pPr>
        <w:pStyle w:val="Heading3"/>
        <w:keepNext w:val="true"/>
        <w:keepLines/>
        <w:bidi w:val="0"/>
        <w:spacing w:before="280" w:after="120"/>
        <w:rPr/>
      </w:pPr>
      <w:r>
        <w:rPr/>
        <w:t>8.2.5 EU Emissions Trading System (ETS) and WtE Sector</w:t>
      </w:r>
    </w:p>
    <w:p>
      <w:pPr>
        <w:pStyle w:val="Normal"/>
        <w:bidi w:val="0"/>
        <w:spacing w:lineRule="auto" w:line="360" w:before="0" w:after="200"/>
        <w:ind w:firstLine="720"/>
        <w:jc w:val="both"/>
        <w:rPr/>
      </w:pPr>
      <w:r>
        <w:rPr/>
        <w:t>EU ETS scope: &gt;20MW combustion installations included since 2005; WtE plants covered with free allocation based on benchmarks. Phase 4 (2021-2030): declining free allocation; increasing auctioning; and Market Stability Reserve. WtE-specific treatment: biogenic emissions reported separately; fossil fraction subject to full carbon price; and significant cost impact as free allocation declines.</w:t>
      </w:r>
    </w:p>
    <w:p>
      <w:pPr>
        <w:pStyle w:val="Heading2"/>
        <w:keepNext w:val="true"/>
        <w:keepLines/>
        <w:bidi w:val="0"/>
        <w:spacing w:before="360" w:after="160"/>
        <w:rPr/>
      </w:pPr>
      <w:r>
        <w:rPr/>
        <w:t>8.3 National Policy Approaches</w:t>
      </w:r>
    </w:p>
    <w:p>
      <w:pPr>
        <w:pStyle w:val="Heading3"/>
        <w:keepNext w:val="true"/>
        <w:keepLines/>
        <w:bidi w:val="0"/>
        <w:spacing w:before="280" w:after="120"/>
        <w:rPr/>
      </w:pPr>
      <w:r>
        <w:rPr/>
        <w:t>8.3.1 Extended Producer Responsibility Schemes</w:t>
      </w:r>
    </w:p>
    <w:p>
      <w:pPr>
        <w:pStyle w:val="Normal"/>
        <w:bidi w:val="0"/>
        <w:spacing w:lineRule="auto" w:line="360" w:before="0" w:after="200"/>
        <w:ind w:firstLine="720"/>
        <w:jc w:val="both"/>
        <w:rPr/>
      </w:pPr>
      <w:r>
        <w:rPr/>
        <w:t>EPR fundamentals: producers financially responsible for end-of-life management; fee modulation based on design recyclability; and targeted collection and treatment infrastructure. WtE interaction: reduces residual waste quantity and quality; may improve calorific value (less packaging, more organics diverted); and funding mechanism for separate collection systems. Leading examples: German Packaging Ordinance/Dual System; French Citeo; Dutch Afvalfonds.</w:t>
      </w:r>
    </w:p>
    <w:p>
      <w:pPr>
        <w:pStyle w:val="Heading3"/>
        <w:keepNext w:val="true"/>
        <w:keepLines/>
        <w:bidi w:val="0"/>
        <w:spacing w:before="280" w:after="120"/>
        <w:rPr/>
      </w:pPr>
      <w:r>
        <w:rPr/>
        <w:t>8.3.2 Landfill Diversion Targets and Bans</w:t>
      </w:r>
    </w:p>
    <w:p>
      <w:pPr>
        <w:pStyle w:val="Normal"/>
        <w:bidi w:val="0"/>
        <w:spacing w:lineRule="auto" w:line="360" w:before="0" w:after="200"/>
        <w:ind w:firstLine="720"/>
        <w:jc w:val="both"/>
        <w:rPr/>
      </w:pPr>
      <w:r>
        <w:rPr/>
        <w:t>Landfill bans: EU: biodegradable waste to landfill (Landfill Directive 1999/31/EC); national implementations with varying timelines. Effects: strong driver for WtE and anaerobic digestion investment; waste supply security for infrastructure; and reduced methane emissions. Sweden: &lt;1% landfill; Norway: landfill tax escalating to prohibitive levels; UK: landfill tax £102.10/t (2024) driving diversion.</w:t>
      </w:r>
    </w:p>
    <w:p>
      <w:pPr>
        <w:pStyle w:val="Heading3"/>
        <w:keepNext w:val="true"/>
        <w:keepLines/>
        <w:bidi w:val="0"/>
        <w:spacing w:before="280" w:after="120"/>
        <w:rPr/>
      </w:pPr>
      <w:r>
        <w:rPr/>
        <w:t>8.3.3 Renewable Energy Support Mechanisms</w:t>
      </w:r>
    </w:p>
    <w:p>
      <w:pPr>
        <w:pStyle w:val="Normal"/>
        <w:bidi w:val="0"/>
        <w:spacing w:lineRule="auto" w:line="360" w:before="0" w:after="200"/>
        <w:ind w:firstLine="720"/>
        <w:jc w:val="both"/>
        <w:rPr/>
      </w:pPr>
      <w:r>
        <w:rPr/>
        <w:t>Feed-in tariffs: guaranteed price for renewable electricity (Germany, early phase); premium tariffs (France); and contract for difference (UK). Renewable energy certificates: green certificates tradable separately from electricity (Sweden-Norway Elcert, UK ROCs—historical); guarantee of origin for renewable gas. Tendering/competitive auctions: increasingly prevalent; price discovery and cost control; technology-neutral or specific.</w:t>
      </w:r>
    </w:p>
    <w:p>
      <w:pPr>
        <w:pStyle w:val="Heading2"/>
        <w:keepNext w:val="true"/>
        <w:keepLines/>
        <w:bidi w:val="0"/>
        <w:spacing w:before="360" w:after="160"/>
        <w:rPr/>
      </w:pPr>
      <w:r>
        <w:rPr/>
        <w:t>8.4 Permitting and Social Acceptance</w:t>
      </w:r>
    </w:p>
    <w:p>
      <w:pPr>
        <w:pStyle w:val="Heading3"/>
        <w:keepNext w:val="true"/>
        <w:keepLines/>
        <w:bidi w:val="0"/>
        <w:spacing w:before="280" w:after="120"/>
        <w:rPr/>
      </w:pPr>
      <w:r>
        <w:rPr/>
        <w:t>8.4.1 Environmental Impact Assessment Requirements</w:t>
      </w:r>
    </w:p>
    <w:p>
      <w:pPr>
        <w:pStyle w:val="Normal"/>
        <w:bidi w:val="0"/>
        <w:spacing w:lineRule="auto" w:line="360" w:before="0" w:after="200"/>
        <w:ind w:firstLine="720"/>
        <w:jc w:val="both"/>
        <w:rPr/>
      </w:pPr>
      <w:r>
        <w:rPr/>
        <w:t>EIA Directive (2011/92/EU as amended): mandatory assessment for waste disposal and recovery installations &gt;100 t/day; scoping, alternatives assessment, public consultation. Key issues: air quality impacts; traffic and transport; noise and odor; visual impact; and cumulative effects. Strategic Environmental Assessment (SEA): planning-level assessment for waste management plans and programs.</w:t>
      </w:r>
    </w:p>
    <w:p>
      <w:pPr>
        <w:pStyle w:val="Heading3"/>
        <w:keepNext w:val="true"/>
        <w:keepLines/>
        <w:bidi w:val="0"/>
        <w:spacing w:before="280" w:after="120"/>
        <w:rPr/>
      </w:pPr>
      <w:r>
        <w:rPr/>
        <w:t>8.4.2 Public Engagement and Community Benefits</w:t>
      </w:r>
    </w:p>
    <w:p>
      <w:pPr>
        <w:pStyle w:val="Normal"/>
        <w:bidi w:val="0"/>
        <w:spacing w:lineRule="auto" w:line="360" w:before="0" w:after="200"/>
        <w:ind w:firstLine="720"/>
        <w:jc w:val="both"/>
        <w:rPr/>
      </w:pPr>
      <w:r>
        <w:rPr/>
        <w:t>Best practice engagement: early and continuous involvement; transparent information provision; genuine dialogue and response to concerns; and tangible community benefits. Community benefit mechanisms: reduced energy tariffs; local employment preferences; facility tours and education programs; and revenue sharing or community ownership.</w:t>
      </w:r>
    </w:p>
    <w:p>
      <w:pPr>
        <w:pStyle w:val="Heading3"/>
        <w:keepNext w:val="true"/>
        <w:keepLines/>
        <w:bidi w:val="0"/>
        <w:spacing w:before="280" w:after="120"/>
        <w:rPr/>
      </w:pPr>
      <w:r>
        <w:rPr/>
        <w:t>8.4.3 Addressing "Not In My Backyard" (NIMBY) Concerns</w:t>
      </w:r>
    </w:p>
    <w:p>
      <w:pPr>
        <w:pStyle w:val="Normal"/>
        <w:bidi w:val="0"/>
        <w:spacing w:lineRule="auto" w:line="360" w:before="0" w:after="200"/>
        <w:ind w:firstLine="720"/>
        <w:jc w:val="both"/>
        <w:rPr/>
      </w:pPr>
      <w:r>
        <w:rPr/>
        <w:t>NIMBY drivers: perceived health and environmental risks; property value concerns; distrust of operators/regulators; and procedural unfairness. Response strategies: independent health and environmental monitoring; third-party verification and certification; adaptive management and continuous improvement; and effective grievance mechanisms. Swedish experience: high public acceptance through decades of transparent operation and demonstrated environmental performance.</w:t>
      </w:r>
    </w:p>
    <w:p>
      <w:pPr>
        <w:pStyle w:val="Heading1"/>
        <w:keepNext w:val="true"/>
        <w:keepLines/>
        <w:bidi w:val="0"/>
        <w:spacing w:lineRule="auto" w:line="240" w:before="480" w:after="240"/>
        <w:jc w:val="center"/>
        <w:rPr/>
      </w:pPr>
      <w:r>
        <w:rPr/>
        <w:t>CHAPTER 9: GLOBAL CASE STUDIES</w:t>
      </w:r>
    </w:p>
    <w:p>
      <w:pPr>
        <w:pStyle w:val="Heading2"/>
        <w:keepNext w:val="true"/>
        <w:keepLines/>
        <w:bidi w:val="0"/>
        <w:spacing w:before="360" w:after="160"/>
        <w:rPr/>
      </w:pPr>
      <w:r>
        <w:rPr/>
        <w:t>9.1 Sweden: The Zero Waste Vision</w:t>
      </w:r>
    </w:p>
    <w:p>
      <w:pPr>
        <w:pStyle w:val="Heading3"/>
        <w:keepNext w:val="true"/>
        <w:keepLines/>
        <w:bidi w:val="0"/>
        <w:spacing w:before="280" w:after="120"/>
        <w:rPr/>
      </w:pPr>
      <w:r>
        <w:rPr/>
        <w:t>9.1.1 National Waste Management System Overview</w:t>
      </w:r>
    </w:p>
    <w:p>
      <w:pPr>
        <w:pStyle w:val="Normal"/>
        <w:bidi w:val="0"/>
        <w:spacing w:lineRule="auto" w:line="360" w:before="0" w:after="200"/>
        <w:ind w:firstLine="720"/>
        <w:jc w:val="both"/>
        <w:rPr/>
      </w:pPr>
      <w:r>
        <w:rPr/>
        <w:t>Sweden has achieved one of the world’s most efficient waste management systems, with 2023 performance: total household waste 4.55 million tonnes (431 kg/capita, 4% decrease from 2022); landfill disposal only 1.5%; material recycling 24.3%; biological treatment 15.1%; and energy recovery 56%. WtE infrastructure: 35 incineration plants with combined thermal capacity &gt;5,000 MW; processing 6.66 million tonnes for energy recovery.</w:t>
      </w:r>
    </w:p>
    <w:p>
      <w:pPr>
        <w:pStyle w:val="Heading3"/>
        <w:keepNext w:val="true"/>
        <w:keepLines/>
        <w:bidi w:val="0"/>
        <w:spacing w:before="280" w:after="120"/>
        <w:rPr/>
      </w:pPr>
      <w:r>
        <w:rPr/>
        <w:t>9.1.2 WtE Infrastructure and Energy Recovery Statistics</w:t>
      </w:r>
    </w:p>
    <w:p>
      <w:pPr>
        <w:pStyle w:val="Normal"/>
        <w:bidi w:val="0"/>
        <w:spacing w:lineRule="auto" w:line="360" w:before="0" w:after="200"/>
        <w:ind w:firstLine="720"/>
        <w:jc w:val="both"/>
        <w:rPr/>
      </w:pPr>
      <w:r>
        <w:rPr/>
        <w:t>2023 energy production: 19.5 TWh total—17.3 TWh heat, 2.2 TWh electricity; sufficient for &gt;1.47 million apartments (heating) and &gt;490,000 apartments (electricity); energy efficiency ~2.9 MWh per tonne waste. District heating integration: &gt;90% of multi-family dwellings connected; year-round heat utilization with seasonal storage; and fossil fuel displacement in heating sector.</w:t>
      </w:r>
    </w:p>
    <w:p>
      <w:pPr>
        <w:pStyle w:val="Normal"/>
        <w:bidi w:val="0"/>
        <w:spacing w:lineRule="auto" w:line="360" w:before="0" w:after="200"/>
        <w:ind w:firstLine="720"/>
        <w:jc w:val="both"/>
        <w:rPr/>
      </w:pPr>
      <w:r>
        <w:rPr/>
        <w:t>Waste import: 2.2 million tonnes sorted waste from other European countries (2023), including 716,540 tonnes municipal waste; revenue-generating service supporting plant economics and helping exporting countries meet diversion targets.</w:t>
      </w:r>
    </w:p>
    <w:p>
      <w:pPr>
        <w:pStyle w:val="Heading3"/>
        <w:keepNext w:val="true"/>
        <w:keepLines/>
        <w:bidi w:val="0"/>
        <w:spacing w:before="280" w:after="120"/>
        <w:rPr/>
      </w:pPr>
      <w:r>
        <w:rPr/>
        <w:t>9.1.3 Bottom Ash and Residue Utilization Practices</w:t>
      </w:r>
    </w:p>
    <w:p>
      <w:pPr>
        <w:pStyle w:val="Normal"/>
        <w:bidi w:val="0"/>
        <w:spacing w:lineRule="auto" w:line="360" w:before="0" w:after="200"/>
        <w:ind w:firstLine="720"/>
        <w:jc w:val="both"/>
        <w:rPr/>
      </w:pPr>
      <w:r>
        <w:rPr/>
        <w:t>Slag (IBA) generation: 949,710 tonnes (2023); processing for metal recovery and construction aggregate; ferrous and non-ferrous metals to recycling; granulated slag primarily for landfill road construction with expanding general road use. Flue gas treatment residues: 278,710 tonnes; stabilization and landfill or mine refilling; research into metal and salt recovery.</w:t>
      </w:r>
    </w:p>
    <w:p>
      <w:pPr>
        <w:pStyle w:val="Heading3"/>
        <w:keepNext w:val="true"/>
        <w:keepLines/>
        <w:bidi w:val="0"/>
        <w:spacing w:before="280" w:after="120"/>
        <w:rPr/>
      </w:pPr>
      <w:r>
        <w:rPr/>
        <w:t>9.1.4 Policy Drivers: Landfill Tax and Waste Hierarchy</w:t>
      </w:r>
    </w:p>
    <w:p>
      <w:pPr>
        <w:pStyle w:val="Normal"/>
        <w:bidi w:val="0"/>
        <w:spacing w:lineRule="auto" w:line="360" w:before="0" w:after="200"/>
        <w:ind w:firstLine="720"/>
        <w:jc w:val="both"/>
        <w:rPr/>
      </w:pPr>
      <w:r>
        <w:rPr/>
        <w:t>Landfill tax: introduced 2000, progressively increased; current level &gt;€50/t; fundamental driver of diversion investment. Landfill ban on combustible waste: 2002; extended to organic waste 2005; eliminates legal disposal option. Energy policy support: renewable energy certificates; tax exemptions for biomass heat and power; and carbon pricing in transport and heating sectors.</w:t>
      </w:r>
    </w:p>
    <w:p>
      <w:pPr>
        <w:pStyle w:val="Heading3"/>
        <w:keepNext w:val="true"/>
        <w:keepLines/>
        <w:bidi w:val="0"/>
        <w:spacing w:before="280" w:after="120"/>
        <w:rPr/>
      </w:pPr>
      <w:r>
        <w:rPr/>
        <w:t>9.1.5 Lessons for International Replication</w:t>
      </w:r>
    </w:p>
    <w:p>
      <w:pPr>
        <w:sectPr>
          <w:headerReference w:type="default" r:id="rId2"/>
          <w:footerReference w:type="default" r:id="rId3"/>
          <w:type w:val="nextPage"/>
          <w:pgSz w:w="11906" w:h="16838"/>
          <w:pgMar w:left="1800" w:right="1440" w:gutter="0" w:header="720" w:top="1440" w:footer="720" w:bottom="1440"/>
          <w:pgNumType w:fmt="decimal"/>
          <w:formProt w:val="false"/>
          <w:textDirection w:val="lrTb"/>
          <w:docGrid w:type="default" w:linePitch="100" w:charSpace="0"/>
        </w:sectPr>
        <w:pStyle w:val="Normal"/>
        <w:bidi w:val="0"/>
        <w:spacing w:lineRule="auto" w:line="360" w:before="0" w:after="200"/>
        <w:ind w:firstLine="720"/>
        <w:jc w:val="both"/>
        <w:rPr/>
      </w:pPr>
      <w:r>
        <w:rPr/>
        <w:t>Critical success factors: long-term policy stability enabling infrastructure investment; integrated waste and energy planning; public transparency and engagement; and continuous technology improvement. The Swedish model demonstrates that high WtE deployment is compatible with high recycling rates when waste hierarchy is properly implemented with appropriate infrastructure for each tier.</w:t>
      </w:r>
    </w:p>
    <w:p>
      <w:pPr>
        <w:pStyle w:val="Heading1"/>
        <w:bidi w:val="0"/>
        <w:rPr/>
      </w:pPr>
      <w:r>
        <w:rPr/>
        <w:t>REFERENCES</w:t>
      </w:r>
    </w:p>
    <w:p>
      <w:pPr>
        <w:pStyle w:val="Normal"/>
        <w:bidi w:val="0"/>
        <w:spacing w:before="0" w:after="120"/>
        <w:ind w:left="720" w:hanging="720"/>
        <w:rPr/>
      </w:pPr>
      <w:r>
        <w:rPr>
          <w:sz w:val="22"/>
        </w:rPr>
        <w:t>MDPI (2023). Waste-to-Energy Technologies and Environmental Performance. MDPI Energy Journal, 3(4), 39. https://www.mdpi.com/2813-0391/3/4/39</w:t>
      </w:r>
    </w:p>
    <w:p>
      <w:pPr>
        <w:pStyle w:val="Normal"/>
        <w:bidi w:val="0"/>
        <w:spacing w:before="0" w:after="120"/>
        <w:ind w:left="720" w:hanging="720"/>
        <w:rPr/>
      </w:pPr>
      <w:r>
        <w:rPr>
          <w:sz w:val="22"/>
        </w:rPr>
        <w:t>Macquarie University (2023). An Evaluation of the Potential of Waste-to-Energy Technologies. Research Publications. https://researchers.mq.edu.au/en/publications/</w:t>
      </w:r>
    </w:p>
    <w:p>
      <w:pPr>
        <w:pStyle w:val="Normal"/>
        <w:bidi w:val="0"/>
        <w:spacing w:before="0" w:after="120"/>
        <w:ind w:left="720" w:hanging="720"/>
        <w:rPr/>
      </w:pPr>
      <w:r>
        <w:rPr>
          <w:sz w:val="22"/>
        </w:rPr>
        <w:t>ScienceDirect (2024). Waste-to-Energy Technology Assessment. Science of the Total Environment. https://www.sciencedirect.com/</w:t>
      </w:r>
    </w:p>
    <w:p>
      <w:pPr>
        <w:pStyle w:val="Normal"/>
        <w:bidi w:val="0"/>
        <w:spacing w:before="0" w:after="120"/>
        <w:ind w:left="720" w:hanging="720"/>
        <w:rPr/>
      </w:pPr>
      <w:r>
        <w:rPr>
          <w:sz w:val="22"/>
        </w:rPr>
        <w:t>IEA Bioenergy (2022). Waste Circular Economy Final Report. Task 36. https://www.ieabioenergy.com/</w:t>
      </w:r>
    </w:p>
    <w:p>
      <w:pPr>
        <w:pStyle w:val="Normal"/>
        <w:bidi w:val="0"/>
        <w:spacing w:before="0" w:after="120"/>
        <w:ind w:left="720" w:hanging="720"/>
        <w:rPr/>
      </w:pPr>
      <w:r>
        <w:rPr>
          <w:sz w:val="22"/>
        </w:rPr>
        <w:t>UNFCCC (2023). Waste to Energy Technologies: Technical Report. https://unfccc.int/</w:t>
      </w:r>
    </w:p>
    <w:p>
      <w:pPr>
        <w:pStyle w:val="Normal"/>
        <w:bidi w:val="0"/>
        <w:spacing w:before="0" w:after="120"/>
        <w:ind w:left="720" w:hanging="720"/>
        <w:rPr/>
      </w:pPr>
      <w:r>
        <w:rPr>
          <w:sz w:val="22"/>
        </w:rPr>
        <w:t>World Bank (2023). What a Waste 2.0: A Global Snapshot of Solid Waste Management to 2050. World Bank Publications.</w:t>
      </w:r>
    </w:p>
    <w:p>
      <w:pPr>
        <w:pStyle w:val="Normal"/>
        <w:bidi w:val="0"/>
        <w:spacing w:before="0" w:after="120"/>
        <w:ind w:left="720" w:hanging="720"/>
        <w:rPr/>
      </w:pPr>
      <w:r>
        <w:rPr>
          <w:sz w:val="22"/>
        </w:rPr>
        <w:t>European Commission (2019). Waste Framework Directive Implementation Report. EU Publications Office.</w:t>
      </w:r>
    </w:p>
    <w:p>
      <w:pPr>
        <w:pStyle w:val="Normal"/>
        <w:bidi w:val="0"/>
        <w:spacing w:before="0" w:after="120"/>
        <w:ind w:left="720" w:hanging="720"/>
        <w:rPr/>
      </w:pPr>
      <w:r>
        <w:rPr>
          <w:sz w:val="22"/>
        </w:rPr>
        <w:t>U.S. Energy Information Administration (2023). Waste-to-Energy In-Depth Analysis. https://www.eia.gov/energyexplained/biomass/</w:t>
      </w:r>
    </w:p>
    <w:p>
      <w:pPr>
        <w:pStyle w:val="Normal"/>
        <w:bidi w:val="0"/>
        <w:spacing w:before="0" w:after="120"/>
        <w:ind w:left="720" w:hanging="720"/>
        <w:rPr/>
      </w:pPr>
      <w:r>
        <w:rPr>
          <w:sz w:val="22"/>
        </w:rPr>
        <w:t>Avfall Sverige (2023). Swedish Waste Management 2023. https://www.avfallsverige.se/</w:t>
      </w:r>
    </w:p>
    <w:p>
      <w:pPr>
        <w:pStyle w:val="Normal"/>
        <w:bidi w:val="0"/>
        <w:spacing w:before="0" w:after="120"/>
        <w:ind w:left="720" w:hanging="720"/>
        <w:rPr/>
      </w:pPr>
      <w:r>
        <w:rPr>
          <w:sz w:val="22"/>
        </w:rPr>
        <w:t>CEWEP (2024). What is Waste-to-Energy? European Confederation of Waste-to-Energy Plants. https://www.cewep.eu/</w:t>
      </w:r>
    </w:p>
    <w:p>
      <w:pPr>
        <w:pStyle w:val="Normal"/>
        <w:bidi w:val="0"/>
        <w:spacing w:before="0" w:after="120"/>
        <w:ind w:left="720" w:hanging="720"/>
        <w:rPr/>
      </w:pPr>
      <w:r>
        <w:rPr>
          <w:sz w:val="22"/>
        </w:rPr>
        <w:t>ESWET (2024). European Suppliers of Waste to Energy Technology. https://eswet.eu/</w:t>
      </w:r>
    </w:p>
    <w:p>
      <w:pPr>
        <w:pStyle w:val="Normal"/>
        <w:bidi w:val="0"/>
        <w:spacing w:before="0" w:after="120"/>
        <w:ind w:left="720" w:hanging="720"/>
        <w:rPr/>
      </w:pPr>
      <w:r>
        <w:rPr>
          <w:sz w:val="22"/>
        </w:rPr>
        <w:t>RSC Publishing (2025). Materials Advances in Waste-to-Energy. Royal Society of Chemistry. https://pubs.rsc.org/</w:t>
      </w:r>
    </w:p>
    <w:p>
      <w:pPr>
        <w:pStyle w:val="Normal"/>
        <w:bidi w:val="0"/>
        <w:spacing w:before="0" w:after="120"/>
        <w:ind w:left="720" w:hanging="720"/>
        <w:rPr/>
      </w:pPr>
      <w:r>
        <w:rPr>
          <w:sz w:val="22"/>
        </w:rPr>
        <w:t>Springer (2023). Waste Management Research. Environmental Science and Pollution Research. https://link.springer.com/</w:t>
      </w:r>
    </w:p>
    <w:p>
      <w:pPr>
        <w:pStyle w:val="Normal"/>
        <w:bidi w:val="0"/>
        <w:spacing w:before="0" w:after="120"/>
        <w:ind w:left="720" w:hanging="720"/>
        <w:rPr/>
      </w:pPr>
      <w:r>
        <w:rPr>
          <w:sz w:val="22"/>
        </w:rPr>
        <w:t>Wiley (2024). Energy Science &amp; Engineering. Waste-to-Energy Technologies. https://scijournals.onlinelibrary.wiley.com/</w:t>
      </w:r>
    </w:p>
    <w:p>
      <w:pPr>
        <w:pStyle w:val="Normal"/>
        <w:bidi w:val="0"/>
        <w:spacing w:before="0" w:after="120"/>
        <w:ind w:left="720" w:hanging="720"/>
        <w:rPr/>
      </w:pPr>
      <w:r>
        <w:rPr>
          <w:sz w:val="22"/>
        </w:rPr>
        <w:t>Frontiers (2024). Emissions from Landfill and Thermal Waste-to-Energy. Frontiers in Environmental Science. https://www.frontiersin.org/</w:t>
      </w:r>
    </w:p>
    <w:p>
      <w:pPr>
        <w:pStyle w:val="Normal"/>
        <w:bidi w:val="0"/>
        <w:spacing w:before="0" w:after="120"/>
        <w:ind w:left="720" w:hanging="720"/>
        <w:rPr/>
      </w:pPr>
      <w:r>
        <w:rPr>
          <w:sz w:val="22"/>
        </w:rPr>
        <w:t>GlobalData (2024). Singapore Waste-to-Energy Market Analysis. https://www.globaldata.com/</w:t>
      </w:r>
    </w:p>
    <w:p>
      <w:pPr>
        <w:pStyle w:val="Normal"/>
        <w:bidi w:val="0"/>
        <w:spacing w:before="0" w:after="120"/>
        <w:ind w:left="720" w:hanging="720"/>
        <w:rPr/>
      </w:pPr>
      <w:r>
        <w:rPr>
          <w:sz w:val="22"/>
        </w:rPr>
        <w:t>MarkNtel Advisors (2024). United States Waste-to-Energy Market Report. https://www.marknteladvisors.com/</w:t>
      </w:r>
    </w:p>
    <w:p>
      <w:pPr>
        <w:pStyle w:val="Normal"/>
        <w:bidi w:val="0"/>
        <w:spacing w:before="0" w:after="120"/>
        <w:ind w:left="720" w:hanging="720"/>
        <w:rPr/>
      </w:pPr>
      <w:r>
        <w:rPr>
          <w:sz w:val="22"/>
        </w:rPr>
        <w:t>Zero Waste Europe (2020). Landfill Emission Reductions and GHG from WtE. https://zerowasteeurope.eu/</w:t>
      </w:r>
    </w:p>
    <w:p>
      <w:pPr>
        <w:pStyle w:val="Normal"/>
        <w:bidi w:val="0"/>
        <w:spacing w:before="0" w:after="120"/>
        <w:ind w:left="720" w:hanging="720"/>
        <w:rPr/>
      </w:pPr>
      <w:r>
        <w:rPr>
          <w:sz w:val="22"/>
        </w:rPr>
        <w:t>Jackson Lab, Stanford University (2012). Energy Efficiency Criteria for WtE. https://jacksonlab.stanford.edu/</w:t>
      </w:r>
    </w:p>
    <w:p>
      <w:pPr>
        <w:pStyle w:val="Normal"/>
        <w:bidi w:val="0"/>
        <w:spacing w:before="0" w:after="120"/>
        <w:ind w:left="720" w:hanging="720"/>
        <w:rPr/>
      </w:pPr>
      <w:r>
        <w:rPr>
          <w:sz w:val="22"/>
        </w:rPr>
        <w:t>Perch Energy (2024). Waste-to-Energy Technologies: Benefits and Challenges. https://www.perchenergy.com/</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200"/>
      <w:jc w:val="center"/>
      <w:rPr/>
    </w:pPr>
    <w:r>
      <w:rPr/>
      <w:fldChar w:fldCharType="begin"/>
    </w:r>
    <w:r>
      <w:rPr/>
      <w:instrText xml:space="preserve"> PAGE </w:instrText>
    </w:r>
    <w:r>
      <w:rPr/>
      <w:fldChar w:fldCharType="separate"/>
    </w:r>
    <w:r>
      <w:rPr/>
      <w:t>46</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200"/>
      <w:jc w:val="center"/>
      <w:rPr/>
    </w:pPr>
    <w:r>
      <w:rPr/>
      <w:fldChar w:fldCharType="begin"/>
    </w:r>
    <w:r>
      <w:rPr/>
      <w:instrText xml:space="preserve"> PAGE </w:instrText>
    </w:r>
    <w:r>
      <w:rPr/>
      <w:fldChar w:fldCharType="separate"/>
    </w:r>
    <w:r>
      <w:rPr/>
      <w:t>48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0"/>
      <w:jc w:val="center"/>
      <w:rPr/>
    </w:pPr>
    <w:r>
      <w:rPr>
        <w:i/>
        <w:color w:val="718096"/>
        <w:sz w:val="20"/>
      </w:rPr>
      <w:t>Waste-to-Energy Technologies and Sustainable Waste Utilization: A Comprehensive Research Report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before="0" w:after="0"/>
      <w:jc w:val="center"/>
      <w:rPr/>
    </w:pPr>
    <w:r>
      <w:rPr>
        <w:i/>
        <w:color w:val="718096"/>
        <w:sz w:val="20"/>
      </w:rPr>
      <w:t>Waste-to-Energy Technologies and Sustainable Waste Utilization: A Comprehensive Research Report</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FreeSans"/>
        <w:kern w:val="2"/>
        <w:sz w:val="22"/>
        <w:szCs w:val="24"/>
        <w:lang w:val="en-GB" w:eastAsia="zh-CN" w:bidi="hi-IN"/>
      </w:rPr>
    </w:rPrDefault>
    <w:pPrDefault>
      <w:pPr>
        <w:suppressAutoHyphens w:val="true"/>
      </w:pPr>
    </w:pPrDefault>
  </w:docDefaults>
  <w:style w:type="paragraph" w:styleId="Normal" w:default="1">
    <w:name w:val="Normal"/>
    <w:qFormat/>
    <w:pPr>
      <w:widowControl w:val="false"/>
      <w:bidi w:val="0"/>
      <w:spacing w:lineRule="auto" w:line="360" w:before="0" w:after="200"/>
      <w:jc w:val="both"/>
    </w:pPr>
    <w:rPr>
      <w:rFonts w:ascii="Times New Roman" w:hAnsi="Times New Roman" w:eastAsia="Times New Roman" w:cs="FreeSans"/>
      <w:color w:val="1A202C"/>
      <w:kern w:val="2"/>
      <w:sz w:val="24"/>
      <w:szCs w:val="24"/>
      <w:lang w:val="en-GB" w:eastAsia="zh-CN" w:bidi="hi-IN"/>
    </w:rPr>
  </w:style>
  <w:style w:type="paragraph" w:styleId="Heading1">
    <w:name w:val="Heading 1"/>
    <w:basedOn w:val="Normal"/>
    <w:qFormat/>
    <w:pPr>
      <w:keepNext w:val="true"/>
      <w:keepLines/>
      <w:pageBreakBefore/>
      <w:spacing w:lineRule="auto" w:line="240" w:before="480" w:after="240"/>
      <w:jc w:val="center"/>
      <w:outlineLvl w:val="0"/>
    </w:pPr>
    <w:rPr>
      <w:b/>
      <w:caps/>
      <w:color w:val="1A365D"/>
      <w:sz w:val="32"/>
    </w:rPr>
  </w:style>
  <w:style w:type="paragraph" w:styleId="Heading2">
    <w:name w:val="Heading 2"/>
    <w:basedOn w:val="Normal"/>
    <w:qFormat/>
    <w:pPr>
      <w:keepNext w:val="true"/>
      <w:keepLines/>
      <w:spacing w:before="360" w:after="160"/>
      <w:outlineLvl w:val="1"/>
    </w:pPr>
    <w:rPr>
      <w:b/>
      <w:color w:val="1A365D"/>
      <w:sz w:val="28"/>
    </w:rPr>
  </w:style>
  <w:style w:type="paragraph" w:styleId="Heading3">
    <w:name w:val="Heading 3"/>
    <w:basedOn w:val="Normal"/>
    <w:qFormat/>
    <w:pPr>
      <w:keepNext w:val="true"/>
      <w:keepLines/>
      <w:spacing w:before="280" w:after="120"/>
      <w:outlineLvl w:val="2"/>
    </w:pPr>
    <w:rPr>
      <w:b/>
      <w:i/>
      <w:color w:val="1A202C"/>
      <w:sz w:val="24"/>
    </w:rPr>
  </w:style>
  <w:style w:type="paragraph" w:styleId="Heading4">
    <w:name w:val="Heading 4"/>
    <w:basedOn w:val="Normal"/>
    <w:qFormat/>
    <w:pPr>
      <w:keepNext w:val="true"/>
      <w:keepLines/>
      <w:spacing w:before="200" w:after="80"/>
      <w:outlineLvl w:val="3"/>
    </w:pPr>
    <w:rPr>
      <w:b/>
      <w:color w:val="4A5568"/>
      <w:sz w:val="24"/>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keepLines/>
      <w:spacing w:before="120" w:after="240"/>
      <w:jc w:val="center"/>
    </w:pPr>
    <w:rPr>
      <w:i/>
      <w:color w:val="4A5568"/>
      <w:sz w:val="22"/>
    </w:rPr>
  </w:style>
  <w:style w:type="paragraph" w:styleId="Index">
    <w:name w:val="Index"/>
    <w:basedOn w:val="Normal"/>
    <w:qFormat/>
    <w:pPr>
      <w:suppressLineNumbers/>
    </w:pPr>
    <w:rPr>
      <w:rFonts w:cs="FreeSans"/>
    </w:rPr>
  </w:style>
  <w:style w:type="paragraph" w:styleId="Contents1">
    <w:name w:val="TOC 1"/>
    <w:basedOn w:val="Normal"/>
    <w:pPr>
      <w:tabs>
        <w:tab w:val="clear" w:pos="720"/>
        <w:tab w:val="right" w:pos="9350" w:leader="dot"/>
      </w:tabs>
      <w:spacing w:before="120" w:after="60"/>
    </w:pPr>
    <w:rPr>
      <w:b/>
      <w:color w:val="1A202C"/>
    </w:rPr>
  </w:style>
  <w:style w:type="paragraph" w:styleId="Contents2">
    <w:name w:val="TOC 2"/>
    <w:basedOn w:val="Normal"/>
    <w:pPr>
      <w:tabs>
        <w:tab w:val="clear" w:pos="720"/>
        <w:tab w:val="right" w:pos="9350" w:leader="dot"/>
      </w:tabs>
      <w:spacing w:before="60" w:after="60"/>
      <w:ind w:left="360" w:hanging="0"/>
    </w:pPr>
    <w:rPr>
      <w:color w:val="4A5568"/>
    </w:rPr>
  </w:style>
  <w:style w:type="paragraph" w:styleId="Contents3">
    <w:name w:val="TOC 3"/>
    <w:basedOn w:val="Normal"/>
    <w:pPr>
      <w:tabs>
        <w:tab w:val="clear" w:pos="720"/>
        <w:tab w:val="right" w:pos="9350" w:leader="dot"/>
      </w:tabs>
      <w:spacing w:before="40" w:after="40"/>
      <w:ind w:left="720" w:hanging="0"/>
    </w:pPr>
    <w:rPr>
      <w:color w:val="718096"/>
      <w:sz w:val="22"/>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48</Pages>
  <Words>8819</Words>
  <Characters>60377</Characters>
  <CharactersWithSpaces>68176</CharactersWithSpaces>
  <Paragraphs>852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2026-03-06T11:54:26Z</dcterms:modified>
  <cp:revision>1</cp:revision>
  <dc:subject/>
  <dc:title/>
</cp:coreProperties>
</file>